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16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oxLabel"/>
      </w:pPr>
      <w:r>
        <w:t xml:space="preserve">Основные выводы доклада</w:t>
      </w:r>
    </w:p>
    <w:p>
      <w:pPr>
        <w:pStyle w:val="Compact"/>
        <w:numPr>
          <w:ilvl w:val="0"/>
          <w:numId w:val="1001"/>
        </w:numPr>
      </w:pPr>
      <w:r>
        <w:t xml:space="preserve">Право не предписывает и не запрещает выбор блюд.</w:t>
      </w:r>
    </w:p>
    <w:p>
      <w:pPr>
        <w:pStyle w:val="Compact"/>
        <w:numPr>
          <w:ilvl w:val="0"/>
          <w:numId w:val="1001"/>
        </w:numPr>
      </w:pPr>
      <w:r>
        <w:t xml:space="preserve">Смена санитарных правил не изменила ответа на вопрос о выборе.</w:t>
      </w:r>
    </w:p>
    <w:p>
      <w:pPr>
        <w:pStyle w:val="Compact"/>
        <w:numPr>
          <w:ilvl w:val="0"/>
          <w:numId w:val="1001"/>
        </w:numPr>
      </w:pPr>
      <w:r>
        <w:t xml:space="preserve">Основной правовой пробел составляет отсутствие механизма эквивалентной замены для взрослых.</w:t>
      </w:r>
    </w:p>
    <w:p>
      <w:pPr>
        <w:pStyle w:val="Compact"/>
        <w:numPr>
          <w:ilvl w:val="0"/>
          <w:numId w:val="1001"/>
        </w:numPr>
      </w:pPr>
      <w:r>
        <w:t xml:space="preserve">Региональные нормы оставляют выбору больше пространства, чем принято считать.</w:t>
      </w:r>
    </w:p>
    <w:p>
      <w:pPr>
        <w:pStyle w:val="Compact"/>
        <w:numPr>
          <w:ilvl w:val="0"/>
          <w:numId w:val="1001"/>
        </w:numPr>
      </w:pPr>
      <w:r>
        <w:t xml:space="preserve">Российская практика расширилась, но не измерена.</w:t>
      </w:r>
    </w:p>
    <w:p>
      <w:pPr>
        <w:pStyle w:val="Compact"/>
        <w:numPr>
          <w:ilvl w:val="0"/>
          <w:numId w:val="1001"/>
        </w:numPr>
      </w:pPr>
      <w:r>
        <w:t xml:space="preserve">Научные данные не подтверждают главного опасения.</w:t>
      </w:r>
    </w:p>
    <w:p>
      <w:pPr>
        <w:pStyle w:val="Compact"/>
        <w:numPr>
          <w:ilvl w:val="0"/>
          <w:numId w:val="1001"/>
        </w:numPr>
      </w:pPr>
      <w:r>
        <w:t xml:space="preserve">Зарубежное право регулирует не число блюд, а альтернативу и участие.</w:t>
      </w:r>
    </w:p>
    <w:p>
      <w:pPr>
        <w:pStyle w:val="Compact"/>
        <w:numPr>
          <w:ilvl w:val="0"/>
          <w:numId w:val="1001"/>
        </w:numPr>
      </w:pPr>
      <w:r>
        <w:t xml:space="preserve">Выбор должен быть доступен маломобильным и невербальным жителям.</w:t>
      </w:r>
    </w:p>
    <w:p>
      <w:pPr>
        <w:pStyle w:val="Compact"/>
        <w:numPr>
          <w:ilvl w:val="0"/>
          <w:numId w:val="1001"/>
        </w:numPr>
      </w:pPr>
      <w:r>
        <w:t xml:space="preserve">Государственный контроль оценивает соблюдение норм, а не выбор.</w:t>
      </w:r>
    </w:p>
    <w:p>
      <w:pPr>
        <w:pStyle w:val="Compact"/>
        <w:numPr>
          <w:ilvl w:val="0"/>
          <w:numId w:val="1001"/>
        </w:numPr>
      </w:pPr>
      <w:r>
        <w:t xml:space="preserve">Противоречия названы, но не устранены.</w:t>
      </w:r>
    </w:p>
    <w:p>
      <w:pPr>
        <w:pStyle w:val="BoxSummary"/>
      </w:pPr>
      <w:r>
        <w:rPr>
          <w:i/>
          <w:iCs/>
        </w:rPr>
        <w:t xml:space="preserve">Краткое изложение составлено из выделенных положений Заключения; полные формулировки, оговорки и ссылки на источники — в Заключении и выводах по главам.</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отдельные позиции перепроверены и дополнены в ходе проверок 06.10–16.10.2026, сведения о практике учреждений и закупках учтены по состоянию на 16.10.2026 (даты по каждой проверке — в приложении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десяти субъектов, причём тексты шести из них — Санкт-Петербурга, Новосибирской области, Красноярского края, Ленинградской области, ХМАО — Югры и Нижегородской области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девяти российских учреждений и сообщение министра Иркутской области, закупки восьми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и процедуры проверки десяти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и его наличие определяется инициативой самого учреждения.</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Для руководителя учреждения вопрос состоит в следующем: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Однозначного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2"/>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2"/>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2"/>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2"/>
        </w:numPr>
      </w:pPr>
      <w:r>
        <w:t xml:space="preserve">описать российские практики с указанием того, что источник сообщает и о чём умалчивает (глава 4);</w:t>
      </w:r>
    </w:p>
    <w:p>
      <w:pPr>
        <w:pStyle w:val="Compact"/>
        <w:numPr>
          <w:ilvl w:val="0"/>
          <w:numId w:val="1002"/>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2"/>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2"/>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xCavea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российских практиках (девять учреждений и закупки Самарской области);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в сводной редакции устранены повторы.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состава пищи жителя: соблюдение поста проживающим в ПНИ составляет его право.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существенный пробел.</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их смешение порождает споры как с проверяющими, так и внутри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признак «четырнадцать дней без повторов» характеризует меню, а не возможности жителя.</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обеспечивает выполнение нормы и выбора не создаёт: гречка, заменённая рисом «по остаткам», —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Критерием разграничения служит вопрос о том, кто принял решение о составе порции конкретного жителя в данный день.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Исполнение узкого определения проверяемо по журналу и на линии раздачи; под широкое подпадает почти любое изменение меню. Доклад пользуется узким определением; порядок квалификации предварительного заказа, на котором построена практика ДСО «Серафимовский» [21], изложен в п. 1.3.1.</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 Выбор в момент еды — на линии раздачи или у тележки — соответствует узкому определению непосредственно. Предварительный заказ (накануне или на неделю) признаётся выбором при условии, что заказанное блюдо фактически подано заказавшему; если решение нельзя изменить в день подачи, такой заказ квалифицируется как выбор с отсрочкой и отмечается в отчёте особо (толкование). Самостоятельная комплектация — линия самообслуживания или ежедневный «шведский стол» — соответствует модели М3.</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создаёт путаницу, прежде всего в отчётах.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В практике одновременно применяются документы, принятые на протяжении пяти десятилетий; их хронология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BoxConclusion"/>
      </w:pPr>
      <w:r>
        <w:t xml:space="preserve">Понятийный аппарат доклада основан на четырёх разграничениях.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выбор блюда из них не следует; следует лишь требование, чтобы ограничения в повседневной жизни жителя имели основание, а не вытекали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о способности жителя выбрать следует решать через определение необходимой ему поддержки, а не снимать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состав питания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поэтому противоречия нет.</w:t>
      </w:r>
    </w:p>
    <w:p>
      <w:pPr>
        <w:pStyle w:val="BodyText"/>
      </w:pPr>
      <w:r>
        <w:t xml:space="preserve">Для вариативного меню существенны два других положения.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Его положения о питании (п. 16, подп. 5 п. 19) и асимметрия критериев качества, учитывающих «запросы» получателя применительно к одежде, но не к питанию, изложены в п. 1.5. Критерии полноты, своевременности и результативности (п. 18) общие для всех услуг.</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Для темы он значимее Примерного порядка, поскольку обращён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Для вариативного меню из этого следуют три вывода (толкование). Во-первых, обязанность обеспечить условия для соблюдения поста делает постное питание предметом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(сценарий 16, п. 7.17);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и обоснование ими ежедневного выбора из двух вторых блюд было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Внутригрупповой выбор образует основное правомерное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Упоминаемый в одном из слоёв материалов семинара приказ «№ 774н» как акт о нормах питания не подтверждён (п. 1.7) [23].</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Отраслевые материалы, включая обе прежние работы семинара, исходят из того, что таблицы замен «легализуют» вариативность: если вариант Б эквивалентен варианту А по таблице, норма соблюдена [1, 22]. По существу это верно, однако правовое основание таблицы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[45–47].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[48]. Это локальная форма, а не норма; она показывает, что механизм, необходимый вариативному меню, в учреждениях уже применяется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Таким образом (толкование), механизм эквивалентной замены для взрослых в социальном обслуживании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Поэтому применяемая учреждением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[49]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49].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[49];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этот срок является предельным.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Согласно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Поэтому наличие двух вторых блюд к предмету санитарного надзора не относится, тогда как наличие ТТК на вариант Б, суточной пробы и срок нахождения блюда на линии раздачи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50–52].</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[53].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[54],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Постный вариант блюда в ПНИ служит, таким образом, условием осуществления права, закреплённого законом (п. 1.1), а не усмотрением пищеблока.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Наличие на складе второго продукта группы определяется спецификацией закупки. Государственное бюджетное учреждение закупает по 44-ФЗ [55].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[56]. Положения 44-ФЗ распространяются на закупки автономного учреждения за счёт субсидий на капитальные вложения (ч. 4 ст. 15 44-ФЗ) [55].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[57]. В 2025–2026 гг. к спору добавилось судебное дело, содержание которого отраслевая печать излагает шире, чем оно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[58].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[58].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[58].</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[59].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[58, 59].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[60].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[61].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[61].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[62].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[62]. Кроме отказа, определение взыскивает с учреждения 80 000 руб. государственной пошлины, уплата которой была отсрочена определением от 29.12.2025 [60, 62].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[59, 62].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[60, 62].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[63].</w:t>
      </w:r>
    </w:p>
    <w:p>
      <w:pPr>
        <w:pStyle w:val="BodyText"/>
      </w:pPr>
      <w:r>
        <w:t xml:space="preserve">Для стационарной организации социального обслуживания это различие существенно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[62].</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[64].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[65].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[66].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[67]; выбор состава, таким образом, зависит от вида организации.</w:t>
      </w:r>
    </w:p>
    <w:p>
      <w:pPr>
        <w:pStyle w:val="BodyText"/>
      </w:pPr>
      <w:r>
        <w:rPr>
          <w:b/>
          <w:bCs/>
        </w:rPr>
        <w:t xml:space="preserve">Антимонопольная.</w:t>
      </w:r>
      <w:r>
        <w:t xml:space="preserve"> </w:t>
      </w:r>
      <w:r>
        <w:t xml:space="preserve">По поставкам продуктов для социальных учреждений известны публичные картельные дела: ФАС России в 2024 г. сообщила о картеле на 543 торгах поставки социально значимых продуктов на сумму 4,7 млрд руб. [68], УФАС по Челябинской области в 2025 г. — о картеле на 27 тендерах школьного питания со штрафом 5,1 млн руб. [69]. Для вариативного меню отсюда следует один вывод: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BoxConclusion"/>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Квалификация утверждений главы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8"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определяющим уровнем являются нормы питания: они задают продукты, из которых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и Нижегородской областей, Красноярского края, Ленинградской области и ХМАО — Югры, а для Москвы — по открытой части приказа № 228 [33, 45–47, 70–72]; для остальных субъектов он заимствован из первой редакции. Следовательно, вариативное меню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Выведенное из этой классификации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73]. Постановлением № 929 приложение изложено в новой редакции с 01.01.2020 [73];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3"/>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3"/>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3"/>
        </w:numPr>
      </w:pPr>
      <w:r>
        <w:t xml:space="preserve">нормы питания беременных женщин и кормящих матерей;</w:t>
      </w:r>
    </w:p>
    <w:p>
      <w:pPr>
        <w:pStyle w:val="Compact"/>
        <w:numPr>
          <w:ilvl w:val="0"/>
          <w:numId w:val="1003"/>
        </w:numPr>
      </w:pPr>
      <w:r>
        <w:t xml:space="preserve">нормы питания детей первого года жизни, проживающих с матерями;</w:t>
      </w:r>
    </w:p>
    <w:p>
      <w:pPr>
        <w:pStyle w:val="Compact"/>
        <w:numPr>
          <w:ilvl w:val="0"/>
          <w:numId w:val="1003"/>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3"/>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3"/>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Из сопоставления следуют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какими продуктами региональный нормотворец компенсирует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существенно, что региональный акт сам содержит пару наборов, эквивалентных по пищевой ценности; выбирает между ними, однако, не житель, а врач и учреждение.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[74]. Тарифы на социальные услуги ежегодно утверждает Комитет по социальной политике: на 2025 г. — распоряжением от 13.12.2024 № 1366-р, на 2026 г. — распоряжением от 15.12.2025 № 1155-р [75, 76].</w:t>
      </w:r>
    </w:p>
    <w:p>
      <w:pPr>
        <w:pStyle w:val="BodyText"/>
      </w:pPr>
      <w:r>
        <w:t xml:space="preserve">Тарифы на услугу «обеспечение питанием согласно утверждённым нормативам» в стационарной форме для совершеннолетних следуют нормам постановления № 1284 и разбиты по тем же категориям [75, 76].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[76].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[77].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[78].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[75, 78]. Что покрывает это превышение (приготовление, накладные расходы или иное), ни тот, ни другой акт не раскрывает; составляющей на организацию выбора нет и в нормативе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[75]</w:t>
            </w:r>
          </w:p>
        </w:tc>
        <w:tc>
          <w:tcPr/>
          <w:p>
            <w:pPr>
              <w:pStyle w:val="Compact"/>
            </w:pPr>
            <w:r>
              <w:t xml:space="preserve">2026 г., руб. в день [76]</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[75, 76].</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76]. Тарифы 2025 г. рассчитаны на нормы в редакции 2022 г., тарифы 2026 г. — на нормы в редакции № 507; поэтому тарифы двух лет относятся к разным наборам продуктов, а не только к разным ценам.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[75, 76].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[78].</w:t>
      </w:r>
    </w:p>
    <w:p>
      <w:pPr>
        <w:pStyle w:val="BodyText"/>
      </w:pPr>
      <w:r>
        <w:t xml:space="preserve">Третье: в 2025 г. тариф для ПНИ превышал общий (571,63 против 560,87), а в 2026 г. соотношение стало обратным (574,43 против 581,33) [75, 76].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Методика расчёта подушевых нормативов в доступных источниках не раскрыта, поэтому сказанное остаётся наблюдением, а не выводом о методике.</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79].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[70].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[70].</w:t>
      </w:r>
    </w:p>
    <w:p>
      <w:pPr>
        <w:pStyle w:val="BodyText"/>
      </w:pPr>
      <w:r>
        <w:t xml:space="preserve">Для темы доклада существеннее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[70].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 двух отношениях: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[80]. Текст приказа № 1068 обнаружен в выгрузке справочной системы, сохранённой 03.05.2015 [81].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[81].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[70].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rPr>
          <w:rStyle w:val="SectionNumber"/>
        </w:rPr>
        <w:t xml:space="preserve">3.4</w:t>
      </w:r>
      <w:r>
        <w:tab/>
      </w:r>
      <w:r>
        <w:t xml:space="preserve">Московская область</w:t>
      </w:r>
    </w:p>
    <w:p>
      <w:pPr>
        <w:pStyle w:val="FirstParagraph"/>
      </w:pPr>
      <w:r>
        <w:t xml:space="preserve">Сайт Доброго дома «Солнечногорский» ссылается как на нормы питания в ПНИ на распоряжение министерства социального развития области от 13.04.2017 № 19РВ-32 [82]. Действующий областной акт о нормах —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опубликования 5001202605260005; официальный образ — 73 с.) [83]. Его резолютивная часть, примечания и начало таблиц (с. 1–15 официального файла, распознанные по образу) прочитаны 16.10.2026; полный текст получить не удалось, поэтому состав всех таблиц и примечаний к набору для лиц с психическими заболеваниями в докладе не воспроизводится.</w:t>
      </w:r>
    </w:p>
    <w:p>
      <w:pPr>
        <w:pStyle w:val="BodyText"/>
      </w:pPr>
      <w:r>
        <w:t xml:space="preserve">Распоряжение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 нетто и брутто. Оно вступает в силу с 1 января 2027 года (нормы для детей первого года жизни — со дня опубликования) и признаёт утратившими силу распоряжение от 04.10.2022 № 20РВ-277 и три последующих изменения к нему; распоряжение № 19РВ-32 в перечне отменяемых актов не названо. В прочитанной части о выборе блюд, вариативном меню или «шведском столе» не говорится: это норма о количестве продуктов, а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[83]; это условие замены при применении смеси, а не включение СБКС в общую норму, как в Ленинградской области (п. 3.11). Для учреждений области с 01.01.2027 нормы определяются распоряжением № 20РВ-108.</w:t>
      </w:r>
    </w:p>
    <w:bookmarkEnd w:id="64"/>
    <w:bookmarkStart w:id="65" w:name="свердловская-область"/>
    <w:p>
      <w:pPr>
        <w:pStyle w:val="Heading2"/>
      </w:pPr>
      <w:r>
        <w:rPr>
          <w:rStyle w:val="SectionNumber"/>
        </w:rPr>
        <w:t xml:space="preserve">3.5</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rPr>
          <w:rStyle w:val="SectionNumber"/>
        </w:rPr>
        <w:t xml:space="preserve">3.6</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[84].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[71].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[71].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[71].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обнаружено лишь сообщение учреждения-участника о региональном семинаре «Вариативное питание» на базе ДСО «Борский» в августе 2026 г., без описания практики какого-либо учреждения (п. 4.12) [85]. Для доклада полезен другой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[48]. Положение подробно описывает устройство единого меню в типичном доме-интернате, то есть исходное состояние, от которого отсчитывается введение выбора.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[48].</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[86].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Для вариативного меню отсюда следует (толкование),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rPr>
          <w:rStyle w:val="SectionNumber"/>
        </w:rPr>
        <w:t xml:space="preserve">3.7</w:t>
      </w:r>
      <w:r>
        <w:tab/>
      </w:r>
      <w:r>
        <w:t xml:space="preserve">Омская область</w:t>
      </w:r>
    </w:p>
    <w:p>
      <w:pPr>
        <w:pStyle w:val="FirstParagraph"/>
      </w:pPr>
      <w:r>
        <w:t xml:space="preserve">Нормы утверждены приказом от 11.11.2014 № 171-п [87].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[54]. Опубликованное меню служит условием выбора в любом регионе: житель и его семья должны знать, из чего выбирать (толкование).</w:t>
      </w:r>
    </w:p>
    <w:bookmarkEnd w:id="67"/>
    <w:bookmarkStart w:id="68" w:name="псковская-область"/>
    <w:p>
      <w:pPr>
        <w:pStyle w:val="Heading2"/>
      </w:pPr>
      <w:r>
        <w:rPr>
          <w:rStyle w:val="SectionNumber"/>
        </w:rPr>
        <w:t xml:space="preserve">3.8</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[82].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[88].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как и другие региональные нормы, заимствует диетологическую логику из здравоохранения.</w:t>
      </w:r>
    </w:p>
    <w:bookmarkEnd w:id="68"/>
    <w:bookmarkStart w:id="69" w:name="новосибирская-область"/>
    <w:p>
      <w:pPr>
        <w:pStyle w:val="Heading2"/>
      </w:pPr>
      <w:r>
        <w:rPr>
          <w:rStyle w:val="SectionNumber"/>
        </w:rPr>
        <w:t xml:space="preserve">3.9</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[47].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[47].</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[47]. СБКС (27 г) включена в нормы этих типов учреждений со сноской «по медицинским показаниям»; витаминно-минеральные комплексы — 50–100 % физиологической нормы [47].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В регионе с наиболее развитой практикой выбора норма не упоминает ни выбор, ни варианты блюд, ни замену продуктов (проверено по тексту [47]).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rPr>
          <w:rStyle w:val="SectionNumber"/>
        </w:rPr>
        <w:t xml:space="preserve">3.10</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[45].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[45].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[45].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[89].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[89].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[89]. На вопрос, меняли ли поправки граммы, отвечают их официальные тексты на Официальном интернет-портале правовой информации [89].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[45, 89].</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[45]. О выборе блюд в этих сведениях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4.10) [90]. Поскольку с 01.01.2026 раздел 1 норм адресован пансионатам, такой выбор должен укладываться в брутто-нормы этого раздела (толкование) [89].</w:t>
      </w:r>
    </w:p>
    <w:bookmarkEnd w:id="70"/>
    <w:bookmarkStart w:id="71" w:name="ленинградская-область"/>
    <w:p>
      <w:pPr>
        <w:pStyle w:val="Heading2"/>
      </w:pPr>
      <w:r>
        <w:rPr>
          <w:rStyle w:val="SectionNumber"/>
        </w:rPr>
        <w:t xml:space="preserve">3.11</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[46, 91].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[91].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[92].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[46]. СБКС (27 г) и витаминно-минеральные комплексы (50–100 %) включены в норму стационарного обслуживания без оговорки о медицинских показаниях [46].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46].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rPr>
          <w:rStyle w:val="SectionNumber"/>
        </w:rPr>
        <w:t xml:space="preserve">3.12</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[72],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[72]. После 2014 г. постановление № 306-п изменялось постановлениями от 27.03.2015 № 85-п, 30.12.2016 № 569-п, 09.06.2017 № 231-п, 01.10.2021 № 406-п и 12.08.2024 № 306-п [93]. Приложение 1 (нормы в стационарной форме) затронуто лишь изменениями от 06.09.2014 и 09.06.2017: постановлением № 231-п оно изложено в новой редакции, действующей поныне [93].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[93].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[72, 93].</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[46, 93].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46, 72].</w:t>
      </w:r>
    </w:p>
    <w:bookmarkEnd w:id="72"/>
    <w:bookmarkStart w:id="73" w:name="X00d3de5e234226ca574f6e2fd93a9ea259eabf5"/>
    <w:p>
      <w:pPr>
        <w:pStyle w:val="Heading2"/>
      </w:pPr>
      <w:r>
        <w:rPr>
          <w:rStyle w:val="SectionNumber"/>
        </w:rPr>
        <w:t xml:space="preserve">3.13</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45–47, 71, 93]; с 01.01.2027 к «обеим величинам» добавляется Московская область по № 20РВ-108 [83].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[81],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[46]</w:t>
            </w:r>
          </w:p>
        </w:tc>
        <w:tc>
          <w:tcPr/>
          <w:p>
            <w:pPr>
              <w:pStyle w:val="Compact"/>
            </w:pPr>
            <w:r>
              <w:t xml:space="preserve">НСО, брутто [47]</w:t>
            </w:r>
          </w:p>
        </w:tc>
        <w:tc>
          <w:tcPr/>
          <w:p>
            <w:pPr>
              <w:pStyle w:val="Compact"/>
            </w:pPr>
            <w:r>
              <w:t xml:space="preserve">НСО, ≈ нетто</w:t>
            </w:r>
          </w:p>
        </w:tc>
        <w:tc>
          <w:tcPr/>
          <w:p>
            <w:pPr>
              <w:pStyle w:val="Compact"/>
            </w:pPr>
            <w:r>
              <w:t xml:space="preserve">Красноярский край, брутто [45]</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следует проверять пары по своей региональной норме и в тех же единицах (брутто или нетто), в которых она выражена.</w:t>
      </w:r>
    </w:p>
    <w:bookmarkEnd w:id="73"/>
    <w:bookmarkStart w:id="74" w:name="X8eb27cf166f18a127646fce9d4ebaa9d6eac609"/>
    <w:p>
      <w:pPr>
        <w:pStyle w:val="Heading2"/>
      </w:pPr>
      <w:r>
        <w:rPr>
          <w:rStyle w:val="SectionNumber"/>
        </w:rPr>
        <w:t xml:space="preserve">3.14</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94]. Это учреждение здравоохранения, и его показатели на стоимость питания в социальном обслуживании прямо не переносятся. Методически значим вывод аудита: наличие норм не гарантирует их исполнения, поэтому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4"/>
    <w:bookmarkStart w:id="75" w:name="сравнение"/>
    <w:p>
      <w:pPr>
        <w:pStyle w:val="Heading2"/>
      </w:pPr>
      <w:r>
        <w:rPr>
          <w:rStyle w:val="SectionNumber"/>
        </w:rPr>
        <w:t xml:space="preserve">3.15</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[70]</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[83]; полный текст не получен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[48]</w:t>
            </w:r>
          </w:p>
        </w:tc>
        <w:tc>
          <w:tcPr/>
          <w:p>
            <w:pPr>
              <w:pStyle w:val="Compact"/>
            </w:pPr>
            <w:r>
              <w:t xml:space="preserve">Нормы в ред. № 617 проверены по тексту [71];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[88]</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[47]</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[45]; официальные тексты изменений 2024–2025 гг. прочитаны: граммы взрослых норм не менялись [89]</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[46, 91, 92]</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[72, 93]</w:t>
            </w:r>
          </w:p>
        </w:tc>
      </w:tr>
    </w:tbl>
    <w:bookmarkEnd w:id="75"/>
    <w:bookmarkStart w:id="76" w:name="что-региональные-нормы-дают-выбору"/>
    <w:p>
      <w:pPr>
        <w:pStyle w:val="Heading2"/>
      </w:pPr>
      <w:r>
        <w:rPr>
          <w:rStyle w:val="SectionNumber"/>
        </w:rPr>
        <w:t xml:space="preserve">3.16</w:t>
      </w:r>
      <w:r>
        <w:tab/>
      </w:r>
      <w:r>
        <w:t xml:space="preserve">Что региональные нормы дают выбору</w:t>
      </w:r>
    </w:p>
    <w:p>
      <w:pPr>
        <w:pStyle w:val="FirstParagraph"/>
      </w:pPr>
      <w:r>
        <w:t xml:space="preserve">Региональная норма задаёт суточное количество продуктов по группам и почти никогда — набор блюд, число вариантов, время и место подачи. Возникающую организационную свободу учреждения на практике, как правило, не используют и сохраняют единое меню, поскольку оно упрощает расчёт раскладки (толкование).</w:t>
      </w:r>
    </w:p>
    <w:p>
      <w:pPr>
        <w:pStyle w:val="BodyText"/>
      </w:pPr>
      <w:r>
        <w:t xml:space="preserve">Для учреждения, вводящего выбор, из региональной нормы следуют четыре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[70].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3.13: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[46]).</w:t>
      </w:r>
    </w:p>
    <w:bookmarkEnd w:id="76"/>
    <w:bookmarkStart w:id="77" w:name="выводы-по-главе-3"/>
    <w:p>
      <w:pPr>
        <w:pStyle w:val="Heading2"/>
      </w:pPr>
      <w:r>
        <w:rPr>
          <w:rStyle w:val="SectionNumber"/>
        </w:rPr>
        <w:t xml:space="preserve">3.17</w:t>
      </w:r>
      <w:r>
        <w:tab/>
      </w:r>
      <w:r>
        <w:t xml:space="preserve">Выводы по главе 3</w:t>
      </w:r>
    </w:p>
    <w:p>
      <w:pPr>
        <w:pStyle w:val="BoxConclusion"/>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Нормативная рамка, таким образом, допускает выбор, но не обеспечивает его.</w:t>
      </w:r>
    </w:p>
    <w:bookmarkEnd w:id="77"/>
    <w:bookmarkEnd w:id="78"/>
    <w:bookmarkStart w:id="93"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79"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и дополненные при ежедневных проверках по 16.10.2026, закупочные извещения учреждений Самарской области, найденные 08.10.2026 и дополненные 13.10 и 14.10.2026 (п. 4.11), а также события госсектора (п. 4.12). Каждое сообщение рассмотрено в двух отношениях: что источник утверждает и о чём умалчивает. Сообщение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Первая редакция описывала единственный российский кейс (Болотнинский ПНИ) [1]. Здесь рассмотрены девять учреждений — восемь, описанных к 09.10.2026, и пансионат «Ветеран» (п. 4.10), — и одно региональное сообщение;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p>
      <w:pPr>
        <w:pStyle w:val="BodyText"/>
      </w:pPr>
      <w:r>
        <w:t xml:space="preserve">Общее ограничение касается закупочных сведений. Единая информационная система в сфере закупок (ЕИС) из среды подготовки доклада недоступна: соединение не устанавливалось при попытках 07.10.2026 (документация ДСО «Серафимовский»), 08.10.2026, 13.10.2026 и 14.10.2026 (самарские закупки, в том числе по прямым ссылкам на файлы), а агрегаторы закупок показывают карточки извещений и перечни файлов, но открывают сами файлы только после регистрации или за плату. Поэтому реквизиты извещений и начальные цены в главе сверены по агрегаторам, тогда как номера, даты и исполнители договоров, тексты технических заданий и контрактов независимо не сверены; ниже это ограничение не повторяется и отмечается пометкой «не сверено».</w:t>
      </w:r>
    </w:p>
    <w:bookmarkEnd w:id="79"/>
    <w:bookmarkStart w:id="80"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xCavea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о сохранении практики спустя два года.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0"/>
    <w:bookmarkStart w:id="81"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xCavea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для сценария 14 гл. 7 они задают порядок величин: если жители в состоянии подойти к линии, самообслуживание может сокращать время раздачи. Для жителей, которые к линии не подходят, вопрос остаётся открытым (п. 7.16).</w:t>
      </w:r>
    </w:p>
    <w:bookmarkEnd w:id="81"/>
    <w:bookmarkStart w:id="82"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xCavea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2"/>
    <w:bookmarkStart w:id="83"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xCavea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в этом из обнаруженных российских кейсов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3"/>
    <w:bookmarkStart w:id="84"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со слов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Последняя попытка найти оригинал сообщения министерства от 14.02.2025 предпринята 06.10.2026, также безрезультатно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xCavea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4"/>
    <w:bookmarkStart w:id="85"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xCavea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Создание межрегиональной площадки свидетельствует, что к 2026 г. практика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5"/>
    <w:bookmarkStart w:id="86"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[95].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[95].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[96]. Учреждение закупает услугу по 223-ФЗ («оказание услуг по организации питания», ОКПД2 56.29.19.000). По данным закупочных реестров [97, 98], цепочка 2026 г. выглядит так:</w:t>
      </w:r>
    </w:p>
    <w:p>
      <w:pPr>
        <w:pStyle w:val="Compact"/>
        <w:numPr>
          <w:ilvl w:val="0"/>
          <w:numId w:val="1004"/>
        </w:numPr>
      </w:pPr>
      <w:r>
        <w:t xml:space="preserve">договор на 2026 г. № 32515363453-01 от 02.12.2025 с ООО «АгроФуд» на 219 945 788 руб.;</w:t>
      </w:r>
    </w:p>
    <w:p>
      <w:pPr>
        <w:pStyle w:val="Compact"/>
        <w:numPr>
          <w:ilvl w:val="0"/>
          <w:numId w:val="1004"/>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4"/>
        </w:numPr>
      </w:pPr>
      <w:r>
        <w:t xml:space="preserve">конкурс на август — декабрь 2026 г. с начальной ценой 92 110 941,90 руб. (извещение № 32616197209);</w:t>
      </w:r>
    </w:p>
    <w:p>
      <w:pPr>
        <w:pStyle w:val="Compact"/>
        <w:numPr>
          <w:ilvl w:val="0"/>
          <w:numId w:val="1004"/>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Номера, даты и исполнители договоров взяты из реестра договоров ЕИС; агрегаторы этих договоров не показывают, поэтому они не сверены независимо (п. 4.1) [98].</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[97].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 цикличное, а не вариативное 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не установлено: документация конкурса не получена (попытка 07.10.2026, п. 4.1), а агрегаторы показывают лишь перечень файлов: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[97].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[98];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не сверены. Доли жителей и меню-пары не приводятся.</w:t>
      </w:r>
    </w:p>
    <w:p>
      <w:pPr>
        <w:pStyle w:val="BodyText"/>
      </w:pPr>
      <w:r>
        <w:t xml:space="preserve">ДСО «Серафимовский» — единственный обнаруженный российский кейс, в котором вариативное меню при аутсорсинге питания описано как действующая практика (заказ накануне, М1). Это не единственный случай сочетания аутсорсинга и вариативного меню: в Самарской области вариативное меню с 2025 г. указано в наименовании объекта закупки услуги питания у стороннего исполнителя, однако устройство выбора там неизвестно (п. 4.11) [99]. Кейс «Серафимовского»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указывает на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xCavea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[100].</w:t>
      </w:r>
    </w:p>
    <w:bookmarkEnd w:id="86"/>
    <w:bookmarkStart w:id="87"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(п. 3.4) [83].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xCavea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w:t>
      </w:r>
    </w:p>
    <w:bookmarkEnd w:id="87"/>
    <w:bookmarkStart w:id="88" w:name="пансионат-ветеран-красноярский-край"/>
    <w:p>
      <w:pPr>
        <w:pStyle w:val="Heading2"/>
      </w:pPr>
      <w:r>
        <w:rPr>
          <w:rStyle w:val="SectionNumber"/>
        </w:rPr>
        <w:t xml:space="preserve">4.10</w:t>
      </w:r>
      <w:r>
        <w:tab/>
      </w:r>
      <w:r>
        <w:t xml:space="preserve">Пансионат «Ветеран» (Красноярский край)</w:t>
      </w:r>
    </w:p>
    <w:p>
      <w:pPr>
        <w:pStyle w:val="FirstParagraph"/>
      </w:pPr>
      <w:r>
        <w:rPr>
          <w:b/>
          <w:bCs/>
        </w:rPr>
        <w:t xml:space="preserve">Что сообщает источник.</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14.10.2026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[90]. Сайт учреждения из среды подготовки доклада недоступен из-за ограничения по местоположению (ответ сервера 403);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сверено.</w:t>
      </w:r>
    </w:p>
    <w:p>
      <w:pPr>
        <w:pStyle w:val="BodyText"/>
      </w:pPr>
      <w:r>
        <w:t xml:space="preserve">Организация питания устанавливается лишь косвенно: в сентябре 2026 г. учреждение само закупало овощи и фрукты по 223-ФЗ (извещение № 32616352208, начальная цена 4,1 млн руб., договор от 05.10.2026) [101]. Это указывает на собственный пищеблок, а не на передачу приготовления стороннему исполнителю, как в Самарской области (п. 4.11); техническое задание не прочитано, и вывод остаётся толкованием. Поскольку с 01.01.2026 раздел 1 красноярских норм адресован пансионатам, выбор должен укладываться в брутто-нормы этого раздела (п. 3.10).</w:t>
      </w:r>
    </w:p>
    <w:p>
      <w:pPr>
        <w:pStyle w:val="BoxCaveat"/>
      </w:pPr>
      <w:r>
        <w:rPr>
          <w:b/>
          <w:bCs/>
        </w:rPr>
        <w:t xml:space="preserve">Чего источник не сообщает.</w:t>
      </w:r>
      <w:r>
        <w:t xml:space="preserve"> </w:t>
      </w:r>
      <w:r>
        <w:t xml:space="preserve">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Это самоотчёт учреждения: данных измерения нет, оценка «результат не заставил себя ждать» основана на отзывах жителей и метода не имеет.</w:t>
      </w:r>
    </w:p>
    <w:p>
      <w:pPr>
        <w:pStyle w:val="BodyText"/>
      </w:pPr>
      <w:r>
        <w:rPr>
          <w:b/>
          <w:bCs/>
        </w:rPr>
        <w:t xml:space="preserve">Модель.</w:t>
      </w:r>
      <w:r>
        <w:t xml:space="preserve"> </w:t>
      </w:r>
      <w:r>
        <w:t xml:space="preserve">Пансионат — девятое учреждение главы и первое в Сибирском федеральном округе за пределами Новосибирской и Иркутской областей. По формату это стартовая модель, описанная в п. 4.2–4.5: выбор из двух вариантов по отдельным позициям (каша, сок, суп), по-видимому в момент еды (М1; толкование — порядок выбора не описан), с ограничением круга участников жителями без диеты; выбор с части жителей начинали также Усть-Илимский ДСО и ДСО «Серафимовский».</w:t>
      </w:r>
    </w:p>
    <w:bookmarkEnd w:id="88"/>
    <w:bookmarkStart w:id="89" w:name="X14dcbfdac572c2481c823d6fb4b25ec02807b59"/>
    <w:p>
      <w:pPr>
        <w:pStyle w:val="Heading2"/>
      </w:pPr>
      <w:r>
        <w:rPr>
          <w:rStyle w:val="SectionNumber"/>
        </w:rPr>
        <w:t xml:space="preserve">4.11</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[99]. Всего обнаружено восемь учреждений, в предмете закупок которых значится «по вариативному меню» (перечень составлен 08.10.2026 и дополнен 13.10 и 14.10.2026), и одно учреждение, у которого «вариативное меню» указано лишь в названии файла документации. Учреждения с формулировкой «по вариативному меню» в предмете:</w:t>
      </w:r>
    </w:p>
    <w:p>
      <w:pPr>
        <w:pStyle w:val="Compact"/>
        <w:numPr>
          <w:ilvl w:val="0"/>
          <w:numId w:val="1005"/>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5"/>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(карточка с показом 28.08–14.09.2026; 17 269 464,28 руб.);</w:t>
      </w:r>
    </w:p>
    <w:p>
      <w:pPr>
        <w:pStyle w:val="Compact"/>
        <w:numPr>
          <w:ilvl w:val="0"/>
          <w:numId w:val="1005"/>
        </w:numPr>
      </w:pPr>
      <w:r>
        <w:t xml:space="preserve">Отрадненский дом-интернат для престарелых, инвалидов — на 2027 г. (№ 0142200001326016025 от 12.08.2026; 12 027 024,75 руб.; 13 975 койко-дней по 860,61 руб.);</w:t>
      </w:r>
    </w:p>
    <w:p>
      <w:pPr>
        <w:pStyle w:val="Compact"/>
        <w:numPr>
          <w:ilvl w:val="0"/>
          <w:numId w:val="1005"/>
        </w:numPr>
      </w:pPr>
      <w:r>
        <w:t xml:space="preserve">Чапаевский дом-интернат для престарелых, инвалидов — № 0142200001326016110 (12 597 084,15 руб.; 818,79 руб.);</w:t>
      </w:r>
    </w:p>
    <w:p>
      <w:pPr>
        <w:pStyle w:val="Compact"/>
        <w:numPr>
          <w:ilvl w:val="0"/>
          <w:numId w:val="1005"/>
        </w:numPr>
      </w:pPr>
      <w:r>
        <w:t xml:space="preserve">ДСО «Самарский» — № 0142200001326016190 (11 921 555,20 руб.);</w:t>
      </w:r>
    </w:p>
    <w:p>
      <w:pPr>
        <w:pStyle w:val="Compact"/>
        <w:numPr>
          <w:ilvl w:val="0"/>
          <w:numId w:val="1005"/>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5"/>
        </w:numPr>
      </w:pPr>
      <w:r>
        <w:t xml:space="preserve">Самарский областной геронтологический центр — № 0142200001326016552 от 21.08.2026 (16 348 592,28 руб.; 582,36 руб. за койко-день); карточка внесена 13.10.2026 [99];</w:t>
      </w:r>
    </w:p>
    <w:p>
      <w:pPr>
        <w:pStyle w:val="Compact"/>
        <w:numPr>
          <w:ilvl w:val="0"/>
          <w:numId w:val="1005"/>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внесена 14.10.2026 [99].</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[99].</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[99]. В документации Потаповского дома-интерната на 2026 г. значится файл «4-44 Аутсорсинг.docx» [99].</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[99]. Если эти сведения подтвердятся по ЕИС,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 не сверено).</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[102].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xCaveat"/>
      </w:pPr>
      <w:r>
        <w:rPr>
          <w:b/>
          <w:bCs/>
        </w:rPr>
        <w:t xml:space="preserve">Чего источники не сообщают.</w:t>
      </w:r>
      <w:r>
        <w:t xml:space="preserve"> </w:t>
      </w:r>
      <w:r>
        <w:t xml:space="preserve">Тексты технических заданий и меню, находящиеся в открытом доступе в ЕИС, не прочитаны (п. 4.1).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По меньшей мере в одном субъекте вариативное меню вошло в наименование объекта закупки услуги питания у восьми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по одной из них заключён контракт. Тем самым рекомендация сценариев 6 и 8 гл. 7 — записывать выбор в документацию закупки, а не оставлять его на договорённости с исполнителем — в российской практике уже реализуется, по крайней мере на уровне предмета закупки. Наименование объекта закупки и параметры извещений — факт по вторичным карточкам; содержание обязательств исполнителя не сверено.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89"/>
    <w:bookmarkStart w:id="90" w:name="X52da36ed266fc280e97ee80971077599c7c2747"/>
    <w:p>
      <w:pPr>
        <w:pStyle w:val="Heading2"/>
      </w:pPr>
      <w:r>
        <w:rPr>
          <w:rStyle w:val="SectionNumber"/>
        </w:rPr>
        <w:t xml:space="preserve">4.12</w:t>
      </w:r>
      <w:r>
        <w:tab/>
      </w:r>
      <w:r>
        <w:t xml:space="preserve">Хроника событий госсектора: январь — октябрь 2026 г.</w:t>
      </w:r>
    </w:p>
    <w:p>
      <w:pPr>
        <w:pStyle w:val="FirstParagraph"/>
      </w:pPr>
      <w:r>
        <w:rPr>
          <w:b/>
          <w:bCs/>
        </w:rPr>
        <w:t xml:space="preserve">Метод.</w:t>
      </w:r>
      <w:r>
        <w:t xml:space="preserve"> </w:t>
      </w:r>
      <w:r>
        <w:t xml:space="preserve">Обзор 09.10.2026 охватил период 28.09–09.10.2026: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Ежедневная проверка 14.10.2026 добавила два сообщения, опубликованных раньше этого периода и пропущенных предыдущими обзорами. Часть официальных сайтов (правительств Новосибирской и Волгоградской областей, ЕИС) из среды подготовки доклада не открылась; в таких случаях текст брался из копий, указывающих официальный источник, или помечен как сообщение СМИ. Журналы проверок и снимки текстов без персональных данных —</w:t>
      </w:r>
      <w:r>
        <w:t xml:space="preserve"> </w:t>
      </w:r>
      <w:r>
        <w:rPr>
          <w:rStyle w:val="VerbatimChar"/>
        </w:rPr>
        <w:t xml:space="preserve">raw/sources/gossektor-obzor-2026-09-28-10-09/</w:t>
      </w:r>
      <w:r>
        <w:t xml:space="preserve"> </w:t>
      </w:r>
      <w:r>
        <w:t xml:space="preserve">и</w:t>
      </w:r>
      <w:r>
        <w:t xml:space="preserve"> </w:t>
      </w:r>
      <w:r>
        <w:rPr>
          <w:rStyle w:val="VerbatimChar"/>
        </w:rPr>
        <w:t xml:space="preserve">raw/sources/gossektor-obzor-2026-10-14/</w:t>
      </w:r>
      <w:r>
        <w:t xml:space="preserve">. Записи хроники расположены в хронологическом порядке.</w:t>
      </w:r>
    </w:p>
    <w:p>
      <w:pPr>
        <w:pStyle w:val="BodyText"/>
      </w:pPr>
      <w:r>
        <w:rPr>
          <w:b/>
          <w:bCs/>
        </w:rPr>
        <w:t xml:space="preserve">Итог по федеральному уровню за 28.09–09.10.2026.</w:t>
      </w:r>
      <w:r>
        <w:t xml:space="preserve"> </w:t>
      </w:r>
      <w:r>
        <w:t xml:space="preserve">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поскольку ЕИС недоступна, полнота этого вывода не гарантирована.</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[103].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[104].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[104, 105]. Отчёт от 27.01.2026 на официальном сайте министерства не найден, а официальное сообщение от 29.01.2026 о питании не говорит [103]; формулировка приводится по сообщению СМИ. В этом эпизоде слово «вариативное» использовано в официальной отчётности как довод о надлежащих условиях в момент, когда условия оспаривались. Такой довод ничего не говорит ни о качестве продуктов, ни о том, как в ПНИ выбирают жители, не способные выразить предпочтение, и не может служить доказательством ни надлежащего, ни ненадлежащего питания; противоречие между отчётом министерства и показаниями сотрудников здесь не разрешается (толкование).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 (рекомендация).</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[85].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Это самоотчёт учреждения-участника: он подтверждает, что тема выбора блюд обсуждается в нижегородской сети учреждений (п. 3.6), но описанием практики не является и числа описанных кейсов не увеличивает.</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[106].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(слова органа власти в пересказе СМИ; не норма).</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[107].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[55]; отнесение к нему волгоградского контракта сделано по наименованию, реквизиты и условия контракта в ЕИС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[108].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[108].</w:t>
      </w:r>
    </w:p>
    <w:p>
      <w:pPr>
        <w:pStyle w:val="BodyText"/>
      </w:pPr>
      <w:r>
        <w:t xml:space="preserve">Волгоградское событие значимо не как кейс выбора — выбора в нём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4.11):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 не сверено.</w:t>
      </w:r>
    </w:p>
    <w:p>
      <w:pPr>
        <w:pStyle w:val="BodyText"/>
      </w:pPr>
      <w:r>
        <w:rPr>
          <w:b/>
          <w:bCs/>
        </w:rPr>
        <w:t xml:space="preserve">Итог хроники.</w:t>
      </w:r>
      <w:r>
        <w:t xml:space="preserve"> </w:t>
      </w:r>
      <w:r>
        <w:t xml:space="preserve">Сообщения органов власти и исполнителей показывают, что вариативное меню остаётся предметом публичных заявлений, однако ни одно из рассмотренных заявлений не сопровождалось опубликованным порядком выбора или данными о его последствиях.</w:t>
      </w:r>
    </w:p>
    <w:bookmarkEnd w:id="90"/>
    <w:bookmarkStart w:id="91" w:name="сводная-таблица"/>
    <w:p>
      <w:pPr>
        <w:pStyle w:val="Heading2"/>
      </w:pPr>
      <w:r>
        <w:rPr>
          <w:rStyle w:val="SectionNumber"/>
        </w:rPr>
        <w:t xml:space="preserve">4.13</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[96]</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(восемь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[99]</w:t>
            </w:r>
          </w:p>
        </w:tc>
        <w:tc>
          <w:tcPr/>
          <w:p>
            <w:pPr>
              <w:pStyle w:val="Compact"/>
            </w:pPr>
            <w:r>
              <w:t xml:space="preserve">26.08.2025 (извещение); «заказное меню» Кошкинского — в отчёте за 2017 г. [102]</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[107]</w:t>
            </w:r>
          </w:p>
        </w:tc>
        <w:tc>
          <w:tcPr/>
          <w:p>
            <w:pPr>
              <w:pStyle w:val="Compact"/>
            </w:pPr>
            <w:r>
              <w:t xml:space="preserve">06.10.2026 (официальное сообщение — без выбора); намерение ввести выбор — в рекламном материале оператора [108]</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[101]</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[90]</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1"/>
    <w:bookmarkStart w:id="92" w:name="X7f6c4da8ae6c9e43bf0f74d7d5577f15f7ccc21"/>
    <w:p>
      <w:pPr>
        <w:pStyle w:val="Heading2"/>
      </w:pPr>
      <w:r>
        <w:rPr>
          <w:rStyle w:val="SectionNumber"/>
        </w:rPr>
        <w:t xml:space="preserve">4.14</w:t>
      </w:r>
      <w:r>
        <w:tab/>
      </w:r>
      <w:r>
        <w:t xml:space="preserve">Выводы по главе 4: что следует из совокупности кейсов</w:t>
      </w:r>
    </w:p>
    <w:p>
      <w:pPr>
        <w:pStyle w:val="BoxConclusion"/>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[90]),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xConclusion"/>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 более осторожный вывод: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xConclusion"/>
      </w:pPr>
      <w:r>
        <w:t xml:space="preserve">Вариативное меню при аутсорсинге питания обнаружено в двух видах, и каждый известен лишь частично. В ДСО «Серафимовский» (учреждение автора) выбор описан как практика, но условия договора о выборе не проверены (п. 4.8) [96, 97]. Восемь бюджетных учреждений Самарской области закупают по 44-ФЗ приготовление питания «по вариативному меню», и по меньшей мере одна закупка завершилась контрактом (№ 101-26 от 10.11.2025), однако содержание технических заданий и контракта не установлено, а сообщений о том, как выбирают жители, нет (п. 4.11) [99]. Волгоградский офсетный контракт кейсом выбора не является (п. 4.12) [107, 108].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документация, на которой их можно проверить, известна, но не прочитана [22, 23].</w:t>
      </w:r>
    </w:p>
    <w:p>
      <w:pPr>
        <w:pStyle w:val="BoxConclusion"/>
      </w:pPr>
      <w:r>
        <w:t xml:space="preserve">Ни одно учреждение не опубликовало данных о весе жителей, потреблении или отходах до и после внедрения. Это основной пробел российской практики: без таких данных довод «популярное не самое полезное» невозможно ни подтвердить, ни опровергнуть. Российская практика, следовательно, показывает осуществимость выбора, но не его последствия.</w:t>
      </w:r>
    </w:p>
    <w:bookmarkEnd w:id="92"/>
    <w:bookmarkEnd w:id="93"/>
    <w:bookmarkStart w:id="110" w:name="научные-данные"/>
    <w:p>
      <w:pPr>
        <w:pStyle w:val="Heading1"/>
      </w:pPr>
      <w:r>
        <w:rPr>
          <w:rStyle w:val="SectionNumber"/>
        </w:rPr>
        <w:t xml:space="preserve">5</w:t>
      </w:r>
      <w:r>
        <w:tab/>
      </w:r>
      <w:r>
        <w:t xml:space="preserve">Научные данные</w:t>
      </w:r>
    </w:p>
    <w:bookmarkStart w:id="94"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В главе изложено,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4"/>
    <w:bookmarkStart w:id="95"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[109].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существен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[53].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5"/>
    <w:bookmarkStart w:id="96"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[110].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[110].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[111]. Этот вывод применим к российским ПНИ и домам-интернатам: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[100].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[112].</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показывают издержки: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[113].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6"/>
    <w:bookmarkStart w:id="97"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Качественные исследования объясняют, почему выбор не осуществляется даже тогда, когда жители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[114];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[115].</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[116].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[116]. Тем самым описан механизм неравенства, который вариативное меню может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служат источником проверочных вопросов, а не доказательством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7"/>
    <w:bookmarkStart w:id="98"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[117].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[118]. Авторы исходят из того, что во французских домах престарелых меню, время, место приёма пищи и место за столом обычно навязаны жителю. Работа даёт перечень недорогих мер с подтверждённым и неподтверждённым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[119].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[119]. Авторы признают, что рутинные данные удалось использовать лишь частично, а потери наблюдения и пропуски были велики. Работа показывает,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[120].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[121].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8"/>
    <w:bookmarkStart w:id="99"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[122].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[122].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Для доклада отсюда следует ограниченный вывод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99"/>
    <w:bookmarkStart w:id="100"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имеет эмпирическую основу, но иную, чем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[123].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[124].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[125].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0"/>
    <w:bookmarkStart w:id="101"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[126].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[127].</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1"/>
    <w:bookmarkStart w:id="102"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[128]. Для сравнения обзор приводит больничные данные: по нарративному обзору Williams и Walton (2011), медиана отходов с тарелки в 32 исследованиях составила 30 % [129],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[128].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[130].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[130]. Авторы заключают, что потеря массы возможна даже тогда, когда расчёт по меню и отходам показывает положительный баланс. Отсюда следуют два предостережения: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2"/>
    <w:bookmarkStart w:id="103"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[131].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[111] оно показывает, что вариативное меню, рассчитанное на мобильных и говорящих жителей, может оказаться недоступным почти половине жителей учреждения. Решения о консистенции являются клиническими и в докладе не рассматриваются.</w:t>
      </w:r>
    </w:p>
    <w:bookmarkEnd w:id="103"/>
    <w:bookmarkStart w:id="104"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[132].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[133]. Связь наблюдательная и причинности не доказывает, но согласуется с представлением о зависимости качества питания от кадрового обеспечения.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[134].</w:t>
      </w:r>
    </w:p>
    <w:bookmarkEnd w:id="104"/>
    <w:bookmarkStart w:id="105"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осуществимость вариативного меню определяется временем персонала.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[135]</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[136]</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[137]</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[138]</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[137];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[135, 136, 138].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[136, 138];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оценить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5"/>
    <w:bookmarkStart w:id="106"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[139]. В докладе «Не просто накормить» 8 долларов названы стоимостью сырья [22], тогда как по тексту статьи это стоимость всего кейтеринга.</w:t>
      </w:r>
    </w:p>
    <w:p>
      <w:pPr>
        <w:pStyle w:val="BodyText"/>
      </w:pPr>
      <w:r>
        <w:t xml:space="preserve">Прямой пересчёт австралийских цифр в рубли невозможен: различаются цены, состав затрат и устройство учреждений. Сопоставимо лишь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[100]). Российских опубликованных расчётов стоимости вариативного меню не обнаружено.</w:t>
      </w:r>
    </w:p>
    <w:bookmarkEnd w:id="106"/>
    <w:bookmarkStart w:id="107"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[116].</w:t>
      </w:r>
    </w:p>
    <w:bookmarkEnd w:id="107"/>
    <w:bookmarkStart w:id="108"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[109]</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[110]</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[111]</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[117]</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[118]</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[120]</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[121]</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[100]</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[128]</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[133]</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[123]</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[113]</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[119]</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[114]</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[115]</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[116]</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[122]</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[130]</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[135–138]</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8"/>
    <w:bookmarkStart w:id="109" w:name="выводы-по-главе-5"/>
    <w:p>
      <w:pPr>
        <w:pStyle w:val="Heading2"/>
      </w:pPr>
      <w:r>
        <w:rPr>
          <w:rStyle w:val="SectionNumber"/>
        </w:rPr>
        <w:t xml:space="preserve">5.16</w:t>
      </w:r>
      <w:r>
        <w:tab/>
      </w:r>
      <w:r>
        <w:t xml:space="preserve">Выводы по главе 5</w:t>
      </w:r>
    </w:p>
    <w:p>
      <w:pPr>
        <w:pStyle w:val="BoxConclusion"/>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w:t>
      </w:r>
    </w:p>
    <w:bookmarkEnd w:id="109"/>
    <w:bookmarkEnd w:id="110"/>
    <w:bookmarkStart w:id="124" w:name="зарубежное-регулирование"/>
    <w:p>
      <w:pPr>
        <w:pStyle w:val="Heading1"/>
      </w:pPr>
      <w:r>
        <w:rPr>
          <w:rStyle w:val="SectionNumber"/>
        </w:rPr>
        <w:t xml:space="preserve">6</w:t>
      </w:r>
      <w:r>
        <w:tab/>
      </w:r>
      <w:r>
        <w:t xml:space="preserve">Зарубежное регулирование</w:t>
      </w:r>
    </w:p>
    <w:bookmarkStart w:id="111"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1"/>
    <w:bookmarkStart w:id="112"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[140].</w:t>
      </w:r>
    </w:p>
    <w:p>
      <w:pPr>
        <w:pStyle w:val="BodyText"/>
      </w:pPr>
      <w:r>
        <w:t xml:space="preserve">Конструкция значима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[140].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[141].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[141].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[141].</w:t>
      </w:r>
    </w:p>
    <w:p>
      <w:pPr>
        <w:pStyle w:val="BodyText"/>
      </w:pPr>
      <w:r>
        <w:t xml:space="preserve">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3.16) (толкование).</w:t>
      </w:r>
    </w:p>
    <w:bookmarkEnd w:id="112"/>
    <w:bookmarkStart w:id="113"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[142].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[142].</w:t>
      </w:r>
    </w:p>
    <w:p>
      <w:pPr>
        <w:pStyle w:val="BodyText"/>
      </w:pPr>
      <w:r>
        <w:t xml:space="preserve">Шотландские стандарты дают пример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3"/>
    <w:bookmarkStart w:id="114"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[143].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[143].</w:t>
      </w:r>
    </w:p>
    <w:p>
      <w:pPr>
        <w:pStyle w:val="BodyText"/>
      </w:pPr>
      <w:r>
        <w:t xml:space="preserve">Американская норма наиболее близка к российскому «вариативному меню»: она требует не выбора из двух блюд на каждый приём пищи, а гарантированной альтернативы «сходной пищевой ценности» по запросу. Поскольку альтернатива по условию равноценна основному блюду, вопрос о соблюдении норм при такой конструкции не возникает (толкование).</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[144].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[144].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[144].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[144].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[145].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[145].</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4"/>
    <w:bookmarkStart w:id="115"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[146].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[146].</w:t>
      </w:r>
    </w:p>
    <w:p>
      <w:pPr>
        <w:pStyle w:val="BodyText"/>
      </w:pPr>
      <w:r>
        <w:t xml:space="preserve">Онтарийская норма показывает совместимость выбора и цикличности: цикл в 21 день сам предусматривает альтернативы на каждом приёме пищи. В ней проведено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[147].</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5"/>
    <w:bookmarkStart w:id="116"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[148].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[148]. Выбор в питании стал в Австралии предметом государственного стандарта после серии исследований, показавших, насколько мало его в действительности [111].</w:t>
      </w:r>
    </w:p>
    <w:bookmarkEnd w:id="116"/>
    <w:bookmarkStart w:id="117"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[149]. Стандарт описывает выбор как совокупность проверяемых операционных требований:</w:t>
      </w:r>
    </w:p>
    <w:p>
      <w:pPr>
        <w:pStyle w:val="Compact"/>
        <w:numPr>
          <w:ilvl w:val="0"/>
          <w:numId w:val="1006"/>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[149]. На плане меню несколько линий должны быть представлены наглядно, а рекомендуемая — выделена (первой строкой, цветом или символом) [149];</w:t>
      </w:r>
    </w:p>
    <w:p>
      <w:pPr>
        <w:pStyle w:val="Compact"/>
        <w:numPr>
          <w:ilvl w:val="0"/>
          <w:numId w:val="1006"/>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[149];</w:t>
      </w:r>
    </w:p>
    <w:p>
      <w:pPr>
        <w:pStyle w:val="Compact"/>
        <w:numPr>
          <w:ilvl w:val="0"/>
          <w:numId w:val="1006"/>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[149].;</w:t>
      </w:r>
    </w:p>
    <w:p>
      <w:pPr>
        <w:pStyle w:val="Compact"/>
        <w:numPr>
          <w:ilvl w:val="0"/>
          <w:numId w:val="1006"/>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[149];</w:t>
      </w:r>
    </w:p>
    <w:p>
      <w:pPr>
        <w:pStyle w:val="Compact"/>
        <w:numPr>
          <w:ilvl w:val="0"/>
          <w:numId w:val="1006"/>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[149];</w:t>
      </w:r>
    </w:p>
    <w:p>
      <w:pPr>
        <w:pStyle w:val="Compact"/>
        <w:numPr>
          <w:ilvl w:val="0"/>
          <w:numId w:val="1006"/>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[149];</w:t>
      </w:r>
    </w:p>
    <w:p>
      <w:pPr>
        <w:pStyle w:val="Compact"/>
        <w:numPr>
          <w:ilvl w:val="0"/>
          <w:numId w:val="1006"/>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[149];</w:t>
      </w:r>
    </w:p>
    <w:p>
      <w:pPr>
        <w:pStyle w:val="Compact"/>
        <w:numPr>
          <w:ilvl w:val="0"/>
          <w:numId w:val="1006"/>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[149];</w:t>
      </w:r>
    </w:p>
    <w:p>
      <w:pPr>
        <w:pStyle w:val="Compact"/>
        <w:numPr>
          <w:ilvl w:val="0"/>
          <w:numId w:val="1006"/>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[149];</w:t>
      </w:r>
    </w:p>
    <w:p>
      <w:pPr>
        <w:pStyle w:val="Compact"/>
        <w:numPr>
          <w:ilvl w:val="0"/>
          <w:numId w:val="1006"/>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[149],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[149].</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[150].</w:t>
      </w:r>
    </w:p>
    <w:bookmarkEnd w:id="117"/>
    <w:bookmarkStart w:id="118"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[151].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[151].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[151]. Тезис обращён к планированию рациона для групп с плохим аппетитом и норм не отменяет, но устанавливает приоритет, противоположный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[151].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[151].</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[151]. Базовое меню служит одновременно для расчёта пищевой ценности на уровне группы, для учёта потребления, для внутренних расчётов и для закупки [151]. Второй шаг — готовить в объёме, который реально съедается, и строить систему заказа так, чтобы минимизировать отходы [151]. Такая конструкция отвечает на вопрос о совместимости выбора с нормами (п. 3.16)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[151].</w:t>
      </w:r>
    </w:p>
    <w:bookmarkEnd w:id="118"/>
    <w:bookmarkStart w:id="119"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[152].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[152].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[152].</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19"/>
    <w:bookmarkStart w:id="120"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[153].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[154]. Критерии такого питания установлены приказом-уведомлением № 123 [155]:</w:t>
      </w:r>
    </w:p>
    <w:p>
      <w:pPr>
        <w:pStyle w:val="Compact"/>
        <w:numPr>
          <w:ilvl w:val="0"/>
          <w:numId w:val="1007"/>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7"/>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7"/>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7"/>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7"/>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7"/>
        </w:numPr>
      </w:pPr>
      <w:r>
        <w:t xml:space="preserve">договор заключается после ясного объяснения, что это дополнительная плата сверх обычной [155].</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Применим, однако, сам перечень гарантий: запрет ухудшения базового меню, информирование, согласие, медицинский фильтр и публичная цена.</w:t>
      </w:r>
    </w:p>
    <w:bookmarkEnd w:id="120"/>
    <w:bookmarkStart w:id="121" w:name="X335a4f457402e0cee31dd52e726a999b64c151d"/>
    <w:p>
      <w:pPr>
        <w:pStyle w:val="Heading2"/>
      </w:pPr>
      <w:r>
        <w:rPr>
          <w:rStyle w:val="SectionNumber"/>
        </w:rPr>
        <w:t xml:space="preserve">6.11</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[156]</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[156]</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[140]</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[140]</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Проверка трёх опор не превращает проектный каркас международного доклада в обзор опыта стран (рабочая база знаний, wiki/gaps.md, п. 11) [23].</w:t>
      </w:r>
    </w:p>
    <w:bookmarkEnd w:id="121"/>
    <w:bookmarkStart w:id="122" w:name="сводная-таблица-2"/>
    <w:p>
      <w:pPr>
        <w:pStyle w:val="Heading2"/>
      </w:pPr>
      <w:r>
        <w:rPr>
          <w:rStyle w:val="SectionNumber"/>
        </w:rPr>
        <w:t xml:space="preserve">6.12</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[140]</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[142]</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[143]</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[146]</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[148]</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[149]</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[151]</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[152]</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[153]; приказы-уведомления № 419 и № 123 [154, 155]</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2"/>
    <w:bookmarkStart w:id="123" w:name="выводы-по-главе-6"/>
    <w:p>
      <w:pPr>
        <w:pStyle w:val="Heading2"/>
      </w:pPr>
      <w:r>
        <w:rPr>
          <w:rStyle w:val="SectionNumber"/>
        </w:rPr>
        <w:t xml:space="preserve">6.13</w:t>
      </w:r>
      <w:r>
        <w:tab/>
      </w:r>
      <w:r>
        <w:t xml:space="preserve">Выводы по главе 6</w:t>
      </w:r>
    </w:p>
    <w:p>
      <w:pPr>
        <w:pStyle w:val="BoxConclusion"/>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К этому добавляются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23"/>
    <w:bookmarkEnd w:id="124"/>
    <w:bookmarkStart w:id="144"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5"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каждый сценарий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5"/>
    <w:bookmarkStart w:id="126"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3.16).</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8"/>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8"/>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8"/>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xClasses"/>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6"/>
    <w:bookmarkStart w:id="127"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xClasses"/>
      </w:pPr>
      <w:r>
        <w:rPr>
          <w:b/>
          <w:bCs/>
        </w:rPr>
        <w:t xml:space="preserve">Классы.</w:t>
      </w:r>
      <w:r>
        <w:t xml:space="preserve"> </w:t>
      </w:r>
      <w:r>
        <w:t xml:space="preserve">Норма — группы продуктов № 1284. Рекомендация — подбор пар внутри группы и потока.</w:t>
      </w:r>
    </w:p>
    <w:bookmarkEnd w:id="127"/>
    <w:bookmarkStart w:id="128"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[110]. По Wheeler и соавт., переход к выбору в момент еды увеличил производственные отходы с 55 до 90 г на жителя в день [100].</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xClasses"/>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8"/>
    <w:bookmarkStart w:id="129"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Это требование легко упустить: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xClasses"/>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29"/>
    <w:bookmarkStart w:id="130"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9"/>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9"/>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9"/>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целесообразно отбирать пробу каждого (рекомендация): без пробы одного из вариантов при пищевом отравлении источник установить нельзя (открытый вопрос — сценарий 13);</w:t>
      </w:r>
    </w:p>
    <w:p>
      <w:pPr>
        <w:pStyle w:val="Compact"/>
        <w:numPr>
          <w:ilvl w:val="0"/>
          <w:numId w:val="1009"/>
        </w:numPr>
      </w:pPr>
      <w:r>
        <w:t xml:space="preserve">сведения об аллергенах, если блюдо содержит ингредиенты с аллергенными свойствами (п. 43) [3].</w:t>
      </w:r>
    </w:p>
    <w:p>
      <w:pPr>
        <w:pStyle w:val="BoxClasses"/>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0"/>
    <w:bookmarkStart w:id="131"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[55, 56]. Петербургский пример двух контуров (ДСО «Серафимовский» — 223-ФЗ, ДСО «Тесовый берег» — 44-ФЗ) приведён в п. 2.10 [64].</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такого колебания не допускает.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[55].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[55].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[56].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Вариативное меню может быть указано и в самом предмете закупки, как в Самарской области (п. 4.11) [99]; технические задания самарских закупок не прочитаны, поэтому сопоставить их с восемью строками нельзя.</w:t>
      </w:r>
    </w:p>
    <w:p>
      <w:pPr>
        <w:pStyle w:val="BoxClasses"/>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1"/>
    <w:bookmarkStart w:id="132"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До начала пилота целесообразно собрать следующий комплект документов (рекомендация):</w:t>
      </w:r>
    </w:p>
    <w:p>
      <w:pPr>
        <w:pStyle w:val="Compact"/>
        <w:numPr>
          <w:ilvl w:val="0"/>
          <w:numId w:val="1010"/>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(приказ № 124) таким актом не являются: вариативное меню упомянуто в них одной фразой о месте приёма пищи (п. 4.8) [28].</w:t>
      </w:r>
    </w:p>
    <w:p>
      <w:pPr>
        <w:pStyle w:val="Compact"/>
        <w:numPr>
          <w:ilvl w:val="0"/>
          <w:numId w:val="1010"/>
        </w:numPr>
      </w:pPr>
      <w:r>
        <w:t xml:space="preserve">Утверждённое цикличное меню с указанием вариантов.</w:t>
      </w:r>
    </w:p>
    <w:p>
      <w:pPr>
        <w:pStyle w:val="Compact"/>
        <w:numPr>
          <w:ilvl w:val="0"/>
          <w:numId w:val="1010"/>
        </w:numPr>
      </w:pPr>
      <w:r>
        <w:t xml:space="preserve">Таблица замен с указанием источника и расчёт выполнения норм за период с учётом замен.</w:t>
      </w:r>
    </w:p>
    <w:p>
      <w:pPr>
        <w:pStyle w:val="Compact"/>
        <w:numPr>
          <w:ilvl w:val="0"/>
          <w:numId w:val="1010"/>
        </w:numPr>
      </w:pPr>
      <w:r>
        <w:t xml:space="preserve">Технологические документы на каждый вариант.</w:t>
      </w:r>
    </w:p>
    <w:p>
      <w:pPr>
        <w:pStyle w:val="Compact"/>
        <w:numPr>
          <w:ilvl w:val="0"/>
          <w:numId w:val="1010"/>
        </w:numPr>
      </w:pPr>
      <w:r>
        <w:t xml:space="preserve">Журналы бракеража и суточных проб с записями по каждому варианту.</w:t>
      </w:r>
    </w:p>
    <w:p>
      <w:pPr>
        <w:pStyle w:val="Compact"/>
        <w:numPr>
          <w:ilvl w:val="0"/>
          <w:numId w:val="1010"/>
        </w:numPr>
      </w:pPr>
      <w:r>
        <w:t xml:space="preserve">Учёт выбора: лист заказа (при заказе накануне) или ежедневная статистика распределения выбора.</w:t>
      </w:r>
    </w:p>
    <w:p>
      <w:pPr>
        <w:pStyle w:val="Compact"/>
        <w:numPr>
          <w:ilvl w:val="0"/>
          <w:numId w:val="1010"/>
        </w:numPr>
      </w:pPr>
      <w:r>
        <w:t xml:space="preserve">Протоколы совета (комиссии) по питанию, если такой создан.</w:t>
      </w:r>
    </w:p>
    <w:p>
      <w:pPr>
        <w:pStyle w:val="Compact"/>
        <w:numPr>
          <w:ilvl w:val="0"/>
          <w:numId w:val="1010"/>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На типовые вопросы проверяющего учреждение отвечает документами.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2"/>
    <w:bookmarkStart w:id="133"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4.14).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[100]. Средняя стоимость кейтеринга в австралийских учреждениях составляет 8,00 доллара в день, из них на сырьё приходится 6,08 доллара [139].</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[100].</w:t>
      </w:r>
    </w:p>
    <w:p>
      <w:pPr>
        <w:pStyle w:val="BoxLabel"/>
      </w:pPr>
      <w:r>
        <w:t xml:space="preserve">Открытый вопрос</w:t>
      </w:r>
    </w:p>
    <w:p>
      <w:pPr>
        <w:pStyle w:val="BoxQuestion"/>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[76]. Если допустить, что организация выбора увеличит расходы на питание на 10–20 % (допущение, близкое к результату Wheeler и соавт. [100]),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4.14)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[75, 76], то есть допущенный прирост в 20–40 раз превышает годовую индексацию. Из арифметики следует лишь, что полный переход крупного учреждения является вопросом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xCavea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Если учреждение закупает не продукты, а услугу по организации питания, как ДСО «Серафимовский» (п. 4.8) [96–98],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цикличное меню по вариантам диеты, приложенное к документации, выбором блюд не является (п. 1.2). При продуктовой закупке по рамочному договору с ценой единицы перераспределение осуществляется заявками без изменения договора (сценарии 6 и 12) [56].</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зависит от доброй воли исполнителя и при смене контрагента, как в ДСО «Серафимовский» в середине 2026 г. (п. 4.8) [98], подлежит согласованию заново (толкование). В бюджетном учреждении, закупающем по 44-ФЗ, как ДСО «Тесовый берег» [64],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[55].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3"/>
    <w:bookmarkStart w:id="134"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4"/>
    <w:bookmarkStart w:id="135"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(сценарий 15) [111].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[157]</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следует граница ответственности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1"/>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1"/>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1"/>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1"/>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1"/>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1"/>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Правовые основания (ч. 2 ст. 37 и ст. 43 Закона № 3185-1; подп. 15 п. 20 Правил № 305н) изложены в п. 2.4 и 2.9 [26,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(расчёт — сценарий 16).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[143] и не более 11 часов в шведских рекомендациях [151].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это вопрос режима питания, а не меню.</w:t>
      </w:r>
    </w:p>
    <w:bookmarkEnd w:id="135"/>
    <w:bookmarkStart w:id="136"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Проверка вариативного меню по одному дню неинформативна: в день, когда птицы нет в плане, любой выбор птицы выглядит «перерасходом». Контроль ведётся по накопительной ведомости за неделю или декаду (п. 3.16).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xClasses"/>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6"/>
    <w:bookmarkStart w:id="137"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[56].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[58, 62, 63].</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[46])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[55],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[151].</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[56].</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[68, 69].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xClasses"/>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7"/>
    <w:bookmarkStart w:id="138"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[48].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[48]</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Для вариативного меню отсюда следует, что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xLabel"/>
      </w:pPr>
      <w:r>
        <w:t xml:space="preserve">Открытый вопрос</w:t>
      </w:r>
    </w:p>
    <w:p>
      <w:pPr>
        <w:pStyle w:val="BoxQuestion"/>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[48]; если вариант рассматривается как самостоятельное блюдо, тот же локальный принцип распространяется на него без новой нормы.</w:t>
      </w:r>
    </w:p>
    <w:p>
      <w:pPr>
        <w:pStyle w:val="BoxClasses"/>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8"/>
    <w:bookmarkStart w:id="139"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BoxCaveat"/>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[149].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[48].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[135–138].</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[135–138]).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за этих 20 жителей фактически будет выбирать персонал.</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[135–138].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[136, 138]. Штатные нормативы российских учреждений доклад не анализировал; расчёт показывает лишь, что выбор для зависимых жителей определяется прежде всего кадровым обеспечением.</w:t>
      </w:r>
    </w:p>
    <w:p>
      <w:pPr>
        <w:pStyle w:val="BoxClasses"/>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39"/>
    <w:bookmarkStart w:id="140"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Обоснование.</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[116], в австралийских выбор был особенно низок у жителей на протёртой пище [111]. Для ПНИ и ДСО, где многие жители не говорят или говорят с трудом, этот вопрос имеет первостепенное значение.</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[149]; лондонские дома — сбор предпочтений при поступлении [116];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[149]</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[151]</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xCavea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[155].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[158];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2"/>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2"/>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Правовые основания — п. 2.4 и 2.9 (норма) [26, 27].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2"/>
        </w:numPr>
      </w:pPr>
      <w:r>
        <w:rPr>
          <w:i/>
          <w:iCs/>
        </w:rPr>
        <w:t xml:space="preserve">Текстура по шкале IDDSI</w:t>
      </w:r>
      <w:r>
        <w:t xml:space="preserve"> </w:t>
      </w:r>
      <w:r>
        <w:t xml:space="preserve">(уровни 0–7, п. 6.11) [156]: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Ни один из приведённых пунктов не является медицинской рекомендацией.</w:t>
      </w:r>
    </w:p>
    <w:p>
      <w:pPr>
        <w:pStyle w:val="BoxClasses"/>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0"/>
    <w:bookmarkStart w:id="141"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Обязанность обеспечивать условия для соблюдения постов (подп. 15 п. 20 Правил № 305н) и право жителя ПНИ соблюдать пост (ч. 2 ст. 37 Закона № 3185-1) изложены в п. 2.4 и 2.9 [26, 27].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3"/>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3"/>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3"/>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Выявленный пробел.</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xClasses"/>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1"/>
    <w:bookmarkStart w:id="142"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4.14) их не публикуют. Одна из причин состоит в том,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[128].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[128].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[159].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[100].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[160]. Wright и соавт. использовали Resident Foodservice Satisfaction Questionnaire и связали удовлетворённость с числом вариантов и временем между выбором и подачей [110]. Wheeler и соавт. ограничились пятибалльной шкалой Лайкерта [100].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[161]. Опросник дополняет анкеты для жителей и персонала, разработанные той же университетской группой [161].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[151].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[149].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[130].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[162].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[163]. Для российского ДСО отсюда следует, что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2"/>
    <w:bookmarkStart w:id="143" w:name="выводы-по-главе-7"/>
    <w:p>
      <w:pPr>
        <w:pStyle w:val="Heading2"/>
      </w:pPr>
      <w:r>
        <w:rPr>
          <w:rStyle w:val="SectionNumber"/>
        </w:rPr>
        <w:t xml:space="preserve">7.19</w:t>
      </w:r>
      <w:r>
        <w:tab/>
      </w:r>
      <w:r>
        <w:t xml:space="preserve">Выводы по главе 7</w:t>
      </w:r>
    </w:p>
    <w:p>
      <w:pPr>
        <w:pStyle w:val="BoxConclusion"/>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Основная трудность связана не с санитарными правилами,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w:t>
      </w:r>
    </w:p>
    <w:bookmarkEnd w:id="143"/>
    <w:bookmarkEnd w:id="144"/>
    <w:bookmarkStart w:id="162" w:name="контроль-кто-и-что-проверяет"/>
    <w:p>
      <w:pPr>
        <w:pStyle w:val="Heading1"/>
      </w:pPr>
      <w:r>
        <w:rPr>
          <w:rStyle w:val="SectionNumber"/>
        </w:rPr>
        <w:t xml:space="preserve">8</w:t>
      </w:r>
      <w:r>
        <w:tab/>
      </w:r>
      <w:r>
        <w:t xml:space="preserve">Контроль: кто и что проверяет</w:t>
      </w:r>
    </w:p>
    <w:bookmarkStart w:id="145"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Смешение предметов контроля приводит к тому, что учреждение отвечает санитарному инспектору о качестве социальной услуги, а ведомственному контролёру — о санитарных нормах. Ниже органы разграничены по предмету с указанием того, какой вопрос о выборе каждый из них вправе поставить.</w:t>
      </w:r>
    </w:p>
    <w:bookmarkEnd w:id="145"/>
    <w:bookmarkStart w:id="146"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6"/>
    <w:bookmarkStart w:id="147"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[164].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164].</w:t>
      </w:r>
    </w:p>
    <w:p>
      <w:pPr>
        <w:pStyle w:val="BodyText"/>
      </w:pPr>
      <w:r>
        <w:rPr>
          <w:b/>
          <w:bCs/>
        </w:rPr>
        <w:t xml:space="preserve">Роль органа субъекта.</w:t>
      </w:r>
      <w:r>
        <w:t xml:space="preserve"> </w:t>
      </w:r>
      <w:r>
        <w:t xml:space="preserve">С 01.07.2021 региональный государственный контроль на государственные дома-интернаты субъекта не распространяется: проверяющим органом является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[165]. Расхождение с прежними материалами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7"/>
    <w:bookmarkStart w:id="148"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165].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48"/>
    <w:bookmarkStart w:id="149"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[165]. Петербургское сообщение о вариативном меню прозвучало на заседании рабочей группы при Комитете по социальной политике [21]; обсуждение практики с учредителем снижает риск того, что её сочтут самовольным отступлением от порядка (толкование).</w:t>
      </w:r>
    </w:p>
    <w:bookmarkEnd w:id="149"/>
    <w:bookmarkStart w:id="150"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[165]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[166].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[166]. Учреждению присваивается категория: высшая (100 баллов), 1-я (85–99), 2-я (60–84), 3-я (30–59), 4-я (менее 30) [166].</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[166].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[166]. Учреждения по итогам претензионной работы выставили поставщикам штрафы на 1 754 034,89 руб. за полугодие [166].</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[166].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вариант будет отражён в отчёте как нарушение (рекомендация; противоречие внесено в гл. 9).</w:t>
      </w:r>
    </w:p>
    <w:bookmarkEnd w:id="150"/>
    <w:bookmarkStart w:id="151"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означает, что каждая замена должна иметь документальное основание и перед контрольно-счётным органом (сценарий 13).</w:t>
      </w:r>
    </w:p>
    <w:bookmarkEnd w:id="151"/>
    <w:bookmarkStart w:id="153"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[66].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[167]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2"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[65]. К претензиям к питанию в стационаре применяется ст. 6.6 [66]; в практике, однако, встречается и квалификация по общей ст. 6.3 — в деле 2023 г. в ЕАО, изложенном выше [167].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Ссылки на «сложившуюся практику» в каком бы то ни было направлении поэтому необоснованны.</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xCavea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[158].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[157],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2"/>
    <w:bookmarkEnd w:id="153"/>
    <w:bookmarkStart w:id="154"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[68, 69]. Для вариативного меню риск состоит в том, что спецификацию, составленную под конкретный вариант блюда, сочтут ограничивающей конкуренцию.</w:t>
      </w:r>
    </w:p>
    <w:bookmarkEnd w:id="154"/>
    <w:bookmarkStart w:id="155"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[79], а не в организациях социального обслуживания взрослых (п. 3.2).</w:t>
      </w:r>
    </w:p>
    <w:bookmarkEnd w:id="155"/>
    <w:bookmarkStart w:id="156"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[48].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[149].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[130]; поэтому низкие возвраты не доказывают достаточности питания конкретного жителя (п. 5.9).</w:t>
      </w:r>
    </w:p>
    <w:bookmarkEnd w:id="156"/>
    <w:bookmarkStart w:id="157"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предметом: проверяется, как учреждение отвечает на волю жителя, причём проверка проводится в ходе реального приёма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[144, 145].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[147].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[141].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[151].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[152].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[155].</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7"/>
    <w:bookmarkStart w:id="158"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[145, 147]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[147]</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[145, 147]</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[144, 145]</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[145, 147]</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[147]</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[145]</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[147]</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[144]</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58"/>
    <w:bookmarkStart w:id="159"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[48]</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[149]</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59"/>
    <w:bookmarkStart w:id="160"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Обязанность обеспечивать условия для соблюдения постов (подп. 15 п. 20 Правил по приказу № 305н; п. 2.4) [27] с 24.02.2026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0"/>
    <w:bookmarkStart w:id="161" w:name="выводы-по-главе-8"/>
    <w:p>
      <w:pPr>
        <w:pStyle w:val="Heading2"/>
      </w:pPr>
      <w:r>
        <w:rPr>
          <w:rStyle w:val="SectionNumber"/>
        </w:rPr>
        <w:t xml:space="preserve">8.16</w:t>
      </w:r>
      <w:r>
        <w:tab/>
      </w:r>
      <w:r>
        <w:t xml:space="preserve">Выводы по главе 8</w:t>
      </w:r>
    </w:p>
    <w:p>
      <w:pPr>
        <w:pStyle w:val="BoxConclusion"/>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1"/>
    <w:bookmarkEnd w:id="162"/>
    <w:bookmarkStart w:id="166"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3"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Их сглаживание скрыло бы от читателя степень достоверности отдельных утверждений.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3"/>
    <w:bookmarkStart w:id="164"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[65]; в практике встречается и ст. 6.3 (ЕАО, 2023 г., по сообщению СМИ [167])</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[100];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[79]</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[139]</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[55]</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[158]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[157];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[80]; в приказе № 228 прочитаны п. 1–2.1, в том числе допуск ±5 % калорийности по приёмам пищи при соблюдении среднего за неделю [70]; текст № 1068 прочитан: брутто, три графы, в том числе психоневрологические организации [81]. Оба приказа — акты одного ведомства, иерархии между ними нет; № 228 утверждает нормы для тех же адресатов позднее [70, 81]</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[82]; вид, дата и номер акта подтверждены справочной отметкой о признании утратившим силу прежнего приказа № 340 [88]</w:t>
            </w:r>
          </w:p>
        </w:tc>
        <w:tc>
          <w:tcPr/>
          <w:p>
            <w:pPr>
              <w:pStyle w:val="Compact"/>
            </w:pPr>
            <w:r>
              <w:t xml:space="preserve">Снято в седьмом проходе: акт является приказом Комитета по социальной защите от 14.07.2020 № 206 (п. 3.8)</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[46]</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164]; в Санкт-Петербурге полномочие Управления социального питания по контролю норм питания отменено с 01.01.2022 [165]</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[59])</w:t>
            </w:r>
          </w:p>
        </w:tc>
        <w:tc>
          <w:tcPr/>
          <w:p>
            <w:pPr>
              <w:pStyle w:val="Compact"/>
            </w:pPr>
            <w:r>
              <w:t xml:space="preserve">Постановление округа ставит критерием цель закупки, а не источник денег [58]; комментарий ГАРАНТ.РУ делает более узкий вывод [63]; блог неверно излагает предмет договора и позицию апелляции; под этим номером в открытой базе найдено только определение об отсрочке госпошлины [60]; дата (28.01.2026) и итог подтверждены вторым вторичным источником, который излагает позицию через цель закупки [61];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[62]</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[58];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[75, 76];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[149]</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46, 47, 72];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[93]</w:t>
            </w:r>
          </w:p>
        </w:tc>
        <w:tc>
          <w:tcPr/>
          <w:p>
            <w:pPr>
              <w:pStyle w:val="Compact"/>
            </w:pPr>
            <w:r>
              <w:t xml:space="preserve">Не противоречие; препятствие для прямого сравнения норм (п. 3.15)</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[166]</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и ХМАО (ред. 2017 г.) — в обеих величинах [33, 34, 45–47, 71, 93];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3.13)</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[58, 60]; в определении от 28.01.2026 по той же жалобе номер дела указан верно — А73-20917/2024 [62]</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49]</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[96]; закупки по 223-ФЗ — по карточкам агрегатора [97, 98]; цикличные меню из закупочной документации — по вариантам диеты, без выбора блюд; исполнитель сменился в середине 2026 г. [98].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[97]. 08.10.2026 найдены закупки шести бюджетных учреждений Самарской области по 44-ФЗ «по вариативному меню» (с 2025 г.; к 14.10.2026 — восьми учреждений, п. 4.11); их технические задания также не прочитаны [99]</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4.11)</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140, 156]</w:t>
            </w:r>
          </w:p>
        </w:tc>
        <w:tc>
          <w:tcPr/>
          <w:p>
            <w:pPr>
              <w:pStyle w:val="Compact"/>
            </w:pPr>
            <w:r>
              <w:t xml:space="preserve">Снято для трёх опор (п. 6.11);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4"/>
    <w:bookmarkStart w:id="165" w:name="выводы-по-главе-9"/>
    <w:p>
      <w:pPr>
        <w:pStyle w:val="Heading2"/>
      </w:pPr>
      <w:r>
        <w:rPr>
          <w:rStyle w:val="SectionNumber"/>
        </w:rPr>
        <w:t xml:space="preserve">9.3</w:t>
      </w:r>
      <w:r>
        <w:tab/>
      </w:r>
      <w:r>
        <w:t xml:space="preserve">Выводы по главе 9</w:t>
      </w:r>
    </w:p>
    <w:p>
      <w:pPr>
        <w:pStyle w:val="BoxConclusion"/>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[88], а пункт 33 — дополнением 07.10.2026, когда был прочитан текст определения Верховного Суда от 28.01.2026 [62].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xConclusion"/>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xConclusion"/>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В этих вопросах при практическом применении доклада необходима сверка с первоисточником; они положены в основу предложений главы 10.</w:t>
      </w:r>
    </w:p>
    <w:bookmarkEnd w:id="165"/>
    <w:bookmarkEnd w:id="166"/>
    <w:bookmarkStart w:id="171"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7"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4"/>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4"/>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4"/>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Образцом формулировки для взрослых может служить п. 2.1 московского приказа № 228 (п. 3.3) [70].</w:t>
      </w:r>
    </w:p>
    <w:p>
      <w:pPr>
        <w:pStyle w:val="Compact"/>
        <w:numPr>
          <w:ilvl w:val="0"/>
          <w:numId w:val="1014"/>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4"/>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[143], и из онтарийской модели цикла меню с выбором, утверждаемого диетологом при участии совета жителей [146].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[144].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4"/>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4"/>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Прочитанные региональные акты выражены в разных единицах, поэтому граммы нельзя напрямую сравнивать ни между ними, ни с № 520н (п. 3.13; гл. 9, позиция 39).</w:t>
      </w:r>
    </w:p>
    <w:p>
      <w:pPr>
        <w:pStyle w:val="Compact"/>
        <w:numPr>
          <w:ilvl w:val="0"/>
          <w:numId w:val="1014"/>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[100, 128]; пределы отходов как меры съеденного выявило исследование CLEVER [130].</w:t>
      </w:r>
    </w:p>
    <w:p>
      <w:pPr>
        <w:pStyle w:val="Compact"/>
        <w:numPr>
          <w:ilvl w:val="0"/>
          <w:numId w:val="1014"/>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[144, 147].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4"/>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[151] и онтарийского требования о рассмотрении времени приёмов пищи советом жителей [147].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[166].</w:t>
      </w:r>
    </w:p>
    <w:bookmarkEnd w:id="167"/>
    <w:bookmarkStart w:id="168"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5"/>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3.16). Образцом локальной формы служат таблицы взаимозаменяемости и замены по белкам и углеводам, утверждённые положением нижегородского дома-интерната [48].</w:t>
      </w:r>
    </w:p>
    <w:p>
      <w:pPr>
        <w:pStyle w:val="Compact"/>
        <w:numPr>
          <w:ilvl w:val="0"/>
          <w:numId w:val="1015"/>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Динамика петербургских тарифов 2025–2026 гг. по опубликованным документам не позволяет разделить влияние состава набора, цен и методики (п. 3.2.4;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5"/>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5"/>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[166]),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5"/>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68"/>
    <w:bookmarkStart w:id="169"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6"/>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6"/>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6"/>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6"/>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6"/>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[149] и опроса семьи у Yaxley и соавт. [161]; эти сведения составляют основу решений за тех, кто не может выразить выбор (сценарий 15).</w:t>
      </w:r>
    </w:p>
    <w:p>
      <w:pPr>
        <w:pStyle w:val="Compact"/>
        <w:numPr>
          <w:ilvl w:val="0"/>
          <w:numId w:val="1016"/>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[130].</w:t>
      </w:r>
    </w:p>
    <w:p>
      <w:pPr>
        <w:pStyle w:val="Compact"/>
        <w:numPr>
          <w:ilvl w:val="0"/>
          <w:numId w:val="1016"/>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[145, 147].</w:t>
      </w:r>
    </w:p>
    <w:p>
      <w:pPr>
        <w:pStyle w:val="Compact"/>
        <w:numPr>
          <w:ilvl w:val="0"/>
          <w:numId w:val="1016"/>
        </w:numPr>
      </w:pPr>
      <w:r>
        <w:rPr>
          <w:b/>
          <w:bCs/>
        </w:rPr>
        <w:t xml:space="preserve">Включать неговорящих и маломобильных</w:t>
      </w:r>
      <w:r>
        <w:t xml:space="preserve"> </w:t>
      </w:r>
      <w:r>
        <w:t xml:space="preserve">с первого этапа, а не после апробации выбора на самостоятельных жителях (сценарии 4, 10 и 15).</w:t>
      </w:r>
    </w:p>
    <w:p>
      <w:pPr>
        <w:pStyle w:val="Compact"/>
        <w:numPr>
          <w:ilvl w:val="0"/>
          <w:numId w:val="1016"/>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4.14), вопрос о пользе и вреде выбора эмпирически не решён.</w:t>
      </w:r>
    </w:p>
    <w:bookmarkEnd w:id="169"/>
    <w:bookmarkStart w:id="170" w:name="выводы-по-главе-10"/>
    <w:p>
      <w:pPr>
        <w:pStyle w:val="Heading2"/>
      </w:pPr>
      <w:r>
        <w:rPr>
          <w:rStyle w:val="SectionNumber"/>
        </w:rPr>
        <w:t xml:space="preserve">10.4</w:t>
      </w:r>
      <w:r>
        <w:tab/>
      </w:r>
      <w:r>
        <w:t xml:space="preserve">Выводы по главе 10</w:t>
      </w:r>
    </w:p>
    <w:p>
      <w:pPr>
        <w:pStyle w:val="BoxConclusion"/>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0"/>
    <w:bookmarkEnd w:id="171"/>
    <w:bookmarkStart w:id="172"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7"/>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164].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7"/>
        </w:numPr>
      </w:pPr>
      <w:r>
        <w:rPr>
          <w:b/>
          <w:bCs/>
        </w:rPr>
        <w:t xml:space="preserve">Смена санитарных правил не изменила ответа на вопрос о выборе.</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делают каждый дополнительный вариант отдельным объектом производственного контроля.</w:t>
      </w:r>
    </w:p>
    <w:p>
      <w:pPr>
        <w:numPr>
          <w:ilvl w:val="0"/>
          <w:numId w:val="1017"/>
        </w:numPr>
      </w:pPr>
      <w:r>
        <w:rPr>
          <w:b/>
          <w:bCs/>
        </w:rPr>
        <w:t xml:space="preserve">Основной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7"/>
        </w:numPr>
      </w:pPr>
      <w:r>
        <w:rPr>
          <w:b/>
          <w:bCs/>
        </w:rPr>
        <w:t xml:space="preserve">Региональные нормы оставляют выбору больше пространства,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7"/>
        </w:numPr>
      </w:pPr>
      <w:r>
        <w:rPr>
          <w:b/>
          <w:bCs/>
        </w:rPr>
        <w:t xml:space="preserve">Российская практика расширилась, но не измерена.</w:t>
      </w:r>
      <w:r>
        <w:t xml:space="preserve"> </w:t>
      </w:r>
      <w:r>
        <w:t xml:space="preserve">За 2024–2026 гг. найдены сообщения девяти учреждений и одного регионального органа (п. 4.2–4.10); последнее из них — сообщение краевого пансионата «Ветеран» в Красноярском крае, где с сентября 2026 г. жители без диеты выбирают кашу, сок и суп из двух вариантов (самоотчёт) [90];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Форматы варьируют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где выбор при аутсорсинге питания описан как практика; условия договора о выборе не проверены). В Самарской области с 2025 г. восемь бюджетных учреждений закупают по 44-ФЗ приготовление питания «по вариативному меню», так что вариативное меню указано уже в предмете закупки, а по меньшей мере одна закупка завершилась контрактом; содержание технических заданий и контракта не установлено [99].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что термин используется в официальной отчётности как довод, не подкреплённый документами выбора (п. 4.12; по сообщению СМИ) [104].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7"/>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[100]. Те же данные показывают издержки выбора в момент еды: рост производственных отходов и стоимости примерно на 9–20 % [100]. Систематические обзоры оценивают эффект вмешательств в организацию питания на пищевой статус как небольшой и плохо измеренный [120, 121].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[123] и в условиях нормированного набора не проверено.</w:t>
      </w:r>
    </w:p>
    <w:p>
      <w:pPr>
        <w:numPr>
          <w:ilvl w:val="0"/>
          <w:numId w:val="1017"/>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[140, 143, 146];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[149, 151, 155]. Ни один из изученных актов не устанавливает минимального числа вторых блюд. Перенос этих формул в российское право возможен только актом федерального или регионального уровня.</w:t>
      </w:r>
    </w:p>
    <w:p>
      <w:pPr>
        <w:numPr>
          <w:ilvl w:val="0"/>
          <w:numId w:val="1017"/>
        </w:numPr>
      </w:pPr>
      <w:r>
        <w:rPr>
          <w:b/>
          <w:bCs/>
        </w:rPr>
        <w:t xml:space="preserve">Выбор должен быть доступен маломобильным и невербальным жителям.</w:t>
      </w:r>
      <w:r>
        <w:t xml:space="preserve"> </w:t>
      </w:r>
      <w:r>
        <w:t xml:space="preserve">И австралийские данные о низком выборе для получающих протёртую пищу [111], и канадские данные о том, что пища изменённой консистенции назначена 47 % жителей [131], свидетельствуют, что вариативное меню, рассчитанное на мобильных и говорящих жителей,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7"/>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164].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[144, 145, 147].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7"/>
        </w:numPr>
      </w:pPr>
      <w:r>
        <w:rPr>
          <w:b/>
          <w:bCs/>
        </w:rPr>
        <w:t xml:space="preserve">Противоречия названы, но не устранены.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относится прежде всего к процедуре, а не к допустимости: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2"/>
    <w:bookmarkStart w:id="173"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8"/>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8"/>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8"/>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8"/>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8"/>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8"/>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8"/>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8"/>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8"/>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8"/>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8"/>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8"/>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8"/>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8"/>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8"/>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8"/>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8"/>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8"/>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8"/>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8"/>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8"/>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8"/>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8"/>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8"/>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8"/>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8"/>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8"/>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8"/>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8"/>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8"/>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8"/>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8"/>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8"/>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8"/>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8"/>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8"/>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8"/>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8"/>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8"/>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8"/>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8"/>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8"/>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8"/>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8"/>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8"/>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8"/>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8"/>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8"/>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8"/>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8"/>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8"/>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8"/>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8"/>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8"/>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8"/>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8"/>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8"/>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8"/>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8"/>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8"/>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8"/>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8"/>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8"/>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8"/>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8"/>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8"/>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8"/>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8"/>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8"/>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8"/>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8"/>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8"/>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8"/>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8"/>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8"/>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8"/>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8"/>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8"/>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8"/>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pStyle w:val="Compact"/>
        <w:numPr>
          <w:ilvl w:val="0"/>
          <w:numId w:val="1018"/>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8"/>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8"/>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8"/>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8"/>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8"/>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8"/>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8"/>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8"/>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8"/>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8"/>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8"/>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8"/>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8"/>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(дата обращения: 08.10.2026; дополнения: 13.10.2026, 14.10.2026).</w:t>
      </w:r>
    </w:p>
    <w:p>
      <w:pPr>
        <w:pStyle w:val="Compact"/>
        <w:numPr>
          <w:ilvl w:val="0"/>
          <w:numId w:val="1018"/>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8"/>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8"/>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8"/>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8"/>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8"/>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8"/>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8"/>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8"/>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8"/>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8"/>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8"/>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8"/>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8"/>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8"/>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8"/>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8"/>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8"/>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8"/>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8"/>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8"/>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8"/>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8"/>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8"/>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8"/>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8"/>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8"/>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8"/>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8"/>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8"/>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8"/>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8"/>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8"/>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8"/>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8"/>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8"/>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8"/>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8"/>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8"/>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8"/>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8"/>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8"/>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8"/>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8"/>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8"/>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8"/>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8"/>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8"/>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8"/>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8"/>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8"/>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8"/>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8"/>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8"/>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8"/>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8"/>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8"/>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8"/>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8"/>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8"/>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8"/>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8"/>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8"/>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8"/>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8"/>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8"/>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8"/>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8"/>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8"/>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8"/>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3"/>
    <w:bookmarkStart w:id="174"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[168]</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[169]</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[157]</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[55]</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[56]</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[65]</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49]</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[50]</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[51]</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[52]</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[74]</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[75, 76]</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[73]</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[70]</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[71, 84]</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[87]</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[82, 88]</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[45, 89]</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32а</w:t>
            </w:r>
          </w:p>
        </w:tc>
        <w:tc>
          <w:tcPr/>
          <w:p>
            <w:pPr>
              <w:pStyle w:val="Compact"/>
            </w:pPr>
            <w:r>
              <w:t xml:space="preserve">Распоряжение минсоцразвития Московской обл. от 22.05.2026 № 20РВ-108</w:t>
            </w:r>
          </w:p>
        </w:tc>
        <w:tc>
          <w:tcPr/>
          <w:p>
            <w:pPr>
              <w:pStyle w:val="Compact"/>
            </w:pPr>
            <w:r>
              <w:t xml:space="preserve">Н, с 01.01.2027</w:t>
            </w:r>
          </w:p>
        </w:tc>
        <w:tc>
          <w:tcPr/>
          <w:p>
            <w:pPr>
              <w:pStyle w:val="Compact"/>
            </w:pPr>
            <w:r>
              <w:t xml:space="preserve">Нормы питания, в том числе для страдающих психическими заболеваниями; нетто и брутто; нормы выбора нет; прочитаны резолютивная часть и начало таблиц (п. 3.4)</w:t>
            </w:r>
          </w:p>
        </w:tc>
        <w:tc>
          <w:tcPr/>
          <w:p>
            <w:pPr>
              <w:pStyle w:val="Compact"/>
            </w:pPr>
            <w:r>
              <w:t xml:space="preserve">[83]</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[140]</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[142]</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[143]</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[146]</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[164]</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[165]</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[80, 81]</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[46, 91, 92]</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[72, 93]</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[47]</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[48, 86]</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[58]</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[61] излагает позицию округа, а не ВС</w:t>
            </w:r>
          </w:p>
        </w:tc>
        <w:tc>
          <w:tcPr/>
          <w:p>
            <w:pPr>
              <w:pStyle w:val="Compact"/>
            </w:pPr>
            <w:r>
              <w:t xml:space="preserve">[60–62]</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[141]</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[144, 145]</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[147]</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[149]</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[151]</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[152]</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[154, 155]</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[158]</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[156]</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[96–98]</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[77, 78]</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[95]</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[99, 102]</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[78]</w:t>
            </w:r>
          </w:p>
        </w:tc>
      </w:tr>
    </w:tbl>
    <w:bookmarkEnd w:id="174"/>
    <w:bookmarkStart w:id="175"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5"/>
    <w:bookmarkStart w:id="184"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65]</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74, 75, 79]</w:t>
            </w:r>
          </w:p>
        </w:tc>
      </w:tr>
      <w:tr>
        <w:tc>
          <w:tcPr/>
          <w:p>
            <w:pPr>
              <w:pStyle w:val="Compact"/>
            </w:pPr>
            <w:r>
              <w:t xml:space="preserve">Практика регионов</w:t>
            </w:r>
          </w:p>
        </w:tc>
        <w:tc>
          <w:tcPr/>
          <w:p>
            <w:pPr>
              <w:pStyle w:val="Compact"/>
            </w:pPr>
            <w:r>
              <w:t xml:space="preserve">Вместо одного кейса — девять учреждений, региональное сообщение и закупки Самарской области; удалены детали, отсутствующие в источнике (выбор накануне в Болотнинском ПНИ)</w:t>
            </w:r>
          </w:p>
        </w:tc>
        <w:tc>
          <w:tcPr/>
          <w:p>
            <w:pPr>
              <w:pStyle w:val="Compact"/>
            </w:pPr>
            <w:r>
              <w:t xml:space="preserve">[5–21, 28, 29, 95]</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[140–153, 156]</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53, 100, 109–113, 117, 118, 120, 121, 126–129, 131–133, 139]</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75, 100, 139]</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6"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за счёт новых источников: число позиций в списке источников выросло с 98 до 132, в третьем проходе — до 136, в четвёртом — до 143, в пятом — до 147, в седьмом — до 153; динамика ежедневных дополнений приведена в таблице ниже.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6"/>
    <w:bookmarkStart w:id="177"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Текст прошёл литературную правку: устранены канцелярские связки, разделены длинные абзацы о деле № А73-20917/2024. Утверждения с источниками,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проведена по каждой главе.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[71]; изменения красноярского акта постановлениями № 74-п (2024) и № 892-п (2025) и отдельный раздел норм для ПНИ (с 2026 г. — ДСО) [89]; изменение ленинградского приказа от 04.08.2025 № 04-81 [91]</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[147]</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135–138]</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7"/>
    <w:bookmarkStart w:id="178"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[60, 61];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[70, 81];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[86];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[89];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[91];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[93];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[110];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[100]</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78"/>
    <w:bookmarkStart w:id="179"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Проход опирался на базовый доклад «Не просто накормить» [22]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доклад не говорит от имени Минтруда России и не назначает диет, текстур и лекарств.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[49]</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158]</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[156]</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[97]. Автор как руководитель учреждения 05.10.2026 подтвердил аутсорсинг питания [96];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79"/>
    <w:bookmarkStart w:id="180"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Внесены только факты, допускающие публикацию (без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и каждый — с публичным источником; отсутствие публичной сверки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[77];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[97, 98];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[97];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95]</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0"/>
    <w:bookmarkStart w:id="181"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включал целевую проверку одиннадцати пробелов, остававшихся открытыми в рабочей базе знаний (позиции 35–45 перечня wiki/gaps.md) [23], и приведение текста к нормам академической прозы.</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[88]; позиция 25 главы 9 снята.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остались: суточная проба на собственном пищеблоке (повторная сверка с текстом СанПиН 4282-26 прямой нормы не выявила); совместимость поста с нормами питания;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(на 06.10.2026 приказ № 1068 продолжал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первоисточник иркутского сообщения о формате «два первых, два вторых, гарниры».</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Каждая глава завершена выводами; аргументативные перечни переведены в связный текст; таблицы, сценарии, чек-листы и пронумерованные предложения сохранены. Список источников оформлен по ГОСТ Р 7.0.100-2018. Сверка ссылок [n] и чисел проведена после правки каждой главы. Исправлена неточность: в заключении число противоречий главы 9 было указано как 40 вместо 47.</w:t>
      </w:r>
    </w:p>
    <w:bookmarkEnd w:id="181"/>
    <w:bookmarkStart w:id="182" w:name="ежедневные-дополнения-07.1016.10.2026"/>
    <w:p>
      <w:pPr>
        <w:pStyle w:val="Heading2"/>
      </w:pPr>
      <w:r>
        <w:t xml:space="preserve">Ежедневные дополнения 07.10–16.10.2026</w:t>
      </w:r>
    </w:p>
    <w:p>
      <w:pPr>
        <w:pStyle w:val="FirstParagraph"/>
      </w:pPr>
      <w:r>
        <w:t xml:space="preserve">С 07.10.2026 доклад дополнялся по результатам ежедневных проверок (постоянное разрешение автора от 07.10.2026, расширенное 09.10.2026). Проверялись федеральные органы и порталы (Минтруд России, включая его сайт и Telegram-канал, Минздрав России, Роспотребнадзор, publication.pravo.gov.ru, regulation.gov.ru, Государственная Дума, Общественная палата, ОНФ, АСИ), региональные органы социальной защиты и учреждения, агрегаторы закупок по 44-ФЗ и 223-ФЗ, федеральные и региональные СМИ, сообщения прокуратур, а также открытые позиции перечня пробелов</w:t>
      </w:r>
      <w:r>
        <w:t xml:space="preserve"> </w:t>
      </w:r>
      <w:r>
        <w:rPr>
          <w:rStyle w:val="VerbatimChar"/>
        </w:rPr>
        <w:t xml:space="preserve">wiki/gaps.md</w:t>
      </w:r>
      <w:r>
        <w:t xml:space="preserve"> </w:t>
      </w:r>
      <w:r>
        <w:t xml:space="preserve">[23]. Во всех дополнениях новые факты вносились только с публичными источниками, классы утверждений не повышались, географические блокировки, регистрация и платный доступ не обходились; содержание, которое не удалось прочитать, помечено «не сверено». Федеральных актов, проектов, разъяснений и сообщений Минтруда России о вариативном меню за весь период не обнаружено. Ссылки на пункты доклада в записях этого приложения даны по нумерации на дату записи (соответствие действующей нумерации — в записи от 16.10.2026).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07.10.2026</w:t>
            </w:r>
          </w:p>
        </w:tc>
        <w:tc>
          <w:tcPr/>
          <w:p>
            <w:pPr>
              <w:pStyle w:val="Compact"/>
            </w:pPr>
            <w:r>
              <w:t xml:space="preserve">Позиции 39 и 43 перечня пробелов. Определение ВС № 303-ЭС25-15393 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ни цитаты, приводимой блогом, в тексте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r>
              <w:t xml:space="preserve">. Позиция 33 главы 9 снята: отказ в передаче жалобы позиции по существу не формулирует; критерий цели закупки остаётся позицией суда округа [58], вывод п. 2.10 — толкованием автора. Условия о выборе в ТЗ конкурса № 32616197209 и договоре № 32616197209-01 ДСО «Серафимовский» не прочитаны: ЕИС и электронная площадка недоступны,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из открытой карточки внесено деление предмета на три позиции в человеко-днях; доклад не утверждает ни наличия, ни отсутствия выбора блюд в договоре</w:t>
            </w:r>
          </w:p>
        </w:tc>
        <w:tc>
          <w:tcPr/>
          <w:p>
            <w:pPr>
              <w:pStyle w:val="Compact"/>
            </w:pPr>
            <w:r>
              <w:t xml:space="preserve">[60, 62, 97, 98]; п. 2.10, 4.8, сценарии 8 и 12, гл. 9 (поз. 33, 40, 44), прил. А (поз. 48)</w:t>
            </w:r>
          </w:p>
        </w:tc>
        <w:tc>
          <w:tcPr/>
          <w:p>
            <w:pPr>
              <w:pStyle w:val="Compact"/>
            </w:pPr>
            <w:r>
              <w:t xml:space="preserve">154</w:t>
            </w:r>
          </w:p>
        </w:tc>
      </w:tr>
      <w:tr>
        <w:tc>
          <w:tcPr/>
          <w:p>
            <w:pPr>
              <w:pStyle w:val="Compact"/>
            </w:pPr>
            <w:r>
              <w:t xml:space="preserve">08.10.2026</w:t>
            </w:r>
          </w:p>
        </w:tc>
        <w:tc>
          <w:tcPr/>
          <w:p>
            <w:pPr>
              <w:pStyle w:val="Compact"/>
            </w:pPr>
            <w:r>
              <w:t xml:space="preserve">Позиции 35–45 перечня пробелов. 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r>
              <w:t xml:space="preserve">. Вывод о том, что ДСО «Серафимовский» — единственный обнаруженный российский кейс вариативного меню при аутсорсинге питания, снят. Повторный поиск по суточной пробе, посту, оценке УСП, нормам СПб на 2027 г., СБКС, московскому приказу № 1068, карте предпочтений и иркутскому сообщению от 14.02.2025 нового не дал</w:t>
            </w:r>
          </w:p>
        </w:tc>
        <w:tc>
          <w:tcPr/>
          <w:p>
            <w:pPr>
              <w:pStyle w:val="Compact"/>
            </w:pPr>
            <w:r>
              <w:t xml:space="preserve">[99, 102]; новый п. 4.10, сводная таблица (п. 4.11), выводы (п. 4.12), сценарий 6, гл. 9 (поз. 44), гл. 11 (вывод 5), прил. А (поз. 65)</w:t>
            </w:r>
          </w:p>
        </w:tc>
        <w:tc>
          <w:tcPr/>
          <w:p>
            <w:pPr>
              <w:pStyle w:val="Compact"/>
            </w:pPr>
            <w:r>
              <w:t xml:space="preserve">156</w:t>
            </w:r>
          </w:p>
        </w:tc>
      </w:tr>
      <w:tr>
        <w:tc>
          <w:tcPr/>
          <w:p>
            <w:pPr>
              <w:pStyle w:val="Compact"/>
            </w:pPr>
            <w:r>
              <w:t xml:space="preserve">09.10.2026</w:t>
            </w:r>
          </w:p>
        </w:tc>
        <w:tc>
          <w:tcPr/>
          <w:p>
            <w:pPr>
              <w:pStyle w:val="Compact"/>
            </w:pPr>
            <w:r>
              <w:t xml:space="preserve">Обзор событий госсектора за 28.09–09.10.2026 по просьбе автора. Новосибирская область (28.09.2026; по сообщению СМИ) и Волгоградская область (06.10.2026; офсетный контракт, о выборе блюд не сказано); добавлена хроника событий (новый п. 4.11). Содержание проверочных листов регионального контроля Томской и Амурской областей применительно к питанию не проверялось. Найдено, но не включено как вне периода обзора: сообщение о вариативном меню Елецкого ДСО «Долголетие» (Липецкая область) от 09.06.2026, публикация Собинского ДСО (Владимирская область) от 25.09.2026; распоряжение Министерства социального развития Московской области от 22.05.2026 № 20РВ-108 внесено в перечень пробелов [23]</w:t>
            </w:r>
          </w:p>
        </w:tc>
        <w:tc>
          <w:tcPr/>
          <w:p>
            <w:pPr>
              <w:pStyle w:val="Compact"/>
            </w:pPr>
            <w:r>
              <w:t xml:space="preserve">[106–108]; п. 4.11, сводная таблица (п. 4.12), выводы (п. 4.13)</w:t>
            </w:r>
          </w:p>
        </w:tc>
        <w:tc>
          <w:tcPr/>
          <w:p>
            <w:pPr>
              <w:pStyle w:val="Compact"/>
            </w:pPr>
            <w:r>
              <w:t xml:space="preserve">159</w:t>
            </w:r>
          </w:p>
        </w:tc>
      </w:tr>
      <w:tr>
        <w:tc>
          <w:tcPr/>
          <w:p>
            <w:pPr>
              <w:pStyle w:val="Compact"/>
            </w:pPr>
            <w:r>
              <w:t xml:space="preserve">13.10.2026</w:t>
            </w:r>
          </w:p>
        </w:tc>
        <w:tc>
          <w:tcPr/>
          <w:p>
            <w:pPr>
              <w:pStyle w:val="Compact"/>
            </w:pPr>
            <w:r>
              <w:t xml:space="preserve">Окно 09.10–13.10.2026; пробелы п. 40, 43, 45–48. По нормативам социального питания СПб на 2027 г., СБКС, московскому приказу № 1068, иркутскому сообщению от 14.02.2025 и ТЗ по извещению № 32616197209 нового первоисточника нет. Реквизиты распоряжения МО № 20РВ-108 и проверочных листов Томской (№ 53) и Амурской (№ 766) областей подтверждены, полный текст не получен. Открыты карточки, не вошедшие 08.10.2026: Самарский областной геронтологический центр (№ 0142200001326016552; седьмое учреждение с формулировкой в предмете) и ДСО «Сызранский» (№ 0142200001326016098 / 6175; «вариативное» только в имени файла меню). Не внесены: записи Тальменского ДСО / ПНИ (Алтайский край) и ПНИ «Черемушки» в VK (2025 г. или без года; вне окна мониторинга)</w:t>
            </w:r>
          </w:p>
        </w:tc>
        <w:tc>
          <w:tcPr/>
          <w:p>
            <w:pPr>
              <w:pStyle w:val="Compact"/>
            </w:pPr>
            <w:r>
              <w:t xml:space="preserve">[99]; п. 4.10</w:t>
            </w:r>
          </w:p>
        </w:tc>
        <w:tc>
          <w:tcPr/>
          <w:p>
            <w:pPr>
              <w:pStyle w:val="Compact"/>
            </w:pPr>
            <w:r>
              <w:t xml:space="preserve">159 (позиция [99] расширена)</w:t>
            </w:r>
          </w:p>
        </w:tc>
      </w:tr>
      <w:tr>
        <w:tc>
          <w:tcPr/>
          <w:p>
            <w:pPr>
              <w:pStyle w:val="Compact"/>
            </w:pPr>
            <w:r>
              <w:t xml:space="preserve">14.10.2026</w:t>
            </w:r>
          </w:p>
        </w:tc>
        <w:tc>
          <w:tcPr/>
          <w:p>
            <w:pPr>
              <w:pStyle w:val="Compact"/>
            </w:pPr>
            <w:r>
              <w:t xml:space="preserve">Окно — с 13.10.2026 и пропущенное ранее; пробелы п. 35, 37, 40, 42–46; журнал —</w:t>
            </w:r>
            <w:r>
              <w:t xml:space="preserve"> </w:t>
            </w:r>
            <w:r>
              <w:rPr>
                <w:rStyle w:val="VerbatimChar"/>
              </w:rPr>
              <w:t xml:space="preserve">raw/sources/gossektor-obzor-2026-10-14/</w:t>
            </w:r>
            <w:r>
              <w:t xml:space="preserve">. Открыта карточка Потаповского дома-интерната (восьмое самарское учреждение с формулировкой в предмете); найден контракт № 101-26 от 10.11.2025 с ДС 1–4 и общий победитель трёх закупок 2025 г. Найдено распоряжение КЭПиСП от 28.05.2024 № 43-р (нормативы на 2025 г.). Внесены: семинар «Вариативное питание» в ДСО «Борский» (09.08.2026), отчёт министерства Кузбасса от 27.01.2026 (по сообщению СМИ; оспаривается), прокурорская практика ЕАО 2023 г. по ст. 6.3 КоАП. Суточная проба: утверждение поисковой сводки об обязательности для стационаров социального обслуживания текстом СанПиН 4282-26 не подтверждено. Не внесены: школьная сфера (Сургут), качество продукции (Орловская обл., Тверь), шаблон приказа об организации питания (вне предмета или без элемента выбора; шаблон в норму не возводится)</w:t>
            </w:r>
          </w:p>
        </w:tc>
        <w:tc>
          <w:tcPr/>
          <w:p>
            <w:pPr>
              <w:pStyle w:val="Compact"/>
            </w:pPr>
            <w:r>
              <w:t xml:space="preserve">[78, 99]; [85]–[167]; п. 3.2, 3.5, 4.10, 4.11, 4.13, 8.8, 8.14, гл. 7, 9 (поз. 5), 11; прил. А (поз. 63, 66)</w:t>
            </w:r>
          </w:p>
        </w:tc>
        <w:tc>
          <w:tcPr/>
          <w:p>
            <w:pPr>
              <w:pStyle w:val="Compact"/>
            </w:pPr>
            <w:r>
              <w:t xml:space="preserve">165</w:t>
            </w:r>
          </w:p>
        </w:tc>
      </w:tr>
      <w:tr>
        <w:tc>
          <w:tcPr/>
          <w:p>
            <w:pPr>
              <w:pStyle w:val="Compact"/>
            </w:pPr>
            <w:r>
              <w:t xml:space="preserve">15.10.2026</w:t>
            </w:r>
          </w:p>
        </w:tc>
        <w:tc>
          <w:tcPr/>
          <w:p>
            <w:pPr>
              <w:pStyle w:val="Compact"/>
            </w:pPr>
            <w:r>
              <w:t xml:space="preserve">Окно — с вечера 13.10 / проверки 14.10.2026 по утро 15.10.2026; пробелы п. 35, 37, 40, 42, 45; журнал —</w:t>
            </w:r>
            <w:r>
              <w:t xml:space="preserve"> </w:t>
            </w:r>
            <w:r>
              <w:rPr>
                <w:rStyle w:val="VerbatimChar"/>
              </w:rPr>
              <w:t xml:space="preserve">raw/sources/gossektor-obzor-2026-10-15/</w:t>
            </w:r>
            <w:r>
              <w:t xml:space="preserve">. Внесены: сообщение пансионата «Ветеран» (Красноярский край) от 14.10.2026 о выборе каши, сока и супа (самоотчёт) и приказ КСЗН Ленинградской области от 06.10.2026 № 04-87 (опубл. 07.10 и 12.10.2026; приложение 3 не затронуто). Не внесены: Адыгея (июль 2026 г.), Мамонтовский ДСО (2025 г.), Саянск (09.09.2026) — вне окна, по сообщениям СМИ или соцсетей, первоисточники не сверены</w:t>
            </w:r>
          </w:p>
        </w:tc>
        <w:tc>
          <w:tcPr/>
          <w:p>
            <w:pPr>
              <w:pStyle w:val="Compact"/>
            </w:pPr>
            <w:r>
              <w:t xml:space="preserve">[90, 92, 101]; п. 3.9, 3.10, 4.1, 4.11–4.13; гл. 11; прил. А (поз. 43)</w:t>
            </w:r>
          </w:p>
        </w:tc>
        <w:tc>
          <w:tcPr/>
          <w:p>
            <w:pPr>
              <w:pStyle w:val="Compact"/>
            </w:pPr>
            <w:r>
              <w:t xml:space="preserve">168</w:t>
            </w:r>
          </w:p>
        </w:tc>
      </w:tr>
      <w:tr>
        <w:tc>
          <w:tcPr/>
          <w:p>
            <w:pPr>
              <w:pStyle w:val="Compact"/>
            </w:pPr>
            <w:r>
              <w:t xml:space="preserve">16.10.2026</w:t>
            </w:r>
          </w:p>
        </w:tc>
        <w:tc>
          <w:tcPr/>
          <w:p>
            <w:pPr>
              <w:pStyle w:val="Compact"/>
            </w:pPr>
            <w:r>
              <w:t xml:space="preserve">Окно 15–16.10.2026. Распоряжение Московской области от 22.05.2026 № 20РВ-108 прочитано по официальной публикации в части резолютивной части и начала таблиц: нормы с 01.01.2027, в том числе для страдающих психическими заболеваниями, нетто и брутто, нормы выбора нет; это норма о продуктах на 2027 г., а не событие внедрения вариативного меню. Не внесено: сообщение СМИ от 15.10.2026 о приказе Саратовской области № 850 от 13.10.2026 (нормы питания) — первоисточник не получен, цифры в СМИ расходятся, элемента выбора нет. Новых несамарских закупок «по вариативному меню» и самоотчётов учреждений не найдено</w:t>
            </w:r>
          </w:p>
        </w:tc>
        <w:tc>
          <w:tcPr/>
          <w:p>
            <w:pPr>
              <w:pStyle w:val="Compact"/>
            </w:pPr>
            <w:r>
              <w:t xml:space="preserve">[83]; п. 3.4, сводная таблица гл. 3, п. 4.7, прил. А (поз. 32а)</w:t>
            </w:r>
          </w:p>
        </w:tc>
        <w:tc>
          <w:tcPr/>
          <w:p>
            <w:pPr>
              <w:pStyle w:val="Compact"/>
            </w:pPr>
            <w:r>
              <w:t xml:space="preserve">169</w:t>
            </w:r>
          </w:p>
        </w:tc>
      </w:tr>
    </w:tbl>
    <w:bookmarkEnd w:id="182"/>
    <w:bookmarkStart w:id="183" w:name="Xde4fa466a2291362c845a3cdf9b5267e8dbbb90"/>
    <w:p>
      <w:pPr>
        <w:pStyle w:val="Heading2"/>
      </w:pPr>
      <w:r>
        <w:t xml:space="preserve">16.10.2026: сводная академическая редакция — устранение повторов</w:t>
      </w:r>
    </w:p>
    <w:p>
      <w:pPr>
        <w:pStyle w:val="FirstParagraph"/>
      </w:pPr>
      <w:r>
        <w:t xml:space="preserve">Текст переработан целиком без внесения новых фактов. Устранены повторы: каждый факт изложен один раз в профильном разделе, в остальных местах дана отсылка «см. п. X» (определение предварительного заказа, порядок соблюдения поста, приказы № 935н и № 774н, тарифы Санкт-Петербурга, две модели закупки ДСО «Серафимовский», ограничения доступа к ЕИС, счёт самарских учреждений). Датированные добавления последних дней внесены в основной текст: сообщение пансионата «Ветеран» выделено в самостоятельный п. 4.10; записи о Кузбассе, ДСО «Борский», Новосибирской и Волгоградской областях объединены в хронику п. 4.12; описание московского областного распоряжения № 20РВ-108 перенесено в п. 3.4. Убраны риторические обороты, афористические концовки, лозунговые формулировки, метакомментарии и избыточные выделения. История подготовки сведена в настоящее приложение; запись о проверке 16.10.2026 перенесена сюда из приложения Г.</w:t>
      </w:r>
    </w:p>
    <w:p>
      <w:pPr>
        <w:pStyle w:val="BodyText"/>
      </w:pPr>
      <w:r>
        <w:rPr>
          <w:b/>
          <w:bCs/>
        </w:rPr>
        <w:t xml:space="preserve">Изменение нумерации.</w:t>
      </w:r>
      <w:r>
        <w:t xml:space="preserve"> </w:t>
      </w:r>
      <w:r>
        <w:t xml:space="preserve">Глава 3: после введения п. 3.4 (Московская область) прежние п. 3.4–3.15 стали п. 3.5–3.16. Глава 4: п. 4.10 — пансионат «Ветеран», п. 4.11 — Самарская область, п. 4.12 — хроника, п. 4.13 — сводная таблица, п. 4.14 — выводы. Ссылки в основном тексте приведены к новой нумерации; номера разделов выведены в оглавление и заголовки.</w:t>
      </w:r>
    </w:p>
    <w:p>
      <w:pPr>
        <w:pStyle w:val="BodyText"/>
      </w:pPr>
      <w:r>
        <w:rPr>
          <w:b/>
          <w:bCs/>
        </w:rPr>
        <w:t xml:space="preserve">Сверка.</w:t>
      </w:r>
      <w:r>
        <w:t xml:space="preserve"> </w:t>
      </w:r>
      <w:r>
        <w:t xml:space="preserve">После правки каждой главы сценарий сверки сравнил прежний и новый тексты: все ключи ссылок [n], числа, даты, реквизиты, пометки «не сверено», «по сообщению СМИ», «самоотчёт» и классы утверждений сохранились в докладе; числа, исключённые из отдельных глав, остались в профильных разделах. Противоречия главы 9 и открытые вопросы автора сохранены без изменений. Число позиций в списке источников — 169.</w:t>
      </w:r>
    </w:p>
    <w:bookmarkEnd w:id="183"/>
    <w:bookmarkEnd w:id="184"/>
    <w:bookmarkStart w:id="185"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[95]; положения о питании и журналов там нет; цикличные меню ТЗ 2026 г. перечислены в документации закупки [97]</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[75]</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[76]; приложен для сравнения с 2025 г. (сценарий 8)</w:t>
            </w:r>
          </w:p>
        </w:tc>
      </w:tr>
    </w:tbl>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terata" w:cs="Literata" w:eastAsia="Literata" w:hAnsi="Literata"/>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olos Text" w:cs="Golos Text" w:eastAsia="Golos Text" w:hAnsi="Golos Text"/>
      <w:b/>
      <w:color w:val="0E5A6B"/>
      <w:sz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Golos Text" w:cs="Golos Text" w:eastAsia="Golos Text" w:hAnsi="Golos Text"/>
      <w:b/>
      <w:color w:val="5B6570"/>
      <w:sz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pBdr>
        <w:bottom w:color="0E5A6B" w:space="4" w:sz="12" w:val="single"/>
      </w:pBdr>
      <w:keepNext/>
      <w:keepLines/>
      <w:spacing w:after="80" w:before="360"/>
      <w:outlineLvl w:val="0"/>
    </w:pPr>
    <w:rPr>
      <w:rFonts w:ascii="Golos Text" w:cs="Golos Text" w:eastAsia="Golos Text" w:hAnsi="Golos Text"/>
      <w:b/>
      <w:color w:val="0E5A6B"/>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olos Text" w:cs="Golos Text" w:eastAsia="Golos Text" w:hAnsi="Golos Text"/>
      <w:b/>
      <w:color w:val="1B1F24"/>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olos Text" w:cs="Golos Text" w:eastAsia="Golos Text" w:hAnsi="Golos Text"/>
      <w:b/>
      <w:color w:val="2F3A44"/>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olos Text" w:cs="Golos Text" w:eastAsia="Golos Text" w:hAnsi="Golos Text"/>
      <w:b/>
      <w:color w:val="2F3A44"/>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E5A6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Conclusion" w:type="paragraph">
    <w:name w:val="Box Conclusion"/>
    <w:basedOn w:val="BodyText"/>
    <w:qFormat/>
    <w:pPr>
      <w:pBdr>
        <w:left w:color="0E5A6B" w:space="8" w:sz="24" w:val="single"/>
      </w:pBdr>
      <w:shd w:color="auto" w:fill="EEF5F6" w:val="clear"/>
      <w:ind w:left="200" w:right="120"/>
    </w:pPr>
    <w:rPr/>
  </w:style>
  <w:style w:customStyle="1" w:styleId="BoxQuestion" w:type="paragraph">
    <w:name w:val="Box Question"/>
    <w:basedOn w:val="BodyText"/>
    <w:qFormat/>
    <w:pPr>
      <w:pBdr>
        <w:left w:color="C7682B" w:space="8" w:sz="24" w:val="single"/>
      </w:pBdr>
      <w:shd w:color="auto" w:fill="FDF3EA" w:val="clear"/>
      <w:ind w:left="200" w:right="120"/>
    </w:pPr>
    <w:rPr/>
  </w:style>
  <w:style w:customStyle="1" w:styleId="BoxClasses" w:type="paragraph">
    <w:name w:val="Box Classes"/>
    <w:basedOn w:val="BodyText"/>
    <w:qFormat/>
    <w:pPr>
      <w:pBdr>
        <w:left w:color="6B4FA0" w:space="8" w:sz="24" w:val="single"/>
      </w:pBdr>
      <w:shd w:color="auto" w:fill="F4F1FA" w:val="clear"/>
      <w:ind w:left="200" w:right="120"/>
    </w:pPr>
    <w:rPr/>
  </w:style>
  <w:style w:customStyle="1" w:styleId="BoxCaveat" w:type="paragraph">
    <w:name w:val="Box Caveat"/>
    <w:basedOn w:val="BodyText"/>
    <w:qFormat/>
    <w:pPr>
      <w:pBdr>
        <w:left w:color="8A949C" w:space="8" w:sz="24" w:val="single"/>
      </w:pBdr>
      <w:shd w:color="auto" w:fill="F5F6F7" w:val="clear"/>
      <w:ind w:left="200" w:right="120"/>
    </w:pPr>
    <w:rPr/>
  </w:style>
  <w:style w:customStyle="1" w:styleId="BoxSummary" w:type="paragraph">
    <w:name w:val="Box Summary"/>
    <w:basedOn w:val="BodyText"/>
    <w:qFormat/>
    <w:pPr>
      <w:pBdr>
        <w:left w:color="0E5A6B" w:space="8" w:sz="24" w:val="single"/>
      </w:pBdr>
      <w:shd w:color="auto" w:fill="EEF5F6" w:val="clear"/>
      <w:ind w:left="200" w:right="120"/>
    </w:pPr>
    <w:rPr>
      <w:rFonts w:ascii="Golos Text" w:cs="Golos Text" w:eastAsia="Golos Text" w:hAnsi="Golos Text"/>
    </w:rPr>
  </w:style>
  <w:style w:customStyle="1" w:styleId="BoxLabel" w:type="paragraph">
    <w:name w:val="Box Label"/>
    <w:basedOn w:val="BodyText"/>
    <w:pPr>
      <w:spacing w:after="40"/>
    </w:pPr>
    <w:rPr>
      <w:rFonts w:ascii="Golos Text" w:cs="Golos Text" w:eastAsia="Golos Text" w:hAnsi="Golos Text"/>
      <w:b/>
      <w:caps/>
      <w:color w:val="0E5A6B"/>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2026-10-16T06:26:09Z</dcterms:created>
  <dcterms:modified xsi:type="dcterms:W3CDTF">2026-10-16T06:26:09Z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16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