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Q&amp;A - 22 вопроса для спикера</w:t>
      </w:r>
    </w:p>
    <w:p>
      <w:pPr>
        <w:pStyle w:val="Author"/>
      </w:pPr>
      <w:r>
        <w:t xml:space="preserve">Чистяков Е. В.</w:t>
      </w:r>
    </w:p>
    <w:p>
      <w:pPr>
        <w:pStyle w:val="Date"/>
      </w:pPr>
      <w:r>
        <w:t xml:space="preserve">22.08.2026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9" w:name="qa-для-спикера-дискуссии-26082026"/>
    <w:p>
      <w:pPr>
        <w:pStyle w:val="Heading1"/>
      </w:pPr>
      <w:r>
        <w:t xml:space="preserve">Q&amp;A для спикера дискуссии 26.08.2026</w:t>
      </w:r>
    </w:p>
    <w:p>
      <w:pPr>
        <w:pStyle w:val="FirstParagraph"/>
      </w:pPr>
      <w:r>
        <w:rPr>
          <w:b/>
          <w:bCs/>
        </w:rPr>
        <w:t xml:space="preserve">Документ:</w:t>
      </w:r>
      <w:r>
        <w:t xml:space="preserve"> </w:t>
      </w:r>
      <w:r>
        <w:t xml:space="preserve">рабочий файл модератора сессии «Организация питания: опыт реализации проектов», 26.08.2026, 14:00–15:30, площадка № 2 — ДСО «Тесовый берег».</w:t>
      </w:r>
      <w:r>
        <w:t xml:space="preserve"> </w:t>
      </w:r>
      <w:r>
        <w:rPr>
          <w:b/>
          <w:bCs/>
        </w:rPr>
        <w:t xml:space="preserve">Версия: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Состав:</w:t>
      </w:r>
      <w:r>
        <w:t xml:space="preserve"> </w:t>
      </w:r>
      <w:r>
        <w:t xml:space="preserve">22 вопроса в 7 категориях.</w:t>
      </w:r>
      <w:r>
        <w:t xml:space="preserve"> </w:t>
      </w:r>
      <w:r>
        <w:rPr>
          <w:b/>
          <w:bCs/>
        </w:rPr>
        <w:t xml:space="preserve">Формат каждого ответа: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Короткий</w:t>
      </w:r>
      <w:r>
        <w:t xml:space="preserve"> </w:t>
      </w:r>
      <w:r>
        <w:t xml:space="preserve">(20–30 сек) — для устного ответа в зале.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Развёрнутый</w:t>
      </w:r>
      <w:r>
        <w:t xml:space="preserve"> </w:t>
      </w:r>
      <w:r>
        <w:t xml:space="preserve">— для аргументации в зале или после сессии.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Источник</w:t>
      </w:r>
      <w:r>
        <w:t xml:space="preserve"> </w:t>
      </w:r>
      <w:r>
        <w:t xml:space="preserve">— что подложить, если попросят.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Граница уверенности</w:t>
      </w:r>
      <w:r>
        <w:t xml:space="preserve"> </w:t>
      </w:r>
      <w:r>
        <w:t xml:space="preserve">— что можно утверждать, что — нет.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Избегать</w:t>
      </w:r>
      <w:r>
        <w:t xml:space="preserve"> </w:t>
      </w:r>
      <w:r>
        <w:t xml:space="preserve">— формулировка, которой нельзя отвечать.</w:t>
      </w:r>
    </w:p>
    <w:p>
      <w:r>
        <w:pict>
          <v:rect style="width:0;height:1.5pt" o:hralign="center" o:hrstd="t" o:hr="t"/>
        </w:pict>
      </w:r>
    </w:p>
    <w:bookmarkStart w:id="14" w:name="категория-1-юридические-5-вопросов"/>
    <w:p>
      <w:pPr>
        <w:pStyle w:val="Heading2"/>
      </w:pPr>
      <w:r>
        <w:t xml:space="preserve">Категория 1. Юридические (5 вопросов)</w:t>
      </w:r>
    </w:p>
    <w:bookmarkStart w:id="9" w:name="Xd0a6767df4f09a24dd81afd6770a5a46bc0a986"/>
    <w:p>
      <w:pPr>
        <w:pStyle w:val="Heading3"/>
      </w:pPr>
      <w:r>
        <w:t xml:space="preserve">Q1. Закон прямо требует вариативное меню в ПНИ?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«Нет. Закон не требует и не запрещает. 442-ФЗ даёт право на уважительное отношение, ИППСУ и пищевые предпочтения, где уместно. 3185-1 даёт право на гуманное отношение. СанПиН требует не менее 3 приёмов и диетическое по показаниям. Вариативность — организационная модель внутри этих рамок».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Федеральное право не обязывает предоставлять выбор каждого блюда. Ст. 9 442-ФЗ — право на «уважительное и гуманное отношение». Ст. 16 — ИППСУ «исходя из потребности гражданина». Ст. 32 ч. 4 — предельная плата 75 % среднедушевого дохода. Закон 3185-1 ст. 5 ч. 2 — «уважительное и гуманное отношение, исключающее унижение человеческого достоинства». Ст. 43 — права лиц, проживающих в стационарных организациях для лиц, страдающих психическими расстройствами. СанПиН 2.3/2.4.3590-20 п. 7.1.11 (до 31.08.2026) и СанПиН 2.3/2.4.4282-26 п. 56 подп. 11 (с 01.09.2026) — не менее 3 приёмов + диетическое по показаниям.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442-ФЗ, 3185-1, СанПиН 3590-20 / 4282-26.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— это прямая норма.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«Закон не запрещает» (как единственный аргумент). Лучше: «запрета нет, но и прямой обязанности нет; речь о выборе модели».</w:t>
      </w:r>
    </w:p>
    <w:p>
      <w:r>
        <w:pict>
          <v:rect style="width:0;height:1.5pt" o:hralign="center" o:hrstd="t" o:hr="t"/>
        </w:pict>
      </w:r>
    </w:p>
    <w:bookmarkEnd w:id="9"/>
    <w:bookmarkStart w:id="10" w:name="q2-учредитель-не-согласен--что-делать"/>
    <w:p>
      <w:pPr>
        <w:pStyle w:val="Heading3"/>
      </w:pPr>
      <w:r>
        <w:t xml:space="preserve">Q2. Учредитель не согласен — что делать?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«Уведомить, не запрашивать разрешение. Федеральный закон не запрещает. Региональные нормы — рекомендательные. Письмо-уведомление с обоснованием + согласование сроков пилота. Отказ учредителя — повод для протокола разногласий, не для отказа от пилота».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Письмо-уведомление (1 страница) с обоснованием (Новосибирская и Иркутская области, СПб; ссылки на СанПиН и 442-ФЗ; сроки пилота; точка пилота — одно отделение) + просьба о согласовании.</w:t>
      </w:r>
      <w:r>
        <w:t xml:space="preserve"> </w:t>
      </w:r>
      <w:r>
        <w:rPr>
          <w:b/>
          <w:bCs/>
        </w:rPr>
        <w:t xml:space="preserve">Не запрашивать разрешения</w:t>
      </w:r>
      <w:r>
        <w:t xml:space="preserve"> </w:t>
      </w:r>
      <w:r>
        <w:t xml:space="preserve">— уведомлять. Региональные нормы питания (например, ПП Москвы № 1068-ПП, ПП Красноярского края № 607-п) устанавливают граммовки и калорийность, но не запрещают вариативность в пределах раскладки. Если учредитель категорически против — это сигнал для эскалации, а не для отказа.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S030 (Комитет по соцполитике СПб, 22.07.2025), S031 (письмо Комитета 19.08.2026 о контроле за поставщиками), S015–S018 (практики учреждений).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федерального права; средняя — на уровне регионального (зависит от региона).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«Учредитель запретил — поэтому не делаем». Это ошибка — учредитель не имеет права запретить то, что не запрещено федеральным законом.</w:t>
      </w:r>
    </w:p>
    <w:p>
      <w:r>
        <w:pict>
          <v:rect style="width:0;height:1.5pt" o:hralign="center" o:hrstd="t" o:hr="t"/>
        </w:pict>
      </w:r>
    </w:p>
    <w:bookmarkEnd w:id="10"/>
    <w:bookmarkStart w:id="11" w:name="Xb4f8fe02f7c2de1dd7de03c96145bea1a91e5c5"/>
    <w:p>
      <w:pPr>
        <w:pStyle w:val="Heading3"/>
      </w:pPr>
      <w:r>
        <w:t xml:space="preserve">Q3. Прокуратура спрашивает про вариативное меню — что отвечать?</w:t>
      </w:r>
    </w:p>
    <w:p>
      <w:pPr>
        <w:pStyle w:val="FirstParagraph"/>
      </w:pPr>
      <w:r>
        <w:rPr>
          <w:b/>
          <w:bCs/>
        </w:rPr>
        <w:t xml:space="preserve">Короткий (30 сек):</w:t>
      </w:r>
      <w:r>
        <w:t xml:space="preserve"> </w:t>
      </w:r>
      <w:r>
        <w:t xml:space="preserve">«Не ссылкой на “запрета нет”, а комплектом документов: положение об организации питания, меню с вариантами, журнал заказа, журнал замен, пищевые карты, согласование с учредителем. Этот комплект закрывает тему. Формула “запрета нет” — слабый аргумент, нужна бумага, которая разрешает у вас».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Прокуратура проверяет</w:t>
      </w:r>
      <w:r>
        <w:t xml:space="preserve"> </w:t>
      </w:r>
      <w:r>
        <w:rPr>
          <w:b/>
          <w:bCs/>
        </w:rPr>
        <w:t xml:space="preserve">не “можно ли вариативно”, а “есть ли документы”</w:t>
      </w:r>
      <w:r>
        <w:t xml:space="preserve">. Дела по ст. 6.6 КоАП (нарушение санитарных правил) — про качество и достаточность, не про «два вторых» (S012: Кашин СРЦ 2022, Зеленогорск 2021, представление 19.03.2024). Постановление ВС РФ от 21.02.2019 № 11-АД19-4 (S022) — переквалификация 6.6 → 6.7 КоАП.</w:t>
      </w:r>
      <w:r>
        <w:t xml:space="preserve"> </w:t>
      </w:r>
      <w:r>
        <w:rPr>
          <w:b/>
          <w:bCs/>
        </w:rPr>
        <w:t xml:space="preserve">Минимальный комплект для прокурора:</w:t>
      </w:r>
      <w:r>
        <w:t xml:space="preserve"> </w:t>
      </w:r>
      <w:r>
        <w:t xml:space="preserve">положение, меню с вариантами, журнал заказа, журнал замен, пищевые карты, согласование с учредителем, приказ о рабочей группе, письмо-уведомление учредителю с ответом. 8 документов. Без комплекта та же практика выглядит как отступление от раскладки.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S012 (прокуратура, дела 6.6 КоАП), S022 (ВС РФ 2019), S031 (письмо Комитета 19.08.2026).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дел 6.6 КоАП; средняя — на уровне «как ответить конкретному прокурору» (зависит от региона).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«Закон не запрещает». Это</w:t>
      </w:r>
      <w:r>
        <w:t xml:space="preserve"> </w:t>
      </w:r>
      <w:r>
        <w:rPr>
          <w:b/>
          <w:bCs/>
        </w:rPr>
        <w:t xml:space="preserve">самая частая ошибка</w:t>
      </w:r>
      <w:r>
        <w:t xml:space="preserve"> </w:t>
      </w:r>
      <w:r>
        <w:t xml:space="preserve">директоров в диалоге с прокуратурой.</w:t>
      </w:r>
    </w:p>
    <w:p>
      <w:r>
        <w:pict>
          <v:rect style="width:0;height:1.5pt" o:hralign="center" o:hrstd="t" o:hr="t"/>
        </w:pict>
      </w:r>
    </w:p>
    <w:bookmarkEnd w:id="11"/>
    <w:bookmarkStart w:id="12" w:name="X5f923d330bd108f8a0f223149a917f045d80a98"/>
    <w:p>
      <w:pPr>
        <w:pStyle w:val="Heading3"/>
      </w:pPr>
      <w:r>
        <w:t xml:space="preserve">Q4. Кто несёт ответственность, если житель с дисфагией подавится?</w:t>
      </w:r>
    </w:p>
    <w:p>
      <w:pPr>
        <w:pStyle w:val="FirstParagraph"/>
      </w:pPr>
      <w:r>
        <w:rPr>
          <w:b/>
          <w:bCs/>
        </w:rPr>
        <w:t xml:space="preserve">Короткий (30 сек):</w:t>
      </w:r>
      <w:r>
        <w:t xml:space="preserve"> </w:t>
      </w:r>
      <w:r>
        <w:t xml:space="preserve">«Ответственность за систему контроля, не за каждое событие. Суды проверяют: был ли список риска, была ли таблица врача “лекарство × еда”, обучался ли персонал, задокументирован ли инцидент. Если всё это есть — обвинение в халатности не проходит».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Ст. 238 УК РФ (оказание услуг, не отвечающих требованиям безопасности), ст. 293 УК РФ (халатность), ст. 6.6 КоАП.</w:t>
      </w:r>
      <w:r>
        <w:t xml:space="preserve"> </w:t>
      </w:r>
      <w:r>
        <w:rPr>
          <w:b/>
          <w:bCs/>
        </w:rPr>
        <w:t xml:space="preserve">Ответственность наступает не за каждое событие, а за неработающий контроль.</w:t>
      </w:r>
      <w:r>
        <w:t xml:space="preserve"> </w:t>
      </w:r>
      <w:r>
        <w:t xml:space="preserve">Письмо учредителю о дефиците ресурсов не индульгенция, но доказательство своевременного реагирования.</w:t>
      </w:r>
      <w:r>
        <w:t xml:space="preserve"> </w:t>
      </w:r>
      <w:r>
        <w:rPr>
          <w:b/>
          <w:bCs/>
        </w:rPr>
        <w:t xml:space="preserve">Граница 4.0 исходного доклада (что кухня не назначает) — главный защитный механизм директора</w:t>
      </w:r>
      <w:r>
        <w:t xml:space="preserve">: текстуру назначает врач, кухня исполняет.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S012 (практика прокуратуры), S032/S033 (приказы Минздрава 330н/395н — лечебное питание).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средняя (юридическая практика различается по регионам).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«Кухня виновата». Это ошибка — кухня не назначает, врач назначает.</w:t>
      </w:r>
    </w:p>
    <w:p>
      <w:r>
        <w:pict>
          <v:rect style="width:0;height:1.5pt" o:hralign="center" o:hrstd="t" o:hr="t"/>
        </w:pict>
      </w:r>
    </w:p>
    <w:bookmarkEnd w:id="12"/>
    <w:bookmarkStart w:id="13" w:name="X219a6bc375dd3459c51e7e80de9c64a06259bc9"/>
    <w:p>
      <w:pPr>
        <w:pStyle w:val="Heading3"/>
      </w:pPr>
      <w:r>
        <w:t xml:space="preserve">Q5. Учреждение одновременно опекун жителя — это конфликт интересов?</w:t>
      </w:r>
    </w:p>
    <w:p>
      <w:pPr>
        <w:pStyle w:val="FirstParagraph"/>
      </w:pPr>
      <w:r>
        <w:rPr>
          <w:b/>
          <w:bCs/>
        </w:rPr>
        <w:t xml:space="preserve">Короткий (30 сек):</w:t>
      </w:r>
      <w:r>
        <w:t xml:space="preserve"> </w:t>
      </w:r>
      <w:r>
        <w:t xml:space="preserve">«Да, и это не юридический нонсенс, а управленческая задача каждого ДСО. 99 % недееспособных жителей ПНИ находятся под опекой самого учреждения (117 000 чел., проект “Если быть точным” 2024). Закон 3185-1 ст. 5 ч. 2 говорит о праве на гуманное отношение — этот текст работает и тогда, когда опекун и поставщик совпадают».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Прямого запрета в федеральном законе нет, но ст. 41 ГК РФ (конфликт интересов опекуна) и ст. 23 48-ФЗ обязывают опекуна действовать в интересах подопечного. 99 % опеки в одном учреждении — это не уникальный риск Серафимовского, это</w:t>
      </w:r>
      <w:r>
        <w:t xml:space="preserve"> </w:t>
      </w:r>
      <w:r>
        <w:rPr>
          <w:b/>
          <w:bCs/>
        </w:rPr>
        <w:t xml:space="preserve">общероссийская норма</w:t>
      </w:r>
      <w:r>
        <w:t xml:space="preserve">. Решение — задокументированный процесс выражения воли (пищевая карта, журнал заказа, совет жителей), а не «особое юридическое лицо».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S004 (М-ebt, проект «Если быть точным», tochno.st), ст. 41 ГК РФ, ст. 23 48-ФЗ.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(прямая статистика); средняя (юридическая оценка конфликта интересов).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нет конфликта интересов» — это ошибка. Конфликт есть, его надо признать и управлять.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категория-2-медицинские-5-вопросов"/>
    <w:p>
      <w:pPr>
        <w:pStyle w:val="Heading2"/>
      </w:pPr>
      <w:r>
        <w:t xml:space="preserve">Категория 2. Медицинские (5 вопросов)</w:t>
      </w:r>
    </w:p>
    <w:bookmarkStart w:id="15" w:name="X1071917adf2619eb20d71f2bab8bac589d69fc5"/>
    <w:p>
      <w:pPr>
        <w:pStyle w:val="Heading3"/>
      </w:pPr>
      <w:r>
        <w:t xml:space="preserve">Q6. Дисфагия — это сколько процентов наших жителей?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«Мы не знаем. Систематический обзор Miarons Font, Rofes Salsench 2017 даёт 21,9–69,5 % в изученных клинических группах на антипсихотиках. Это не российские ДСО, и цифра для нашего учреждения может быть любой. Пилот за 90 дней даст собственные данные — список риска, скрининг GUSS (адаптированный), % подтверждённой дисфагии в нашем отделении».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Диапазон 21,9–69,5 % в обзоре 18 исследований (Eur J Gastroenterol Hepatol 2017;29(12):1332-9). Источник: Font L. et al.</w:t>
      </w:r>
      <w:r>
        <w:t xml:space="preserve"> </w:t>
      </w:r>
      <w:r>
        <w:rPr>
          <w:b/>
          <w:bCs/>
        </w:rPr>
        <w:t xml:space="preserve">Популяции — пациенты, принимающие антипсихотики, не российские ДСО; перенос не доказан.</w:t>
      </w:r>
      <w:r>
        <w:t xml:space="preserve"> </w:t>
      </w:r>
      <w:r>
        <w:t xml:space="preserve">Валидирующее исследование PMC10527768 (2023) — 26,2 % у AP-пользователей.</w:t>
      </w:r>
      <w:r>
        <w:t xml:space="preserve"> </w:t>
      </w:r>
      <w:r>
        <w:rPr>
          <w:b/>
          <w:bCs/>
        </w:rPr>
        <w:t xml:space="preserve">В российских ДСО распространённость не измерена.</w:t>
      </w:r>
      <w:r>
        <w:t xml:space="preserve"> </w:t>
      </w:r>
      <w:r>
        <w:t xml:space="preserve">Это первая задача врача в ФАЗЕ 1 пилота: сформировать список риска по 6 признакам (раздел 10.3 исходного доклада).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M-dysph_prev, M-dysph_rev.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обзора; низкая — на уровне переноса.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каждый третий-четвёртый» — без собственного замера.</w:t>
      </w:r>
    </w:p>
    <w:p>
      <w:r>
        <w:pict>
          <v:rect style="width:0;height:1.5pt" o:hralign="center" o:hrstd="t" o:hr="t"/>
        </w:pict>
      </w:r>
    </w:p>
    <w:bookmarkEnd w:id="15"/>
    <w:bookmarkStart w:id="16" w:name="q7-iddsi-внедрять--или-это-лишнее"/>
    <w:p>
      <w:pPr>
        <w:pStyle w:val="Heading3"/>
      </w:pPr>
      <w:r>
        <w:t xml:space="preserve">Q7. IDDSI внедрять — или это лишнее?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«IDDSI — это язык, на котором кухня, отделение и врач говорят о текстуре без потери смысла. Язык без назначения — пустая форма; назначение без языка — риск неисполнения. Внедрение начинается с обучения смены и одного постера на кухне. IDDSI не лечит — но без него “протёртое” у каждой смены разное».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Cichero J.A.Y. et al. Dysphagia 2017;32(2):293-314 — IDDSI framework, 8 уровней (0–7). Wu X.S. et al. Dysphagia 2022;37(5):1314-1325 — в 5 учреждениях aged care (общее long-term care,</w:t>
      </w:r>
      <w:r>
        <w:t xml:space="preserve"> </w:t>
      </w:r>
      <w:r>
        <w:rPr>
          <w:b/>
          <w:bCs/>
        </w:rPr>
        <w:t xml:space="preserve">не психиатрия</w:t>
      </w:r>
      <w:r>
        <w:t xml:space="preserve">) соответствие текстур выросло с 44 до 90 %; эффект сохранялся 6 мес.</w:t>
      </w:r>
      <w:r>
        <w:t xml:space="preserve"> </w:t>
      </w:r>
      <w:r>
        <w:rPr>
          <w:b/>
          <w:bCs/>
        </w:rPr>
        <w:t xml:space="preserve">Прямой перенос на психиатрический контингент не доказан</w:t>
      </w:r>
      <w:r>
        <w:t xml:space="preserve">, правомерно говорить о принципиальной воспроизводимости механизма (обучение → рост соответствия). IDDSI — терминология, не протокол. Текстуру назначает врач.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M-iddsi2017, M-iddsi_wu.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IDDSI как стандарт; средняя — на эффект в психиатрии.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«IDDSI — это лечебный протокол». Это ошибка.</w:t>
      </w:r>
    </w:p>
    <w:p>
      <w:r>
        <w:pict>
          <v:rect style="width:0;height:1.5pt" o:hralign="center" o:hrstd="t" o:hr="t"/>
        </w:pict>
      </w:r>
    </w:p>
    <w:bookmarkEnd w:id="16"/>
    <w:bookmarkStart w:id="17" w:name="q8-клозапин-и-кофе--что-делать"/>
    <w:p>
      <w:pPr>
        <w:pStyle w:val="Heading3"/>
      </w:pPr>
      <w:r>
        <w:t xml:space="preserve">Q8. Клозапин и кофе — что делать?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«Кухня не отменяет кофе. Врач оценивает риск и документирует решение. В таблице “лекарство × еда” на посту — строка про клозапин и кофеин. Hägg et al. 2000 (12 здоровых добровольцев, однократная доза) показал +19 % AUC клозапина при 400–1000 мг кофеина. У конкретного пациента эффект может быть другим. Решение — за врачом, не за поваром».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Hägg S. et al. Br J Clin Pharmacol 2000;49(1):59-63. 12 здоровых некурящих мужчин-добровольцев, однократная доза клозапина 12,5 мг, кофеин 400–1000 мг/день.</w:t>
      </w:r>
      <w:r>
        <w:t xml:space="preserve"> </w:t>
      </w:r>
      <w:r>
        <w:rPr>
          <w:b/>
          <w:bCs/>
        </w:rPr>
        <w:t xml:space="preserve">Не пациенты с шизофренией; однократная доза, не steady-state.</w:t>
      </w:r>
      <w:r>
        <w:t xml:space="preserve"> </w:t>
      </w:r>
      <w:r>
        <w:t xml:space="preserve">Клинические случаи тяжёлой токсичности описаны (Yartsev P. et al. 2021, PMC8043221). Кухня</w:t>
      </w:r>
      <w:r>
        <w:t xml:space="preserve"> </w:t>
      </w:r>
      <w:r>
        <w:rPr>
          <w:b/>
          <w:bCs/>
        </w:rPr>
        <w:t xml:space="preserve">не</w:t>
      </w:r>
      <w:r>
        <w:t xml:space="preserve"> </w:t>
      </w:r>
      <w:r>
        <w:t xml:space="preserve">отменяет кофе;</w:t>
      </w:r>
      <w:r>
        <w:t xml:space="preserve"> </w:t>
      </w:r>
      <w:r>
        <w:rPr>
          <w:b/>
          <w:bCs/>
        </w:rPr>
        <w:t xml:space="preserve">врач</w:t>
      </w:r>
      <w:r>
        <w:t xml:space="preserve"> </w:t>
      </w:r>
      <w:r>
        <w:t xml:space="preserve">оценивает риск и документирует. Если житель на клозапине стабильно пьёт кофе — это норма; если резко увеличивает — повод для оценки.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M-cloz_hagg, M-cloz_case, M-cloz_wd.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(механизм CYP1A2); средняя (конкретные цифры у конкретного пациента).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«Кофе при клозапине опасен, надо запретить». Это ошибка.</w:t>
      </w:r>
    </w:p>
    <w:p>
      <w:r>
        <w:pict>
          <v:rect style="width:0;height:1.5pt" o:hralign="center" o:hrstd="t" o:hr="t"/>
        </w:pict>
      </w:r>
    </w:p>
    <w:bookmarkEnd w:id="17"/>
    <w:bookmarkStart w:id="18" w:name="X1acafc69b4f8d9eff6907720553d3a578360545"/>
    <w:p>
      <w:pPr>
        <w:pStyle w:val="Heading3"/>
      </w:pPr>
      <w:r>
        <w:t xml:space="preserve">Q9. 76,3 % прибавка веса на клозапине — это про всех наших жителей?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«Нет. 76,3 % — это Campforts et al. 2023 (BJPsych Open 9(1):e18), мета-анализ 202 исследований,</w:t>
      </w:r>
      <w:r>
        <w:t xml:space="preserve"> </w:t>
      </w:r>
      <w:r>
        <w:rPr>
          <w:b/>
          <w:bCs/>
        </w:rPr>
        <w:t xml:space="preserve">клозапин &gt;38 недель</w:t>
      </w:r>
      <w:r>
        <w:t xml:space="preserve">. Это доля пациентов с прибавкой ≥7 %. Не все пациенты, не короткий курс, не молодые/пожилые отдельно. У нас доля будет другой — посчитайте свою за 6 месяцев».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rPr>
          <w:b/>
          <w:bCs/>
        </w:rPr>
        <w:t xml:space="preserve">76,3 %</w:t>
      </w:r>
      <w:r>
        <w:t xml:space="preserve"> </w:t>
      </w:r>
      <w:r>
        <w:t xml:space="preserve">— Campforts B. et al. BJPsych Open 2023;9(1):e18, клозапин &gt;38 нед, ≥7 % прибавка веса.</w:t>
      </w:r>
      <w:r>
        <w:t xml:space="preserve"> </w:t>
      </w:r>
      <w:r>
        <w:rPr>
          <w:b/>
          <w:bCs/>
        </w:rPr>
        <w:t xml:space="preserve">Не путать</w:t>
      </w:r>
      <w:r>
        <w:t xml:space="preserve"> </w:t>
      </w:r>
      <w:r>
        <w:t xml:space="preserve">с Pillinger T. et al. Lancet Psychiatry 2020;7(1):64-77, где диапазон по 18 антипсихотикам за медиану 6 нед: −0,23 кг (галоперидол) до +3,01 кг (клозапин).</w:t>
      </w:r>
      <w:r>
        <w:t xml:space="preserve"> </w:t>
      </w:r>
      <w:r>
        <w:rPr>
          <w:b/>
          <w:bCs/>
        </w:rPr>
        <w:t xml:space="preserve">Это разные исследования, разная методология, разные цифры.</w:t>
      </w:r>
      <w:r>
        <w:t xml:space="preserve"> </w:t>
      </w:r>
      <w:r>
        <w:t xml:space="preserve">Оланзапин по Campforts — 36,9 %; рисперидон 16–38 нед — 23,0 %.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M-crwg, M-pillinger.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на уровне обзоров; низкая — на уровне переноса на конкретное учреждение.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каждый второй на клозапине». Без собственного замера.</w:t>
      </w:r>
    </w:p>
    <w:p>
      <w:r>
        <w:pict>
          <v:rect style="width:0;height:1.5pt" o:hralign="center" o:hrstd="t" o:hr="t"/>
        </w:pict>
      </w:r>
    </w:p>
    <w:bookmarkEnd w:id="18"/>
    <w:bookmarkStart w:id="19" w:name="X0a61a17f9136b8b22cb3846cbb1476c3bf7802a"/>
    <w:p>
      <w:pPr>
        <w:pStyle w:val="Heading3"/>
      </w:pPr>
      <w:r>
        <w:t xml:space="preserve">Q10. Обезвоживание у жителей на загущённых жидкостях — как мониторить?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«Тёмная моча, сухость языка, сонливость вне режима. Объём выпитого за сутки (стакан как единица учёта) — на панели 5 чисел контингента. Steele SJ et al. Breathe 2021: убедительных данных о снижении респираторных осложнений при загущении нет, а нагрузка лечения есть. Решение о текстуре напитка — врача, с пересмотром, не навсегда».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Steele S.J., Ennis S.L., Dobler C.C. Breathe (Sheff) 2021;17(1):210003. doi: 10.1183/20734735.0003-2021. «There is no conclusive evidence to support thickened fluids to prevent dysphagia-related clinical complications, including aspiration pneumonia. Thickened fluids reduce HRQoL in patients with dysphagia.» Cochrane 2022 (CD012416.pub3) подтверждает, что профессиональный уход за полостью рта может снижать пневмонию-ассоциированную смертность (RR 0,43, 95 % ДИ 0,25–0,76), но с низкой определённостью.</w:t>
      </w:r>
      <w:r>
        <w:t xml:space="preserve"> </w:t>
      </w:r>
      <w:r>
        <w:rPr>
          <w:b/>
          <w:bCs/>
        </w:rPr>
        <w:t xml:space="preserve">«Загустить и забыть» — худшая стратегия.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M-dehydr_steele, M-dehydr_li, M-oral_yoneyama, M-oral_muller, Cochrane CD012416.pub3.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(механизмы); средняя (конкретные цифры в популяции).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«Загущённые напитки решают проблему аспирации». Это не доказано.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4" w:name="категория-3-финансовые-3-вопроса"/>
    <w:p>
      <w:pPr>
        <w:pStyle w:val="Heading2"/>
      </w:pPr>
      <w:r>
        <w:t xml:space="preserve">Категория 3. Финансовые (3 вопроса)</w:t>
      </w:r>
    </w:p>
    <w:bookmarkStart w:id="21" w:name="Xf8ec4852183bd48e4df11caabd23c86e104a4e7"/>
    <w:p>
      <w:pPr>
        <w:pStyle w:val="Heading3"/>
      </w:pPr>
      <w:r>
        <w:t xml:space="preserve">Q11. Вариативное питание дороже обычного — где деньги?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 дороже, если правильно. Семидневный замер отходов до пилота даст базовую цифру. В Успенском ПНИ и Болотнинском ПНИ (Новосибирская обл.) вариатив ввели без повышения сметы. Если после 90 дней выходит экономия — это побочный эффект, не цель. Цель — доступность выбора и безопасность».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В 4 публичных кейсах (Серафимовский, Успенский, Болотнинский, Иркутская обл.) вариатив введён</w:t>
      </w:r>
      <w:r>
        <w:t xml:space="preserve"> </w:t>
      </w:r>
      <w:r>
        <w:rPr>
          <w:b/>
          <w:bCs/>
        </w:rPr>
        <w:t xml:space="preserve">без повышения платы для жителей</w:t>
      </w:r>
      <w:r>
        <w:t xml:space="preserve">: разница в стоимости компенсировалась перераспределением продуктовой корзины, отказом от «несъедаемых» позиций и снижением отходов.</w:t>
      </w:r>
      <w:r>
        <w:t xml:space="preserve"> </w:t>
      </w:r>
      <w:r>
        <w:rPr>
          <w:b/>
          <w:bCs/>
        </w:rPr>
        <w:t xml:space="preserve">Но:</w:t>
      </w:r>
      <w:r>
        <w:t xml:space="preserve"> </w:t>
      </w:r>
      <w:r>
        <w:t xml:space="preserve">«национальной доли отходов нет» — её даёт семидневный замер в пилоте. Формула «вариативность почти бесплатна» в исходной версии доклада</w:t>
      </w:r>
      <w:r>
        <w:t xml:space="preserve"> </w:t>
      </w:r>
      <w:r>
        <w:rPr>
          <w:b/>
          <w:bCs/>
        </w:rPr>
        <w:t xml:space="preserve">снята</w:t>
      </w:r>
      <w:r>
        <w:t xml:space="preserve"> </w:t>
      </w:r>
      <w:r>
        <w:t xml:space="preserve">(анти-слоп контроль v1.5). Честная рамка: стоимость варьирует, замер обязателен.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S015, S016, S017, S018, S030.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средняя (конкретные суммы зависят от учреждения).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«Вариативность бесплатна» или «Вариативность дорога на 30 %». Оба — без замера.</w:t>
      </w:r>
    </w:p>
    <w:p>
      <w:r>
        <w:pict>
          <v:rect style="width:0;height:1.5pt" o:hralign="center" o:hrstd="t" o:hr="t"/>
        </w:pict>
      </w:r>
    </w:p>
    <w:bookmarkEnd w:id="21"/>
    <w:bookmarkStart w:id="22" w:name="q12-сырьевая-строка--зачем-её-считать"/>
    <w:p>
      <w:pPr>
        <w:pStyle w:val="Heading3"/>
      </w:pPr>
      <w:r>
        <w:t xml:space="preserve">Q12. Сырьевая строка — зачем её считать?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«Это первая цифра для всех финансовых аргументов. Без неё — “мы не знаем, сколько стоит еда”. Считается за 1 час: расходы на продукты за последний полный месяц ÷ жители ÷ дни. Если за 5 минут никто не называет своё число — это первая находка аудита, важнее самого числа».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Методика в исходном докладе 4.5, 29.3 и приложении 25. Региональные тарифы (Алтайский край — 422 руб./чел./день по решению Управления № 84 от 27.06.2025; S021 — региональные нормы) дают ориентир, но</w:t>
      </w:r>
      <w:r>
        <w:t xml:space="preserve"> </w:t>
      </w:r>
      <w:r>
        <w:rPr>
          <w:b/>
          <w:bCs/>
        </w:rPr>
        <w:t xml:space="preserve">конкретное учреждение считает свою</w:t>
      </w:r>
      <w:r>
        <w:t xml:space="preserve">. Сравнение с региональной нормой — повод для разговора с учредителем, не для автоматического перерасхода.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S002 (приказ Минтруда 520н), S020, S021, S029.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(формула простая).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«У нас всё в порядке с деньгами». Без числа — это не ответ.</w:t>
      </w:r>
    </w:p>
    <w:p>
      <w:r>
        <w:pict>
          <v:rect style="width:0;height:1.5pt" o:hralign="center" o:hrstd="t" o:hr="t"/>
        </w:pict>
      </w:r>
    </w:p>
    <w:bookmarkEnd w:id="22"/>
    <w:bookmarkStart w:id="23" w:name="Xd1fe15a4f428a2755a9ebb8db7741095a166b46"/>
    <w:p>
      <w:pPr>
        <w:pStyle w:val="Heading3"/>
      </w:pPr>
      <w:r>
        <w:t xml:space="preserve">Q13. Аутсорсинг питания — конфликт с вариативностью?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«Нет, если в контракте строка “выбор”. Серафимовский — 223-ФЗ (автономное учреждение); Тесовый берег — 44-ФЗ (бюджетное). В обоих случаях вариативность — это условие спецификации. Без строки в контракте — подрядчик готовит то, что в раскладке, и точка».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Контракт на аутсорсинг питания — это</w:t>
      </w:r>
      <w:r>
        <w:t xml:space="preserve"> </w:t>
      </w:r>
      <w:r>
        <w:rPr>
          <w:b/>
          <w:bCs/>
        </w:rPr>
        <w:t xml:space="preserve">место, где вариативность становится обязательством подрядчика</w:t>
      </w:r>
      <w:r>
        <w:t xml:space="preserve">. Если в ТЗ нет строки «предусмотреть выбор из N вариантов по приёмам», подрядчик готовит строго по циклограмме.</w:t>
      </w:r>
      <w:r>
        <w:t xml:space="preserve"> </w:t>
      </w:r>
      <w:r>
        <w:rPr>
          <w:b/>
          <w:bCs/>
        </w:rPr>
        <w:t xml:space="preserve">Два типичных сценария:</w:t>
      </w:r>
      <w:r>
        <w:t xml:space="preserve"> </w:t>
      </w:r>
      <w:r>
        <w:t xml:space="preserve">(а) внутренняя кухня — гибче, но нагрузка на штат; (б) аутсорсинг — дешевле, но жёстче в спецификации. Выбор модели — за учреждением,</w:t>
      </w:r>
      <w:r>
        <w:t xml:space="preserve"> </w:t>
      </w:r>
      <w:r>
        <w:rPr>
          <w:b/>
          <w:bCs/>
        </w:rPr>
        <w:t xml:space="preserve">оба работают</w:t>
      </w:r>
      <w:r>
        <w:t xml:space="preserve"> </w:t>
      </w:r>
      <w:r>
        <w:t xml:space="preserve">при правильной формулировке контракта.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S034 (извещение Тесового берега 0372200070825000244 от 24.11.2025), S023 (44-ФЗ), S035 (локальный приказ Серафимовского).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(закупочные процедуры).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«Аутсорсинг несовместим с вариативностью». Неправда.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категория-4-управленческие-3-вопроса"/>
    <w:p>
      <w:pPr>
        <w:pStyle w:val="Heading2"/>
      </w:pPr>
      <w:r>
        <w:t xml:space="preserve">Категория 4. Управленческие (3 вопроса)</w:t>
      </w:r>
    </w:p>
    <w:bookmarkStart w:id="25" w:name="q14-пилот-за-90-дней-реалистичен"/>
    <w:p>
      <w:pPr>
        <w:pStyle w:val="Heading3"/>
      </w:pPr>
      <w:r>
        <w:t xml:space="preserve">Q14. Пилот за 90 дней реалистичен?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«Да, на одном отделении без новой сметы. 30 дней замер → 30 дней документы и обучение → 30 дней пилот. 5 обязательных групп показателей. 6 стоп-критериев. Если получится у “сложного” отделения (помощь, неговорящие) — получится у всех».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См.</w:t>
      </w:r>
      <w:r>
        <w:t xml:space="preserve"> </w:t>
      </w:r>
      <w:r>
        <w:rPr>
          <w:rStyle w:val="VerbatimChar"/>
        </w:rPr>
        <w:t xml:space="preserve">09_инструменты/паспорт_пилота_90_дней.md</w:t>
      </w:r>
      <w:r>
        <w:t xml:space="preserve">. Три фазы. 16 документов в комплекте. 6 стоп-критериев (рост пневмоний ≥30 %, падение со смертельным исходом, жалоба в прокуратуру, приказ учредителя, отзыв согласия, отсутствие врача).</w:t>
      </w:r>
      <w:r>
        <w:t xml:space="preserve"> </w:t>
      </w:r>
      <w:r>
        <w:rPr>
          <w:b/>
          <w:bCs/>
        </w:rPr>
        <w:t xml:space="preserve">Успех — не “% выбравших”, а доступность выбора + исполнение заказа + отсутствие событий риска.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S015, S016, S030 (практики), раздел 35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(методика отработана).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«Нужно минимум полгода». Без замера — нет.</w:t>
      </w:r>
    </w:p>
    <w:p>
      <w:r>
        <w:pict>
          <v:rect style="width:0;height:1.5pt" o:hralign="center" o:hrstd="t" o:hr="t"/>
        </w:pict>
      </w:r>
    </w:p>
    <w:bookmarkEnd w:id="25"/>
    <w:bookmarkStart w:id="26" w:name="X0be4c93a9aca774999ee75c23b2cc3a93f6ea93"/>
    <w:p>
      <w:pPr>
        <w:pStyle w:val="Heading3"/>
      </w:pPr>
      <w:r>
        <w:t xml:space="preserve">Q15. Что делать, если пилот не показал эффекта?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«Это тоже результат. “Не получилось” говорит, что в вашем учреждении нужно менять — медицинскую рамку, пары эквивалентов, обучение смены или модель. Решение принимается по 5 группам показателей: 4 из 5 в норме — масштабируем; 3 из 5 — корректируем; 2 и меньше — останавливаем и анализируем».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Стоп-критерии и критерии успеха — в паспорте пилота.</w:t>
      </w:r>
      <w:r>
        <w:t xml:space="preserve"> </w:t>
      </w:r>
      <w:r>
        <w:rPr>
          <w:b/>
          <w:bCs/>
        </w:rPr>
        <w:t xml:space="preserve">Главное правило:</w:t>
      </w:r>
      <w:r>
        <w:t xml:space="preserve"> </w:t>
      </w:r>
      <w:r>
        <w:t xml:space="preserve">пилот —</w:t>
      </w:r>
      <w:r>
        <w:t xml:space="preserve"> </w:t>
      </w:r>
      <w:r>
        <w:rPr>
          <w:b/>
          <w:bCs/>
        </w:rPr>
        <w:t xml:space="preserve">измеримая гипотеза</w:t>
      </w:r>
      <w:r>
        <w:t xml:space="preserve">, а не обещание успеха. Плохой результат — это вход в следующий цикл, а не провал.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методология исходного доклада (раздел 35), паспорт пилота v2.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(методология).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«Если не получилось — закрываем программу». Это ошибка.</w:t>
      </w:r>
    </w:p>
    <w:p>
      <w:r>
        <w:pict>
          <v:rect style="width:0;height:1.5pt" o:hralign="center" o:hrstd="t" o:hr="t"/>
        </w:pict>
      </w:r>
    </w:p>
    <w:bookmarkEnd w:id="26"/>
    <w:bookmarkStart w:id="27" w:name="X3099bf37fb121fc0e605b97ad7b744d427143d7"/>
    <w:p>
      <w:pPr>
        <w:pStyle w:val="Heading3"/>
      </w:pPr>
      <w:r>
        <w:t xml:space="preserve">Q16. Персонал — как обучать без отрыва от работы?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«Три занятия по 40 минут + IDDSI-тест повара + инструктаж смены. Минимум 8 часов на сотрудника за 90 дней. График — в журнале обучения. Без обучения пилот не запускать — это стоп-критерий №7 (обучение &lt; 8 часов на сотрудника)».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Программа обучения: (1) 6 признаков дисфагии (раздел 10.3); (2) правило «3 отказа → врач»; (3) IDDSI-тест (вилка, ложка, наклон) для повара; (4) техника помощи (поза, темп); (5) документы (журнал заказа, журнал отказов).</w:t>
      </w:r>
      <w:r>
        <w:t xml:space="preserve"> </w:t>
      </w:r>
      <w:r>
        <w:rPr>
          <w:b/>
          <w:bCs/>
        </w:rPr>
        <w:t xml:space="preserve">Главный барьер внедрения IDDSI — не техника, а осведомлённость персонала</w:t>
      </w:r>
      <w:r>
        <w:t xml:space="preserve"> </w:t>
      </w:r>
      <w:r>
        <w:t xml:space="preserve">(Wu 2022). Практика показывает: обучение — главный инвестиционный ресурс.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M-iddsi_wu (Wu 2022), M-pm_rev, M-oral_yoneyama.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«Обучим потом, по ходу дела». Без обучения пилот не запускать.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категория-5-этические-3-вопроса"/>
    <w:p>
      <w:pPr>
        <w:pStyle w:val="Heading2"/>
      </w:pPr>
      <w:r>
        <w:t xml:space="preserve">Категория 5. Этические (3 вопроса)</w:t>
      </w:r>
    </w:p>
    <w:bookmarkStart w:id="29" w:name="X12ca7fcdfbb886927782a2e6561130df1efcff8"/>
    <w:p>
      <w:pPr>
        <w:pStyle w:val="Heading3"/>
      </w:pPr>
      <w:r>
        <w:t xml:space="preserve">Q17. Как балансировать выбор и безопасность?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«Безопасность имеет приоритет. Выбор — внутри медицинской рамки. Граница 4.0 (что кухня не назначает): текстуру, лечебный стол, сдвиг времени еды у инсулинозависимых, длительный отказ — только врач. Внутри этой рамки — выбор. Вне рамки — врач решает, документирует, оформляет информированное решение».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Эта формула в исходном докладе сформулирована дословно: «кухня исполняет назначение, не ставит диагноз». Внутри медицинской рамки человек выбирает: что из двух вариантов, когда выйти в зал, какую порцию. Вне рамки — врач принимает решение и</w:t>
      </w:r>
      <w:r>
        <w:t xml:space="preserve"> </w:t>
      </w:r>
      <w:r>
        <w:rPr>
          <w:b/>
          <w:bCs/>
        </w:rPr>
        <w:t xml:space="preserve">документирует</w:t>
      </w:r>
      <w:r>
        <w:t xml:space="preserve">. Если житель с дисфагией настаивает на обычной пище — это оформляется «осознанным риском» с врачом, а не самодеятельностью сиделки.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3185-1 ст. 5 ч. 2, 28, 36, 39; 442-ФЗ ст. 9; раздел 4.0 и 10.5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«Безопасность важнее выбора». Да, но это не отменяет выбора внутри безопасной рамки.</w:t>
      </w:r>
    </w:p>
    <w:p>
      <w:r>
        <w:pict>
          <v:rect style="width:0;height:1.5pt" o:hralign="center" o:hrstd="t" o:hr="t"/>
        </w:pict>
      </w:r>
    </w:p>
    <w:bookmarkEnd w:id="29"/>
    <w:bookmarkStart w:id="30" w:name="q18-невербальный-выбор--фикция"/>
    <w:p>
      <w:pPr>
        <w:pStyle w:val="Heading3"/>
      </w:pPr>
      <w:r>
        <w:t xml:space="preserve">Q18. Невербальный выбор — фикция?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«Нет. Международное право (КПИ, Замечание общего порядка № 1 к ст. 12) требует поддержанного, а не замещающего принятия решений. Показ двух порций, наблюдение за реакцией, пищевая биография — это способы выражения воли без слов. У 11 % постельных и значительной доли неговорящих жителей ПНИ это единственный канал воли. Закрыть его — значит превратить их в объект заботы».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Замечание общего порядка № 1 к ст. 12 КПИ (Committee on the Rights of Persons with Disabilities, 2014) — «замещающее принятие решений несовместимо со ст. 12; поддерживаемое принятие — обязательство государства». Россия ратифицировала КПИ (ФЗ от 03.05.2012 № 46-ФЗ).</w:t>
      </w:r>
      <w:r>
        <w:t xml:space="preserve"> </w:t>
      </w:r>
      <w:r>
        <w:rPr>
          <w:b/>
          <w:bCs/>
        </w:rPr>
        <w:t xml:space="preserve">Немецкий стандарт (DGE-QST) требует собирать «биографию питания» при поступлении</w:t>
      </w:r>
      <w:r>
        <w:t xml:space="preserve"> </w:t>
      </w:r>
      <w:r>
        <w:t xml:space="preserve">— потому что эти сведения позже могут стать единственным доступом к воле человека. В исходном докладе раздел 15 — отдельная глава про невербальный выбор. Форма пищевой биографии — приложение 3.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ст. 12 КПИ, Замечание общего порядка № 1 (2014), DGE-QST (Германия), раздел 15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«Они не могут выбирать». Это подменяющее принятие решений.</w:t>
      </w:r>
    </w:p>
    <w:p>
      <w:r>
        <w:pict>
          <v:rect style="width:0;height:1.5pt" o:hralign="center" o:hrstd="t" o:hr="t"/>
        </w:pict>
      </w:r>
    </w:p>
    <w:bookmarkEnd w:id="30"/>
    <w:bookmarkStart w:id="31" w:name="q19-совет-жителей--обязателен"/>
    <w:p>
      <w:pPr>
        <w:pStyle w:val="Heading3"/>
      </w:pPr>
      <w:r>
        <w:t xml:space="preserve">Q19. Совет жителей — обязателен?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«По закону — нет. По практике — полезен. ДДСОЛ (Московская область, S019) — 14-дневное вариативное меню с советом по питанию, замены по желанию жителей с врачом. Успенский ПНИ (S016) — вариатив во всех отделениях. Совет жителей — не самоцель, а канал обратной связи и легитимации. Если у вас его нет — это не препятствие для пилота; если есть — подключите на ФАЗЕ 2 при обсуждении пар эквивалентов».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442-ФЗ не устанавливает обязательности совета жителей. Ст. 19 «права поставщиков социальных услуг» — без прямого указания на совет.</w:t>
      </w:r>
      <w:r>
        <w:t xml:space="preserve"> </w:t>
      </w:r>
      <w:r>
        <w:rPr>
          <w:b/>
          <w:bCs/>
        </w:rPr>
        <w:t xml:space="preserve">Но</w:t>
      </w:r>
      <w:r>
        <w:t xml:space="preserve"> </w:t>
      </w:r>
      <w:r>
        <w:t xml:space="preserve">раздел 34 исходного доклада — отдельная глава про совет жителей. ДДСОЛ (ddsol.ru/about/pitanie/) — пример учреждения, где совет работает.</w:t>
      </w:r>
      <w:r>
        <w:t xml:space="preserve"> </w:t>
      </w:r>
      <w:r>
        <w:rPr>
          <w:b/>
          <w:bCs/>
        </w:rPr>
        <w:t xml:space="preserve">Совет полезен на этапе формирования пар эквивалентов</w:t>
      </w:r>
      <w:r>
        <w:t xml:space="preserve"> </w:t>
      </w:r>
      <w:r>
        <w:t xml:space="preserve">(ФАЗА 2 пилота), не как контролёр.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S019 (ДДСОЛ), S016 (Успенский), раздел 34 исходного доклада.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«Совет обязателен, иначе не запустим». Неправда.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категория-6-закупочные-2-вопроса"/>
    <w:p>
      <w:pPr>
        <w:pStyle w:val="Heading2"/>
      </w:pPr>
      <w:r>
        <w:t xml:space="preserve">Категория 6. Закупочные (2 вопроса)</w:t>
      </w:r>
    </w:p>
    <w:bookmarkStart w:id="33" w:name="X561938ae5c51053a5adf527f9a38db4ecf6fe1d"/>
    <w:p>
      <w:pPr>
        <w:pStyle w:val="Heading3"/>
      </w:pPr>
      <w:r>
        <w:t xml:space="preserve">Q20. 44-ФЗ и 223-ФЗ — в чём разница для нашего пилота?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«44-ФЗ — для бюджетных учреждений (Тесовый берег). 223-ФЗ — для автономных (Серафимовский) и госкорпораций. Для пилота разница в процедуре: 44-ФЗ требует конкурентных процедур, 223-ФЗ — положение о закупках учреждения. Вариативность в обоих случаях возможна, но оформляется по-разному».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СПб ГАСУСОН «ДСО „Серафимовский"» —</w:t>
      </w:r>
      <w:r>
        <w:t xml:space="preserve"> </w:t>
      </w:r>
      <w:r>
        <w:rPr>
          <w:b/>
          <w:bCs/>
        </w:rPr>
        <w:t xml:space="preserve">автономное</w:t>
      </w:r>
      <w:r>
        <w:t xml:space="preserve"> </w:t>
      </w:r>
      <w:r>
        <w:t xml:space="preserve">учреждение (тип «А»), закупки по 223-ФЗ. СПб ГБСУСОН «ДСО „Тесовый берег"» —</w:t>
      </w:r>
      <w:r>
        <w:t xml:space="preserve"> </w:t>
      </w:r>
      <w:r>
        <w:rPr>
          <w:b/>
          <w:bCs/>
        </w:rPr>
        <w:t xml:space="preserve">бюджетное</w:t>
      </w:r>
      <w:r>
        <w:t xml:space="preserve"> </w:t>
      </w:r>
      <w:r>
        <w:t xml:space="preserve">(тип «Б»), закупки по 44-ФЗ.</w:t>
      </w:r>
      <w:r>
        <w:t xml:space="preserve"> </w:t>
      </w:r>
      <w:r>
        <w:rPr>
          <w:b/>
          <w:bCs/>
        </w:rPr>
        <w:t xml:space="preserve">Извещение Тесового берега 0372200070825000244</w:t>
      </w:r>
      <w:r>
        <w:t xml:space="preserve"> </w:t>
      </w:r>
      <w:r>
        <w:t xml:space="preserve">от 24.11.2025 (S034) — открытый конкурс в электронной форме «Поставка продуктов питания», опубликовано на tenderguru.ru.</w:t>
      </w:r>
      <w:r>
        <w:t xml:space="preserve"> </w:t>
      </w:r>
      <w:r>
        <w:rPr>
          <w:b/>
          <w:bCs/>
        </w:rPr>
        <w:t xml:space="preserve">Локальный приказ № 124 Серафимовского</w:t>
      </w:r>
      <w:r>
        <w:t xml:space="preserve"> </w:t>
      </w:r>
      <w:r>
        <w:t xml:space="preserve">(S035) — заказное питание закреплено в правилах внутреннего распорядка.</w:t>
      </w:r>
      <w:r>
        <w:t xml:space="preserve"> </w:t>
      </w:r>
      <w:r>
        <w:rPr>
          <w:b/>
          <w:bCs/>
        </w:rPr>
        <w:t xml:space="preserve">Обе схемы работают</w:t>
      </w:r>
      <w:r>
        <w:t xml:space="preserve"> </w:t>
      </w:r>
      <w:r>
        <w:t xml:space="preserve">при правильной формулировке спецификации.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S023 (44-ФЗ), S034 (извещение Тесового берега), S035 (приказ Серафимовского), 223-ФЗ.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«44-ФЗ не позволяет вариативность». Неправда.</w:t>
      </w:r>
    </w:p>
    <w:p>
      <w:r>
        <w:pict>
          <v:rect style="width:0;height:1.5pt" o:hralign="center" o:hrstd="t" o:hr="t"/>
        </w:pict>
      </w:r>
    </w:p>
    <w:bookmarkEnd w:id="33"/>
    <w:bookmarkStart w:id="34" w:name="Xcfd32380f89763fd2c99c22a5c965d371d7800e"/>
    <w:p>
      <w:pPr>
        <w:pStyle w:val="Heading3"/>
      </w:pPr>
      <w:r>
        <w:t xml:space="preserve">Q21. Контракт с подрядчиком — как включить вариативность?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«В техническом задании: строка “предусмотреть выбор из 2 вариантов по приёмам (завтрак, обед) для 100 % жителей пилотного отделения; варианты эквивалентны по граммовкам и калорийности; замена по таблице пар”. В проекте контракта — ответственность подрядчика за неисполнение (штраф, расторжение, РНП)».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Письмо Комитета по соцполитике СПб (S031, 19.08.2026) — контроль за поставщиками по ст. 34, 94, 95 44-ФЗ: ежедневный мониторинг, акты, претензии, одностороннее расторжение, РНП.</w:t>
      </w:r>
      <w:r>
        <w:t xml:space="preserve"> </w:t>
      </w:r>
      <w:r>
        <w:rPr>
          <w:b/>
          <w:bCs/>
        </w:rPr>
        <w:t xml:space="preserve">Включение вариативности в ТЗ — не «льгота» подрядчику, а требование заказчика.</w:t>
      </w:r>
      <w:r>
        <w:t xml:space="preserve"> </w:t>
      </w:r>
      <w:r>
        <w:t xml:space="preserve">Подрядчик, не готовый обеспечить выбор, не соответствует ТЗ.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S031, S034, 44-ФЗ ст. 34, 94, 95.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«Подрядчик сам решает, как готовить». Нет — решает заказчик в ТЗ.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7" w:name="категория-7-санитарные-1-вопрос"/>
    <w:p>
      <w:pPr>
        <w:pStyle w:val="Heading2"/>
      </w:pPr>
      <w:r>
        <w:t xml:space="preserve">Категория 7. Санитарные (1 вопрос)</w:t>
      </w:r>
    </w:p>
    <w:bookmarkStart w:id="36" w:name="q22-санпин-4282-26--что-меняется-для-нас"/>
    <w:p>
      <w:pPr>
        <w:pStyle w:val="Heading3"/>
      </w:pPr>
      <w:r>
        <w:t xml:space="preserve">Q22. СанПиН 4282-26 — что меняется для нас?</w:t>
      </w:r>
    </w:p>
    <w:p>
      <w:pPr>
        <w:pStyle w:val="FirstParagraph"/>
      </w:pPr>
      <w:r>
        <w:rPr>
          <w:b/>
          <w:bCs/>
        </w:rPr>
        <w:t xml:space="preserve">Короткий (20 сек):</w:t>
      </w:r>
      <w:r>
        <w:t xml:space="preserve"> </w:t>
      </w:r>
      <w:r>
        <w:t xml:space="preserve">«С 01.09.2026 вступает в силу новая редакция (пост. ГГСВ РФ от 02.06.2026 № 18, рег. Минюст 02.06.2026 № 86854). Действует до 01.09.2032. Старая редакция 3590-20 утрачивает силу. Главное для учреждений соцобслуживания — п. 56 подп. 11 (не менее 3 приёмов + диетическое по показаниям). Формулировка сохранена в обеих редакциях, но</w:t>
      </w:r>
      <w:r>
        <w:t xml:space="preserve"> </w:t>
      </w:r>
      <w:r>
        <w:rPr>
          <w:b/>
          <w:bCs/>
        </w:rPr>
        <w:t xml:space="preserve">через 6 дней после семинара нужно проверить, нет ли новых требований к документации</w:t>
      </w:r>
      <w:r>
        <w:t xml:space="preserve">».</w:t>
      </w:r>
    </w:p>
    <w:p>
      <w:pPr>
        <w:pStyle w:val="BodyText"/>
      </w:pPr>
      <w:r>
        <w:rPr>
          <w:b/>
          <w:bCs/>
        </w:rPr>
        <w:t xml:space="preserve">Развёрнутый:</w:t>
      </w:r>
      <w:r>
        <w:t xml:space="preserve"> </w:t>
      </w:r>
      <w:r>
        <w:t xml:space="preserve">Пост. ГГСВ РФ от 02.06.2026 № 18 (publication.pravo.gov.ru/document/0001202606020084).</w:t>
      </w:r>
      <w:r>
        <w:t xml:space="preserve"> </w:t>
      </w:r>
      <w:r>
        <w:rPr>
          <w:b/>
          <w:bCs/>
        </w:rPr>
        <w:t xml:space="preserve">На дату 22.08.2026 — «Документ не вступил в силу»</w:t>
      </w:r>
      <w:r>
        <w:t xml:space="preserve"> </w:t>
      </w:r>
      <w:r>
        <w:t xml:space="preserve">(consultant.ru). С 01.09.2026 утрачивает силу пост. от 27.10.2020 № 32 (СанПиН 3590-20).</w:t>
      </w:r>
      <w:r>
        <w:t xml:space="preserve"> </w:t>
      </w:r>
      <w:r>
        <w:rPr>
          <w:b/>
          <w:bCs/>
        </w:rPr>
        <w:t xml:space="preserve">Практический эффект для ПНИ/ДСО:</w:t>
      </w:r>
      <w:r>
        <w:t xml:space="preserve"> </w:t>
      </w:r>
      <w:r>
        <w:t xml:space="preserve">уточнить в новой редакции требования к журналам бракеража, отходов, пищевых карт; требования к температуре подачи; требования к лечебному питанию (п. 56). Контроль — Роспотребнадзор.</w:t>
      </w:r>
    </w:p>
    <w:p>
      <w:pPr>
        <w:pStyle w:val="BodyText"/>
      </w:pPr>
      <w:r>
        <w:rPr>
          <w:b/>
          <w:bCs/>
        </w:rPr>
        <w:t xml:space="preserve">Источник:</w:t>
      </w:r>
      <w:r>
        <w:t xml:space="preserve"> </w:t>
      </w:r>
      <w:r>
        <w:t xml:space="preserve">S003, consultant.ru, publication.pravo.gov.ru.</w:t>
      </w:r>
    </w:p>
    <w:p>
      <w:pPr>
        <w:pStyle w:val="BodyText"/>
      </w:pPr>
      <w:r>
        <w:rPr>
          <w:b/>
          <w:bCs/>
        </w:rPr>
        <w:t xml:space="preserve">Граница уверенности:</w:t>
      </w:r>
      <w:r>
        <w:t xml:space="preserve"> </w:t>
      </w:r>
      <w:r>
        <w:t xml:space="preserve">высокая (дата и реквизиты).</w:t>
      </w:r>
    </w:p>
    <w:p>
      <w:pPr>
        <w:pStyle w:val="BodyText"/>
      </w:pPr>
      <w:r>
        <w:rPr>
          <w:b/>
          <w:bCs/>
        </w:rPr>
        <w:t xml:space="preserve">Избегать:</w:t>
      </w:r>
      <w:r>
        <w:t xml:space="preserve"> </w:t>
      </w:r>
      <w:r>
        <w:t xml:space="preserve">«СанПиН не меняется». Меняется — через 6 дней после семинара.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итоговая-сводка"/>
    <w:p>
      <w:pPr>
        <w:pStyle w:val="Heading2"/>
      </w:pPr>
      <w:r>
        <w:t xml:space="preserve">Итоговая сводка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</w:pPr>
            <w:r>
              <w:t xml:space="preserve">Кол-во</w:t>
            </w:r>
          </w:p>
        </w:tc>
        <w:tc>
          <w:tcPr/>
          <w:p>
            <w:pPr>
              <w:pStyle w:val="Compact"/>
            </w:pPr>
            <w:r>
              <w:t xml:space="preserve">Самый опасный вопрос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Юридические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Q3 (прокуратура) — без комплекта документов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Медицинские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Q8 (клозапин + кофе) — кухня не отменяет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Финансовые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Q11 (дороже ли) — без замера не знаем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Управленческие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Q15 (что если не получилось) — это результат, не провал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Этические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Q18 (невербальный выбор) — это право, а не фикция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Закупочные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Q21 (как включить в ТЗ) — это требование заказчика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Санитарные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Q22 (СанПиН 4282-26) — меняется через 6 дней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Всего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Дата:</w:t>
      </w:r>
      <w:r>
        <w:t xml:space="preserve"> </w:t>
      </w:r>
      <w:r>
        <w:t xml:space="preserve">22.08.2026.</w:t>
      </w:r>
      <w:r>
        <w:t xml:space="preserve"> </w:t>
      </w:r>
      <w:r>
        <w:rPr>
          <w:b/>
          <w:bCs/>
        </w:rPr>
        <w:t xml:space="preserve">Применяется:</w:t>
      </w:r>
      <w:r>
        <w:t xml:space="preserve"> </w:t>
      </w:r>
      <w:r>
        <w:t xml:space="preserve">модератором сессии 26.08.2026.</w:t>
      </w:r>
      <w:r>
        <w:t xml:space="preserve"> </w:t>
      </w:r>
      <w:r>
        <w:rPr>
          <w:b/>
          <w:bCs/>
        </w:rPr>
        <w:t xml:space="preserve">Источники:</w:t>
      </w:r>
      <w:r>
        <w:t xml:space="preserve"> </w:t>
      </w:r>
      <w:r>
        <w:t xml:space="preserve">Miarons Font 2017, Correll 2022, Pillinger 2020, Campforts 2023, Hägg 2000, Wu 2022, Yoneyama 2002, Sjogren 2008, Cichero 2017, Steele 2021, СанПиН 4282-26, 442-ФЗ, 3185-1, реестры S001–S035.</w:t>
      </w:r>
      <w:r>
        <w:t xml:space="preserve"> </w:t>
      </w:r>
      <w:r>
        <w:rPr>
          <w:b/>
          <w:bCs/>
        </w:rPr>
        <w:t xml:space="preserve">Изменения после 22.08.2026 требуют перепроверки.</w:t>
      </w:r>
    </w:p>
    <w:bookmarkEnd w:id="38"/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Q&amp;A - 22 вопроса для спикера</dc:title>
  <dc:creator>Чистяков Е. В.</dc:creator>
  <dc:language>ru</dc:language>
  <cp:keywords/>
  <dcterms:created xsi:type="dcterms:W3CDTF">2026-08-22T08:08:38Z</dcterms:created>
  <dcterms:modified xsi:type="dcterms:W3CDTF">2026-08-22T08:08:38Z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22.08.2026</vt:lpwstr>
  </property>
</Properties>
</file>