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Статья для публикации (8 000-12 000 слов)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da9676346044ac5e9ac6e5115f4505938a5cca9"/>
    <w:p>
      <w:pPr>
        <w:pStyle w:val="Heading1"/>
      </w:pPr>
      <w:r>
        <w:t xml:space="preserve">Вариативное питание в стационарных организациях социального обслуживания для лиц с психическими расстройствами: организационная модель, доказательная база и протокол пилотирования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Е. В. Чистяков, директор СПб ГАСУСОН «ДСО „Серафимовский"» (Санкт-Петербург, Россия).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22.08.2026 (подача в журнал).</w:t>
      </w:r>
      <w:r>
        <w:t xml:space="preserve"> </w:t>
      </w:r>
      <w:r>
        <w:rPr>
          <w:b/>
          <w:bCs/>
        </w:rPr>
        <w:t xml:space="preserve">Объём:</w:t>
      </w:r>
      <w:r>
        <w:t xml:space="preserve"> </w:t>
      </w:r>
      <w:r>
        <w:t xml:space="preserve">≈ 9 000 слов.</w:t>
      </w:r>
      <w:r>
        <w:t xml:space="preserve"> </w:t>
      </w: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вариативное питание; дома социального обслуживания; психоневрологические интернаты; дисфагия; антипсихотики; качество жизни; пилот 90 дней; Российская Федерация.</w:t>
      </w:r>
    </w:p>
    <w:p>
      <w:pPr>
        <w:pStyle w:val="BlockText"/>
      </w:pPr>
      <w:r>
        <w:rPr>
          <w:b/>
          <w:bCs/>
        </w:rPr>
        <w:t xml:space="preserve">Аннотация.</w:t>
      </w:r>
      <w:r>
        <w:t xml:space="preserve"> </w:t>
      </w:r>
      <w:r>
        <w:t xml:space="preserve">В статье рассматривается организационная модель вариативного питания для стационарных организаций социального обслуживания, в которых проживают лица с психическими расстройствами (психоневрологические интернаты, дома социального обслуживания для лиц с психическими нарушениями) в Российской Федерации. На основании систематического обзора доказательной базы (28 первичных источников, прошедших верификацию 22.08.2026) и опыта четырёх российских учреждений (Серафимовский, Успенский ПНИ, Болотнинский ПНИ, Усть-Илимский ДСО) и одной региональной модели (Иркутская область) предлагается протокол пилота на 90 дней: 30 дней замера, 30 дней документов и обучения, 30 дней пилота. Протокол включает пять групп показателей (заполненность пищевых карт, доступность выбора, корректность исполнения, отходы, события риска) и шесть стоп-критериев. Граница 4.0 «что кухня не назначает» формулирует клинические и правовые границы компетенции немедицинского персонала. Главный вывод: вариативное питание в учреждениях для лиц с психическими расстройствами не требует дополнительных затрат на этапе пилота, но требует реорганизации процесса, документирования и обучения. Ключевой риск — не меню, а процесс: 99 % недееспособных жителей психоневрологических интернатов находятся под опекой самого учреждения, что создаёт конфликт интересов «опекун — поставщик услуг» и требует задокументированной процедуры выражения воли.</w:t>
      </w:r>
    </w:p>
    <w:p>
      <w:r>
        <w:pict>
          <v:rect style="width:0;height:1.5pt" o:hralign="center" o:hrstd="t" o:hr="t"/>
        </w:pict>
      </w:r>
    </w:p>
    <w:bookmarkStart w:id="12" w:name="X49e9b33b3839bfdc488554c14e8d4bd2e02db2a"/>
    <w:p>
      <w:pPr>
        <w:pStyle w:val="Heading2"/>
      </w:pPr>
      <w:r>
        <w:t xml:space="preserve">1. Введение</w:t>
      </w:r>
    </w:p>
    <w:bookmarkStart w:id="9" w:name="X20572d56a2c7da5a907b743fe9e95bfe5814c9e"/>
    <w:p>
      <w:pPr>
        <w:pStyle w:val="Heading3"/>
      </w:pPr>
      <w:r>
        <w:t xml:space="preserve">1.1. Актуальность</w:t>
      </w:r>
    </w:p>
    <w:p>
      <w:pPr>
        <w:pStyle w:val="FirstParagraph"/>
      </w:pPr>
      <w:r>
        <w:t xml:space="preserve">В Российской Федерации, по данным проекта «Если быть точным» (аналитический проект на открытых данных Минтруда, Росстата, Федерального казначейства, публикация 09.04.2026), в 2024 году функционировали 466 психоневрологических интернатов (ПНИ) для взрослых, в которых проживали около 139 000 человек; в более широкой категории «стационарные организации для лиц с ментальными нарушениями» (включая психо-геронтологические центры и др.) — 174 000 человек, по данным Минтруда. Две трети жителей (65 %) — старше 45 лет, 11 % находятся на постоянном постельном режиме, 74 % признаны судом недееспособными (tochno.st).</w:t>
      </w:r>
    </w:p>
    <w:p>
      <w:pPr>
        <w:pStyle w:val="BodyText"/>
      </w:pPr>
      <w:r>
        <w:rPr>
          <w:b/>
          <w:bCs/>
        </w:rPr>
        <w:t xml:space="preserve">99 % недееспособных жителей ПНИ (117 000 человек) находятся под опекой самого учреждения</w:t>
      </w:r>
      <w:r>
        <w:t xml:space="preserve">, в котором проживают. Это не уникальный риск отдельного учреждения — это общероссийская норма, обусловленная текущей организацией опеки в ПНИ. Учреждение одновременно выступает опекуном жителя (ГК РФ, ст. 29; 48-ФЗ «Об опеке и попечительстве», ст. 23) и поставщиком социальных услуг (442-ФЗ, ст. 5).</w:t>
      </w:r>
    </w:p>
    <w:p>
      <w:pPr>
        <w:pStyle w:val="BodyText"/>
      </w:pPr>
      <w:r>
        <w:t xml:space="preserve">В этих условиях</w:t>
      </w:r>
      <w:r>
        <w:t xml:space="preserve"> </w:t>
      </w:r>
      <w:r>
        <w:rPr>
          <w:b/>
          <w:bCs/>
        </w:rPr>
        <w:t xml:space="preserve">организация питания</w:t>
      </w:r>
      <w:r>
        <w:t xml:space="preserve"> </w:t>
      </w:r>
      <w:r>
        <w:t xml:space="preserve">— ежедневная, многоуровневая управленческая задача, на пересечении санитарного законодательства (СанПиН 2.3/2.4.3590-20, действующий до 31.08.2026, и СанПиН 2.3/2.4.4282-26, вступающий в силу с 01.09.2026, пост. Гл. гос. санврача РФ от 02.06.2026 № 18, рег. Минюст 02.06.2026 № 86854), клинической практики (антипсихотики, дисфагия, клозапиновые запоры), правового регулирования (Закон РФ от 02.07.1992 № 3185-1 «О психиатрической помощи…», ст. 5, 37, 43) и этических стандартов (КПИ, ст. 12; Замечание общего порядка № 1, 2014).</w:t>
      </w:r>
    </w:p>
    <w:p>
      <w:pPr>
        <w:pStyle w:val="BodyText"/>
      </w:pPr>
      <w:r>
        <w:t xml:space="preserve">Существующая практика организации питания в российских ПНИ описана в единичных публикациях (например, kcso-barnaul.gosuslugi.ru, gov.spb.ru, bpni.nso.ru, upni.nso.ru, ui-ogbuso.ru) и не обобщена в методической литературе.</w:t>
      </w:r>
      <w:r>
        <w:t xml:space="preserve"> </w:t>
      </w:r>
      <w:r>
        <w:rPr>
          <w:b/>
          <w:bCs/>
        </w:rPr>
        <w:t xml:space="preserve">Эта статья — первая попытка систематизации</w:t>
      </w:r>
      <w:r>
        <w:t xml:space="preserve">, основанная на опыте СПб ГАСУСОН «ДСО „Серафимовский"» (Санкт-Петербург) и трёх других российских учреждений, с опорой на международную клиническую литературу.</w:t>
      </w:r>
    </w:p>
    <w:bookmarkEnd w:id="9"/>
    <w:bookmarkStart w:id="10" w:name="X35fb5bcba5a5b307683a34dfec6895a4c85bf34"/>
    <w:p>
      <w:pPr>
        <w:pStyle w:val="Heading3"/>
      </w:pPr>
      <w:r>
        <w:t xml:space="preserve">1.2. Цель</w:t>
      </w:r>
    </w:p>
    <w:p>
      <w:pPr>
        <w:pStyle w:val="FirstParagraph"/>
      </w:pPr>
      <w:r>
        <w:t xml:space="preserve">Предложить</w:t>
      </w:r>
      <w:r>
        <w:t xml:space="preserve"> </w:t>
      </w:r>
      <w:r>
        <w:rPr>
          <w:b/>
          <w:bCs/>
        </w:rPr>
        <w:t xml:space="preserve">организационную модель</w:t>
      </w:r>
      <w:r>
        <w:t xml:space="preserve"> </w:t>
      </w:r>
      <w:r>
        <w:t xml:space="preserve">вариативного питания в ПНИ/ДСО, основанную на:</w:t>
      </w:r>
    </w:p>
    <w:p>
      <w:pPr>
        <w:pStyle w:val="Compact"/>
        <w:numPr>
          <w:ilvl w:val="0"/>
          <w:numId w:val="1001"/>
        </w:numPr>
      </w:pPr>
      <w:r>
        <w:t xml:space="preserve">доказательной клинической базе (дисфагия, антипсихотики, гигиена полости рта, обезвоживание);</w:t>
      </w:r>
    </w:p>
    <w:p>
      <w:pPr>
        <w:pStyle w:val="Compact"/>
        <w:numPr>
          <w:ilvl w:val="0"/>
          <w:numId w:val="1001"/>
        </w:numPr>
      </w:pPr>
      <w:r>
        <w:t xml:space="preserve">действующем российском законодательстве (442-ФЗ, 3185-1, СанПиН);</w:t>
      </w:r>
    </w:p>
    <w:p>
      <w:pPr>
        <w:pStyle w:val="Compact"/>
        <w:numPr>
          <w:ilvl w:val="0"/>
          <w:numId w:val="1001"/>
        </w:numPr>
      </w:pPr>
      <w:r>
        <w:t xml:space="preserve">практическом опыте четырёх учреждений и одной региональной модели;</w:t>
      </w:r>
    </w:p>
    <w:p>
      <w:pPr>
        <w:pStyle w:val="Compact"/>
        <w:numPr>
          <w:ilvl w:val="0"/>
          <w:numId w:val="1001"/>
        </w:numPr>
      </w:pPr>
      <w:r>
        <w:t xml:space="preserve">протоколе пилота на 90 дней с измеримыми показателями и стоп-критериями.</w:t>
      </w:r>
    </w:p>
    <w:p>
      <w:pPr>
        <w:pStyle w:val="FirstParagraph"/>
      </w:pPr>
      <w:r>
        <w:rPr>
          <w:b/>
          <w:bCs/>
        </w:rPr>
        <w:t xml:space="preserve">Задача</w:t>
      </w:r>
      <w:r>
        <w:t xml:space="preserve"> </w:t>
      </w:r>
      <w:r>
        <w:t xml:space="preserve">— дать директору ПНИ/ДСО практический инструмент, позволяющий запустить пилот вариативного питания на одном отделении без новых смет и без нарушения действующего законодательства.</w:t>
      </w:r>
    </w:p>
    <w:bookmarkEnd w:id="10"/>
    <w:bookmarkStart w:id="11" w:name="X0c809c0a4aae9d5e2cec6ca3020158a5ce16f06"/>
    <w:p>
      <w:pPr>
        <w:pStyle w:val="Heading3"/>
      </w:pPr>
      <w:r>
        <w:t xml:space="preserve">1.3. Ключевая формула</w:t>
      </w:r>
    </w:p>
    <w:p>
      <w:pPr>
        <w:pStyle w:val="FirstParagraph"/>
      </w:pPr>
      <w:r>
        <w:rPr>
          <w:b/>
          <w:bCs/>
        </w:rPr>
        <w:t xml:space="preserve">«Не внедряйте вслепую. Измеряйте».</w:t>
      </w:r>
      <w:r>
        <w:t xml:space="preserve"> </w:t>
      </w:r>
      <w:r>
        <w:t xml:space="preserve">Вариативное питание — не ресторан, не два полноценных меню и не безусловное исполнение любого желания. Это управляемая система, в которой: (1) безопасность имеет приоритет; (2) медицинскую рамку определяет уполномоченный специалист; (3) внутри допустимой рамки человеку предоставляют понятный выбор; (4) воля может выражаться словами, взглядом, жестом, поведением, устойчивыми предпочтениями и биографическими сведениями; (5) выбор документируется; (6) кухня исполняет назначение, но не ставит диагноз; (7) результаты пилота измеряются; (8) достоинство человека не противопоставляется безопасности.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X58581fc6cbb0d051712b239ffb21ed83c69cacf"/>
    <w:p>
      <w:pPr>
        <w:pStyle w:val="Heading2"/>
      </w:pPr>
      <w:r>
        <w:t xml:space="preserve">2. Проблема</w:t>
      </w:r>
    </w:p>
    <w:bookmarkStart w:id="13" w:name="Xf9fa76c841c5ba08575d5497578b7567d8e537b"/>
    <w:p>
      <w:pPr>
        <w:pStyle w:val="Heading3"/>
      </w:pPr>
      <w:r>
        <w:t xml:space="preserve">2.1. Клинические риски питания в ПНИ</w:t>
      </w:r>
    </w:p>
    <w:p>
      <w:pPr>
        <w:pStyle w:val="FirstParagraph"/>
      </w:pPr>
      <w:r>
        <w:t xml:space="preserve">В изученных клинических группах на антипсихотиках распространённость дисфагии (расстройства глотания) —</w:t>
      </w:r>
      <w:r>
        <w:t xml:space="preserve"> </w:t>
      </w:r>
      <w:r>
        <w:rPr>
          <w:b/>
          <w:bCs/>
        </w:rPr>
        <w:t xml:space="preserve">21,9–69,5 %</w:t>
      </w:r>
      <w:r>
        <w:t xml:space="preserve"> </w:t>
      </w:r>
      <w:r>
        <w:t xml:space="preserve">(Miarons Font M, Rofes Salsench L. Eur J Gastroenterol Hepatol 2017;29(12):1332-9; систематический обзор 18 исследований; PMID 29023321). Широкий диапазон отражает различия в популяциях и методах скрининга.</w:t>
      </w:r>
      <w:r>
        <w:t xml:space="preserve"> </w:t>
      </w:r>
      <w:r>
        <w:rPr>
          <w:b/>
          <w:bCs/>
        </w:rPr>
        <w:t xml:space="preserve">Прямой перенос на российские ДСО не обоснован</w:t>
      </w:r>
      <w:r>
        <w:t xml:space="preserve"> </w:t>
      </w:r>
      <w:r>
        <w:t xml:space="preserve">— популяции исследований не совпадают с типичным контингентом ПНИ (в исследованиях преобладают пациенты стационарных психиатрических больниц с острыми состояниями).</w:t>
      </w:r>
    </w:p>
    <w:p>
      <w:pPr>
        <w:pStyle w:val="BodyText"/>
      </w:pPr>
      <w:r>
        <w:t xml:space="preserve">Смертность от пневмонии у лиц с шизофренией —</w:t>
      </w:r>
      <w:r>
        <w:t xml:space="preserve"> </w:t>
      </w:r>
      <w:r>
        <w:rPr>
          <w:b/>
          <w:bCs/>
        </w:rPr>
        <w:t xml:space="preserve">в 7 раз выше популяционной</w:t>
      </w:r>
      <w:r>
        <w:t xml:space="preserve"> </w:t>
      </w:r>
      <w:r>
        <w:t xml:space="preserve">(Correll C.U., Solmi M., Croatto G. et al. World Psychiatry 2022;21(2):248-271; doi 10.1002/wps.20994; мета-анализ 135 когорт 1957–2021; RR 7,00; 95 % ДИ 6,79–7,23; n=3 исследования). Аспирация — один из ключевых механизмов этого разрыва. Общий разрыв продолжительности жизни при тяжёлых психических расстройствах — 15–20 лет.</w:t>
      </w:r>
    </w:p>
    <w:p>
      <w:pPr>
        <w:pStyle w:val="BodyText"/>
      </w:pPr>
      <w:r>
        <w:rPr>
          <w:b/>
          <w:bCs/>
        </w:rPr>
        <w:t xml:space="preserve">Гигиена полости рта</w:t>
      </w:r>
      <w:r>
        <w:t xml:space="preserve"> </w:t>
      </w:r>
      <w:r>
        <w:t xml:space="preserve">— самая экономически доступная мера профилактики аспирационной пневмонии. Yoneyama T. et al. (J Am Geriatr Soc 2002;50:430-3; PMID 11874491) в рандомизированном контролируемом исследовании на 366 жителях домов ухода (средний возраст 82 года) показали снижение частоты пневмоний с 19 % до 11 % при ежедневной чистке зубов после приёма пищи. По оценке мета-анализа Sjogren P. et al. (2008, PMID 18005250) 4 рандомизированных контролируемых исследований, улучшение ухода за полостью рта</w:t>
      </w:r>
      <w:r>
        <w:t xml:space="preserve"> </w:t>
      </w:r>
      <w:r>
        <w:rPr>
          <w:b/>
          <w:bCs/>
        </w:rPr>
        <w:t xml:space="preserve">может предотвращать примерно 1 из 10 смертей</w:t>
      </w:r>
      <w:r>
        <w:t xml:space="preserve"> </w:t>
      </w:r>
      <w:r>
        <w:t xml:space="preserve">от аспирационной пневмонии у немощных пожилых.</w:t>
      </w:r>
      <w:r>
        <w:t xml:space="preserve"> </w:t>
      </w:r>
      <w:r>
        <w:rPr>
          <w:b/>
          <w:bCs/>
        </w:rPr>
        <w:t xml:space="preserve">Популяция Sjogren — frail elders в домах ухода, не ПНИ для лиц с психическими расстройствами; прямой перенос не обоснован.</w:t>
      </w:r>
    </w:p>
    <w:bookmarkEnd w:id="13"/>
    <w:bookmarkStart w:id="14" w:name="X631a6124935abd2216721232850bc74c68fe230"/>
    <w:p>
      <w:pPr>
        <w:pStyle w:val="Heading3"/>
      </w:pPr>
      <w:r>
        <w:t xml:space="preserve">2.2. Лекарственно-пищевые взаимодействия</w:t>
      </w:r>
    </w:p>
    <w:p>
      <w:pPr>
        <w:pStyle w:val="FirstParagraph"/>
      </w:pPr>
      <w:r>
        <w:t xml:space="preserve">Антипсихотики вызывают широкий спектр взаимодействий с пищей, требующих клинической оценки, а не самодеятельности немедицинского персонала: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Клозапин ↔ кофеин.</w:t>
      </w:r>
      <w:r>
        <w:t xml:space="preserve"> </w:t>
      </w:r>
      <w:r>
        <w:t xml:space="preserve">Hägg S., Spigset O., Mjörndal T., Dahlqvist R. (Br J Clin Pharmacol 2000;49(1):59-63; PMID 11049804) на 12 здоровых некурящих добровольцах показали повышение AUC клозапина в среднем на 19 % (95 % ДИ −14…+97 %, p=0,05) и снижение клиренса на 14 % при дозе кофеина 400–1000 мг/день.</w:t>
      </w:r>
      <w:r>
        <w:t xml:space="preserve"> </w:t>
      </w:r>
      <w:r>
        <w:rPr>
          <w:b/>
          <w:bCs/>
        </w:rPr>
        <w:t xml:space="preserve">Исследование — на здоровых добровольцах, однократная доза; у конкретного пациента с шизофренией эффект может быть другим.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Клозапин ↔ курение.</w:t>
      </w:r>
      <w:r>
        <w:t xml:space="preserve"> </w:t>
      </w:r>
      <w:r>
        <w:t xml:space="preserve">Курение снижает уровень клозапина на 50 % (Carrillo J.A. et al.). При отказе от курения — рост концентрации.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Литий ↔ соль/вода.</w:t>
      </w:r>
      <w:r>
        <w:t xml:space="preserve"> </w:t>
      </w:r>
      <w:r>
        <w:t xml:space="preserve">Дегидратация и дефицит натрия повышают уровень лития в плазме (Cleveland Clinic; StatPearls).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ИМАО ↔ тирамин.</w:t>
      </w:r>
      <w:r>
        <w:t xml:space="preserve"> </w:t>
      </w:r>
      <w:r>
        <w:t xml:space="preserve">Тираминовые продукты (выдержанные сыры, вяленое мясо, красное вино, соевый соус) вызывают гипертонический криз.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Карбамазепин ↔ грейпфрут.</w:t>
      </w:r>
      <w:r>
        <w:t xml:space="preserve"> </w:t>
      </w:r>
      <w:r>
        <w:t xml:space="preserve">Garg S.K. et al. (Clin Pharmacol Ther 1998;64(3):286-8; PMID 9757152) на 10 пациентах с эпилепсией: грейпфрутовый сок (300 мл) повышает пик CBZ с 6,55 до 9,20 мкг/мл (+40 %) и AUC с 43,99 до 61,95 мкг·ч/мл (+41 %).</w:t>
      </w:r>
    </w:p>
    <w:p>
      <w:pPr>
        <w:pStyle w:val="FirstParagraph"/>
      </w:pPr>
      <w:r>
        <w:rPr>
          <w:b/>
          <w:bCs/>
        </w:rPr>
        <w:t xml:space="preserve">Ни одно из этих взаимодействий не регулируется диетсестрой или поваром.</w:t>
      </w:r>
      <w:r>
        <w:t xml:space="preserve"> </w:t>
      </w:r>
      <w:r>
        <w:t xml:space="preserve">Решение принимает врач, кухня исполняет.</w:t>
      </w:r>
    </w:p>
    <w:bookmarkEnd w:id="14"/>
    <w:bookmarkStart w:id="15" w:name="Xb9e5a6890a066161d4025a805cfb0570a2a551e"/>
    <w:p>
      <w:pPr>
        <w:pStyle w:val="Heading3"/>
      </w:pPr>
      <w:r>
        <w:t xml:space="preserve">2.3. Набор веса на антипсихотиках</w:t>
      </w:r>
    </w:p>
    <w:p>
      <w:pPr>
        <w:pStyle w:val="FirstParagraph"/>
      </w:pPr>
      <w:r>
        <w:t xml:space="preserve">Pillinger T. et al. (Lancet Psychiatry 2020;7(1):64-77; PMID 31860457; мета-анализ 100 РКИ, 25 952 пациента, медиана 6 недель) показал диапазон средней прибавки веса по 18 антипсихотикам от −0,23 кг (галоперидол) до +3,01 кг (клозапин). Campforts B. et al. (BJPsych Open 2023;9(1):e18; PMID 36651070; мета-анализ 202 исследований) уточнили: у 76,3 % пациентов, получающих клозапин более 38 недель, наблюдается клинически значимая прибавка веса (≥7 %). У оланзапина — 36,9 %, у рисперидона (16–38 нед) — 23,0 %.</w:t>
      </w:r>
      <w:r>
        <w:t xml:space="preserve"> </w:t>
      </w:r>
      <w:r>
        <w:rPr>
          <w:b/>
          <w:bCs/>
        </w:rPr>
        <w:t xml:space="preserve">Это разные исследования, разные методологии, разные цифры — в клинической практике не должны смешиваться.</w:t>
      </w:r>
    </w:p>
    <w:bookmarkEnd w:id="15"/>
    <w:bookmarkStart w:id="16" w:name="X37e330cba9302a3f5edb6b7784a5db86f99fcff"/>
    <w:p>
      <w:pPr>
        <w:pStyle w:val="Heading3"/>
      </w:pPr>
      <w:r>
        <w:t xml:space="preserve">2.4. Клозапиновые запоры (CIGH)</w:t>
      </w:r>
    </w:p>
    <w:p>
      <w:pPr>
        <w:pStyle w:val="FirstParagraph"/>
      </w:pPr>
      <w:r>
        <w:t xml:space="preserve">Every-Palmer S. et al. (EBioMedicine 2016;5:125-134) показали, что 80 % пациентов на клозапине имеют колоническую гипомотильность, транзитное время — 104,5 ч против 23 ч в контроле. Субъективно запоры — у 30–60 %; объективно — до 80 %. Летальность CIGH (clozapine-induced gastrointestinal hypomotility) — 15–27,5 %. Тяжёлые осложнения — илеус, перфорация, сепсис.</w:t>
      </w:r>
      <w:r>
        <w:t xml:space="preserve"> </w:t>
      </w:r>
      <w:r>
        <w:rPr>
          <w:b/>
          <w:bCs/>
        </w:rPr>
        <w:t xml:space="preserve">Кухня не отвечает за это, но обязана знать: внезапное прекращение приёма пищи + боль в животе + рвота у жителя на клозапине — повод для немедленного вызова врача.</w:t>
      </w:r>
    </w:p>
    <w:bookmarkEnd w:id="16"/>
    <w:bookmarkStart w:id="17" w:name="Xfe1963e555649f48790ab9b9639d8d3ac7ff5be"/>
    <w:p>
      <w:pPr>
        <w:pStyle w:val="Heading3"/>
      </w:pPr>
      <w:r>
        <w:t xml:space="preserve">2.5. Загущённые жидкости</w:t>
      </w:r>
    </w:p>
    <w:p>
      <w:pPr>
        <w:pStyle w:val="FirstParagraph"/>
      </w:pPr>
      <w:r>
        <w:t xml:space="preserve">Steele S.J., Ennis S.L., Dobler C.C. (Breathe 2021;17(1):210003; PMID 34295407) систематически обобщили: «нет убедительных доказательств того, что загущённые жидкости предотвращают аспирационную пневмонию, но есть нагрузка лечения и снижение потребления жидкости». Загущение создаёт</w:t>
      </w:r>
      <w:r>
        <w:t xml:space="preserve"> </w:t>
      </w:r>
      <w:r>
        <w:rPr>
          <w:b/>
          <w:bCs/>
        </w:rPr>
        <w:t xml:space="preserve">нагрузку на пациента</w:t>
      </w:r>
      <w:r>
        <w:t xml:space="preserve"> </w:t>
      </w:r>
      <w:r>
        <w:t xml:space="preserve">без доказанной пользы. Решение о текстуре напитка — врача, с пересмотром, не навсегда.</w:t>
      </w:r>
    </w:p>
    <w:bookmarkEnd w:id="17"/>
    <w:bookmarkStart w:id="18" w:name="Xa1e88bdef632f69c993c0e034048fb25b357d02"/>
    <w:p>
      <w:pPr>
        <w:pStyle w:val="Heading3"/>
      </w:pPr>
      <w:r>
        <w:t xml:space="preserve">2.6. Организационная архитектура конфликта</w:t>
      </w:r>
    </w:p>
    <w:p>
      <w:pPr>
        <w:pStyle w:val="FirstParagraph"/>
      </w:pPr>
      <w:r>
        <w:rPr>
          <w:b/>
          <w:bCs/>
        </w:rPr>
        <w:t xml:space="preserve">99 % недееспособных жителей ПНИ находятся под опекой самого учреждения</w:t>
      </w:r>
      <w:r>
        <w:t xml:space="preserve"> </w:t>
      </w:r>
      <w:r>
        <w:t xml:space="preserve">(tochno.st, 09.04.2026). Это</w:t>
      </w:r>
      <w:r>
        <w:t xml:space="preserve"> </w:t>
      </w:r>
      <w:r>
        <w:rPr>
          <w:b/>
          <w:bCs/>
        </w:rPr>
        <w:t xml:space="preserve">системная проблема российского ПНИ</w:t>
      </w:r>
      <w:r>
        <w:t xml:space="preserve">, не уникальный риск отдельного учреждения. Учреждение одновременно опекун и поставщик услуг. Закон РФ от 02.07.1992 № 3185-1 «О психиатрической помощи…», ст. 5 ч. 2, гарантирует лицам, страдающим психическими расстройствами, «право на уважительное и гуманное отношение, исключающее унижение человеческого достоинства».</w:t>
      </w:r>
      <w:r>
        <w:t xml:space="preserve"> </w:t>
      </w:r>
      <w:r>
        <w:rPr>
          <w:b/>
          <w:bCs/>
        </w:rPr>
        <w:t xml:space="preserve">Этот текст работает и тогда, когда опекун и поставщик совпадают</w:t>
      </w:r>
      <w:r>
        <w:t xml:space="preserve"> </w:t>
      </w:r>
      <w:r>
        <w:t xml:space="preserve">— но требует задокументированной процедуры выражения воли жителя (пищевая карта, журнал заказа, журнал отказов, совет жителей).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2921f2b56ec4a22ac39a3078d166a8c9861f405"/>
    <w:p>
      <w:pPr>
        <w:pStyle w:val="Heading2"/>
      </w:pPr>
      <w:r>
        <w:t xml:space="preserve">3. Правовая рамка</w:t>
      </w:r>
    </w:p>
    <w:bookmarkStart w:id="20" w:name="Xec98c1b6eb0f6157ff0e77ca9447be0ff674feb"/>
    <w:p>
      <w:pPr>
        <w:pStyle w:val="Heading3"/>
      </w:pPr>
      <w:r>
        <w:t xml:space="preserve">3.1. Действующее законодательство</w:t>
      </w:r>
    </w:p>
    <w:p>
      <w:pPr>
        <w:pStyle w:val="FirstParagraph"/>
      </w:pPr>
      <w:r>
        <w:rPr>
          <w:b/>
          <w:bCs/>
        </w:rPr>
        <w:t xml:space="preserve">Федеральный закон от 28.12.2013 № 442-ФЗ «Об основах социального обслуживания граждан в РФ»</w:t>
      </w:r>
      <w:r>
        <w:t xml:space="preserve"> </w:t>
      </w:r>
      <w:r>
        <w:t xml:space="preserve">(ред. от 26.12.2024, вступ. в силу с 01.03.2025). Ст. 9 п. 1 — право получателей социальных услуг на «уважительное и гуманное отношение». Ст. 16 — индивидуальная программа предоставления социальных услуг (ИППСУ) составляется «исходя из потребности гражданина». Ст. 32 ч. 4 — предельная плата за стационарное обслуживание не более 75 % среднедушевого дохода получателя.</w:t>
      </w:r>
      <w:r>
        <w:t xml:space="preserve"> </w:t>
      </w:r>
      <w:r>
        <w:rPr>
          <w:b/>
          <w:bCs/>
        </w:rPr>
        <w:t xml:space="preserve">Закон не обязывает и не запрещает вариативное питание</w:t>
      </w:r>
      <w:r>
        <w:t xml:space="preserve"> </w:t>
      </w:r>
      <w:r>
        <w:t xml:space="preserve">— это организационная модель в рамках закона.</w:t>
      </w:r>
    </w:p>
    <w:p>
      <w:pPr>
        <w:pStyle w:val="BodyText"/>
      </w:pPr>
      <w:r>
        <w:rPr>
          <w:b/>
          <w:bCs/>
        </w:rPr>
        <w:t xml:space="preserve">Закон РФ от 02.07.1992 № 3185-1 «О психиатрической помощи и гарантиях прав граждан при её оказании»</w:t>
      </w:r>
      <w:r>
        <w:t xml:space="preserve"> </w:t>
      </w:r>
      <w:r>
        <w:t xml:space="preserve">(ред. от 22.07.2024). Ст. 5 ч. 2 — право на «уважительное и гуманное отношение, исключающее унижение человеческого достоинства». Ст. 37 — права пациентов психиатрических стационаров. Ст. 43 — права лиц, проживающих в стационарных организациях социального обслуживания для лиц, страдающих психическими расстройствами.</w:t>
      </w:r>
      <w:r>
        <w:t xml:space="preserve"> </w:t>
      </w:r>
      <w:r>
        <w:rPr>
          <w:b/>
          <w:bCs/>
        </w:rPr>
        <w:t xml:space="preserve">Все эти права принадлежат самому жителю, а не учреждению.</w:t>
      </w:r>
    </w:p>
    <w:p>
      <w:pPr>
        <w:pStyle w:val="BodyText"/>
      </w:pPr>
      <w:r>
        <w:rPr>
          <w:b/>
          <w:bCs/>
        </w:rPr>
        <w:t xml:space="preserve">Конвенция о правах инвалидов (КПИ), ст. 12</w:t>
      </w:r>
      <w:r>
        <w:t xml:space="preserve"> </w:t>
      </w:r>
      <w:r>
        <w:t xml:space="preserve">— равенство перед законом. Замечание общего порядка № 1 к ст. 12 (Комитет по правам инвалидов ООН, 2014) разъясняет: «замещающее принятие решений несовместимо со ст. 12; государства-участники должны уважать волю и предпочтения инвалидов посредством поддерживаемого принятия решений». Россия ратифицировала КПИ (ФЗ от 03.05.2012 № 46-ФЗ) с заявлением о толковании.</w:t>
      </w:r>
    </w:p>
    <w:p>
      <w:pPr>
        <w:pStyle w:val="BodyText"/>
      </w:pPr>
      <w:r>
        <w:rPr>
          <w:b/>
          <w:bCs/>
        </w:rPr>
        <w:t xml:space="preserve">СанПиН 2.3/2.4.3590-20</w:t>
      </w:r>
      <w:r>
        <w:t xml:space="preserve"> </w:t>
      </w:r>
      <w:r>
        <w:t xml:space="preserve">(пост. Гл. гос. санврача РФ от 27.10.2020 № 32, рег. Минюст 11.11.2020 № 60833) — действует до 31.08.2026. П. 7.1.11: «организовать питание проживающих … не менее 3-х раз в день, в том числе диетическое (лечебное) питание по медицинским показаниям».</w:t>
      </w:r>
    </w:p>
    <w:p>
      <w:pPr>
        <w:pStyle w:val="BodyText"/>
      </w:pPr>
      <w:r>
        <w:rPr>
          <w:b/>
          <w:bCs/>
        </w:rPr>
        <w:t xml:space="preserve">СанПиН 2.3/2.4.4282-26</w:t>
      </w:r>
      <w:r>
        <w:t xml:space="preserve"> </w:t>
      </w:r>
      <w:r>
        <w:t xml:space="preserve">(пост. Гл. гос. санврача РФ от 02.06.2026 № 18, рег. Минюст 02.06.2026 № 86854) — вступает в силу с 01.09.2026, действует до 01.09.2032. П. 56 подп. 11 — не менее 3-х раз в день + диетическое по показаниям (формулировка сохранена).</w:t>
      </w:r>
      <w:r>
        <w:t xml:space="preserve"> </w:t>
      </w:r>
      <w:r>
        <w:rPr>
          <w:b/>
          <w:bCs/>
        </w:rPr>
        <w:t xml:space="preserve">На 22.08.2026 документ не вступил в силу</w:t>
      </w:r>
      <w:r>
        <w:t xml:space="preserve"> </w:t>
      </w:r>
      <w:r>
        <w:t xml:space="preserve">(consultant.ru).</w:t>
      </w:r>
    </w:p>
    <w:p>
      <w:pPr>
        <w:pStyle w:val="BodyText"/>
      </w:pPr>
      <w:r>
        <w:rPr>
          <w:b/>
          <w:bCs/>
        </w:rPr>
        <w:t xml:space="preserve">Приказ Минтруда России от 13.09.2022 № 520н</w:t>
      </w:r>
      <w:r>
        <w:t xml:space="preserve"> </w:t>
      </w:r>
      <w:r>
        <w:t xml:space="preserve">«Об утверждении рекомендуемых норм питания…» — рекомендательный характер, что подтверждено письмом Минтруда от 20.12.2022 № 26-6/ООГ-5005 (klerk.ru/doc/632482). Не содержит нормативных предписаний, устанавливающих права и обязанности. Региональные нормы (например, Постановление Правительства Москвы № 1068-ПП, Постановление Правительства Красноярского края № 607-п, Решение Управления Алтайского края № 84 от 27.06.2025 — 422 руб./чел./день) делают рекомендации 520н императивными для подведомственных учреждений субъекта.</w:t>
      </w:r>
    </w:p>
    <w:p>
      <w:pPr>
        <w:pStyle w:val="BodyText"/>
      </w:pPr>
      <w:r>
        <w:rPr>
          <w:b/>
          <w:bCs/>
        </w:rPr>
        <w:t xml:space="preserve">Приказы Минздрава 330н от 05.08.2003 и 395н от 21.06.2013</w:t>
      </w:r>
      <w:r>
        <w:t xml:space="preserve"> </w:t>
      </w:r>
      <w:r>
        <w:t xml:space="preserve">(ред. от 19.02.2024 № 70н) — нормы лечебного питания.</w:t>
      </w:r>
      <w:r>
        <w:t xml:space="preserve"> </w:t>
      </w:r>
      <w:r>
        <w:rPr>
          <w:b/>
          <w:bCs/>
        </w:rPr>
        <w:t xml:space="preserve">Адресованы медицинским организациям; не распространяются на стационарные организации социального обслуживания автоматически.</w:t>
      </w:r>
      <w:r>
        <w:t xml:space="preserve"> </w:t>
      </w:r>
      <w:r>
        <w:t xml:space="preserve">Это организационная граница, требующая правовой проверки на местном уровне.</w:t>
      </w:r>
    </w:p>
    <w:p>
      <w:pPr>
        <w:pStyle w:val="BodyText"/>
      </w:pPr>
      <w:r>
        <w:rPr>
          <w:b/>
          <w:bCs/>
        </w:rPr>
        <w:t xml:space="preserve">ФЗ от 05.04.2013 № 44-ФЗ «О контрактной системе…»</w:t>
      </w:r>
      <w:r>
        <w:t xml:space="preserve"> </w:t>
      </w:r>
      <w:r>
        <w:t xml:space="preserve">— для бюджетных учреждений.</w:t>
      </w:r>
      <w:r>
        <w:t xml:space="preserve"> </w:t>
      </w:r>
      <w:r>
        <w:rPr>
          <w:b/>
          <w:bCs/>
        </w:rPr>
        <w:t xml:space="preserve">223-ФЗ</w:t>
      </w:r>
      <w:r>
        <w:t xml:space="preserve"> </w:t>
      </w:r>
      <w:r>
        <w:t xml:space="preserve">— для автономных. Применимость по типу учреждения: ГАСУСОН (автономное) — 223-ФЗ; ГБСУСОН (бюджетное) — 44-ФЗ.</w:t>
      </w:r>
    </w:p>
    <w:p>
      <w:pPr>
        <w:pStyle w:val="BodyText"/>
      </w:pPr>
      <w:r>
        <w:rPr>
          <w:b/>
          <w:bCs/>
        </w:rPr>
        <w:t xml:space="preserve">ФЗ от 24.04.2008 № 48-ФЗ «Об опеке и попечительстве»</w:t>
      </w:r>
      <w:r>
        <w:t xml:space="preserve">, ст. 23 — обязанности опекуна действовать в интересах подопечного.</w:t>
      </w:r>
      <w:r>
        <w:t xml:space="preserve"> </w:t>
      </w:r>
      <w:r>
        <w:rPr>
          <w:b/>
          <w:bCs/>
        </w:rPr>
        <w:t xml:space="preserve">ГК РФ</w:t>
      </w:r>
      <w:r>
        <w:t xml:space="preserve">, ст. 29 — признание гражданина недееспособным; ст. 41 — конфликт интересов опекуна.</w:t>
      </w:r>
    </w:p>
    <w:bookmarkEnd w:id="20"/>
    <w:bookmarkStart w:id="21" w:name="X172b5d1ddf046518030faf9950521be7b8b38e7"/>
    <w:p>
      <w:pPr>
        <w:pStyle w:val="Heading3"/>
      </w:pPr>
      <w:r>
        <w:t xml:space="preserve">3.2. Позиция автора</w:t>
      </w:r>
    </w:p>
    <w:p>
      <w:pPr>
        <w:pStyle w:val="FirstParagraph"/>
      </w:pPr>
      <w:r>
        <w:t xml:space="preserve">Федеральное законодательство</w:t>
      </w:r>
      <w:r>
        <w:t xml:space="preserve"> </w:t>
      </w:r>
      <w:r>
        <w:rPr>
          <w:b/>
          <w:bCs/>
        </w:rPr>
        <w:t xml:space="preserve">не запрещает</w:t>
      </w:r>
      <w:r>
        <w:t xml:space="preserve"> </w:t>
      </w:r>
      <w:r>
        <w:t xml:space="preserve">вариативное питание в ПНИ/ДСО и</w:t>
      </w:r>
      <w:r>
        <w:t xml:space="preserve"> </w:t>
      </w:r>
      <w:r>
        <w:rPr>
          <w:b/>
          <w:bCs/>
        </w:rPr>
        <w:t xml:space="preserve">не обязывает</w:t>
      </w:r>
      <w:r>
        <w:t xml:space="preserve"> </w:t>
      </w:r>
      <w:r>
        <w:t xml:space="preserve">его вводить. Это организационная модель в рамках действующего права.</w:t>
      </w:r>
      <w:r>
        <w:t xml:space="preserve"> </w:t>
      </w:r>
      <w:r>
        <w:rPr>
          <w:b/>
          <w:bCs/>
        </w:rPr>
        <w:t xml:space="preserve">Главный защитный аргумент</w:t>
      </w:r>
      <w:r>
        <w:t xml:space="preserve"> </w:t>
      </w:r>
      <w:r>
        <w:t xml:space="preserve">директора при проверке — не «запрета нет» (формула слабая), а</w:t>
      </w:r>
      <w:r>
        <w:t xml:space="preserve"> </w:t>
      </w:r>
      <w:r>
        <w:rPr>
          <w:b/>
          <w:bCs/>
        </w:rPr>
        <w:t xml:space="preserve">комплект документов</w:t>
      </w:r>
      <w:r>
        <w:t xml:space="preserve">: положение об организации питания, меню с вариантами, журнал заказа, журнал замен, пищевые карты, согласование с учредителем. Без комплекта та же практика выглядит как отступление от раскладки. С комплектом — как управленческое решение в рамках 442-ФЗ.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ee2c0b39966e632d134aa98b0007e823e2abaed"/>
    <w:p>
      <w:pPr>
        <w:pStyle w:val="Heading2"/>
      </w:pPr>
      <w:r>
        <w:t xml:space="preserve">4. Международный контекст</w:t>
      </w:r>
    </w:p>
    <w:bookmarkStart w:id="23" w:name="X3821fa917ec3f40266371ad16ba24943577db6f"/>
    <w:p>
      <w:pPr>
        <w:pStyle w:val="Heading3"/>
      </w:pPr>
      <w:r>
        <w:t xml:space="preserve">4.1. Стандарты питания в длительном уходе</w:t>
      </w:r>
    </w:p>
    <w:p>
      <w:pPr>
        <w:pStyle w:val="FirstParagraph"/>
      </w:pPr>
      <w:r>
        <w:t xml:space="preserve">В международной практике вариативное питание реализуется в нескольких моделях: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Онтарио (Канада), O. Reg. 246/22</w:t>
      </w:r>
      <w:r>
        <w:t xml:space="preserve"> </w:t>
      </w:r>
      <w:r>
        <w:t xml:space="preserve">— стационарные учреждения длительного ухода: 3-разовое питание, цикл 21 день, диетические столы, документированные замены.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США, 42 CFR §483.60 (CMS F-Tag 803)</w:t>
      </w:r>
      <w:r>
        <w:t xml:space="preserve"> </w:t>
      </w:r>
      <w:r>
        <w:t xml:space="preserve">— Food and Nutrition Services: 3-разовое питание, ночной интервал не более 14 часов, индивидуализация по медицинским показаниям.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Швеция, Livsmedelsverket</w:t>
      </w:r>
      <w:r>
        <w:t xml:space="preserve"> </w:t>
      </w:r>
      <w:r>
        <w:t xml:space="preserve">— рекомендация ночного интервала не более 11 часов; «биография питания» при поступлении как обязательный элемент оценки.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Германия, DGE-QST</w:t>
      </w:r>
      <w:r>
        <w:t xml:space="preserve"> </w:t>
      </w:r>
      <w:r>
        <w:t xml:space="preserve">— 4-недельный цикл меню; «биография питания» при поступлении; «осознанный риск» при дисфагии (если житель настаивает на обычной пище — оформляется информированным решение с врачом).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Австралия, Aged Care Quality and Safety Commission, Standard 4</w:t>
      </w:r>
      <w:r>
        <w:t xml:space="preserve"> </w:t>
      </w:r>
      <w:r>
        <w:t xml:space="preserve">— Food and Nutrition: текстуры, индивидуализация, достоинство подачи.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Великобритания, BDA (British Dietetic Association)</w:t>
      </w:r>
      <w:r>
        <w:t xml:space="preserve"> </w:t>
      </w:r>
      <w:r>
        <w:t xml:space="preserve">— единственное (по нашим данным) профессиональное руководство по питанию в психиатрических стационарах.</w:t>
      </w:r>
    </w:p>
    <w:p>
      <w:pPr>
        <w:pStyle w:val="FirstParagraph"/>
      </w:pPr>
      <w:r>
        <w:rPr>
          <w:b/>
          <w:bCs/>
        </w:rPr>
        <w:t xml:space="preserve">Общий принцип международных стандартов:</w:t>
      </w:r>
      <w:r>
        <w:t xml:space="preserve"> </w:t>
      </w:r>
      <w:r>
        <w:t xml:space="preserve">безопасность (3-разовое питание, текстуры, медицинские ограничения) + выбор (внутри медицинской рамки) + документирование (пищевая биография, журналы, согласование).</w:t>
      </w:r>
    </w:p>
    <w:bookmarkEnd w:id="23"/>
    <w:bookmarkStart w:id="24" w:name="Xa3e6e9ff44c628194049cd5894bbbe28e85ca81"/>
    <w:p>
      <w:pPr>
        <w:pStyle w:val="Heading3"/>
      </w:pPr>
      <w:r>
        <w:t xml:space="preserve">4.2. Международный стандарт описания текстур — IDDSI</w:t>
      </w:r>
    </w:p>
    <w:p>
      <w:pPr>
        <w:pStyle w:val="FirstParagraph"/>
      </w:pPr>
      <w:r>
        <w:t xml:space="preserve">Cichero J.A.Y. et al. (Dysphagia 2017;32(2):293-314; PMID 27913916) — IDDSI framework, 8 уровней (0–7), напитки 0–4, пища 3–7.</w:t>
      </w:r>
      <w:r>
        <w:t xml:space="preserve"> </w:t>
      </w:r>
      <w:r>
        <w:rPr>
          <w:b/>
          <w:bCs/>
        </w:rPr>
        <w:t xml:space="preserve">IDDSI — терминология, не лечебный протокол.</w:t>
      </w:r>
      <w:r>
        <w:t xml:space="preserve"> </w:t>
      </w:r>
      <w:r>
        <w:t xml:space="preserve">Текстуру назначает уполномоченный медицинский специалист по результатам индивидуальной оценки. Wu X.S., Miles A., Braakhuis A. (Dysphagia 2022;37(5):1314-1325; PMC8994209) в исследовании 5 учреждений aged care (общее long-term care,</w:t>
      </w:r>
      <w:r>
        <w:t xml:space="preserve"> </w:t>
      </w:r>
      <w:r>
        <w:rPr>
          <w:b/>
          <w:bCs/>
        </w:rPr>
        <w:t xml:space="preserve">не психиатрия</w:t>
      </w:r>
      <w:r>
        <w:t xml:space="preserve">) показали рост соответствия текстур с 44 % до 90 %, загущённых жидкостей — с 31 % до 100 %; эффект сохранялся 6 мес.</w:t>
      </w:r>
      <w:r>
        <w:t xml:space="preserve"> </w:t>
      </w:r>
      <w:r>
        <w:rPr>
          <w:b/>
          <w:bCs/>
        </w:rPr>
        <w:t xml:space="preserve">Прямой перенос на психиатрический контингент не обоснован; правомерно говорить только о принципиальной воспроизводимости механизма (обучение → рост соответствия).</w:t>
      </w:r>
    </w:p>
    <w:p>
      <w:pPr>
        <w:pStyle w:val="BodyText"/>
      </w:pPr>
      <w:r>
        <w:t xml:space="preserve">GUSS (Gugging Swallowing Screen) — Trapl M. et al. (Stroke 2007;38(11):2948-52; PMID 17885261) — прикроватный скрининг дисфагии, валидирован против FEES, чувствительность 100 %, специфичность 50–69 %.</w:t>
      </w:r>
      <w:r>
        <w:t xml:space="preserve"> </w:t>
      </w:r>
      <w:r>
        <w:rPr>
          <w:b/>
          <w:bCs/>
        </w:rPr>
        <w:t xml:space="preserve">Разработан для пациентов с острым инсультом; в психиатрическом контингенте требует адаптации инструкции.</w:t>
      </w:r>
    </w:p>
    <w:bookmarkEnd w:id="24"/>
    <w:bookmarkStart w:id="25" w:name="X9df1ca5827d9d6d54c8050695b5cbbc67b3c7fe"/>
    <w:p>
      <w:pPr>
        <w:pStyle w:val="Heading3"/>
      </w:pPr>
      <w:r>
        <w:t xml:space="preserve">4.3. Российский опыт (4 учреждения + 1 региональная модель)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Учреждение</w:t>
            </w:r>
          </w:p>
        </w:tc>
        <w:tc>
          <w:tcPr/>
          <w:p>
            <w:pPr>
              <w:pStyle w:val="Compac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ДСО «Серафимовский»</w:t>
            </w:r>
            <w:r>
              <w:t xml:space="preserve"> </w:t>
            </w:r>
            <w:r>
              <w:t xml:space="preserve">(дир. Е. В. Чистяков)</w:t>
            </w:r>
          </w:p>
        </w:tc>
        <w:tc>
          <w:tcPr/>
          <w:p>
            <w:pPr>
              <w:pStyle w:val="Compact"/>
            </w:pPr>
            <w:r>
              <w:t xml:space="preserve">Санкт-Петербург</w:t>
            </w:r>
          </w:p>
        </w:tc>
        <w:tc>
          <w:tcPr/>
          <w:p>
            <w:pPr>
              <w:pStyle w:val="Compact"/>
            </w:pPr>
            <w:r>
              <w:t xml:space="preserve">М3 (заказное меню), в т. ч. для маломобильных</w:t>
            </w:r>
          </w:p>
        </w:tc>
        <w:tc>
          <w:tcPr/>
          <w:p>
            <w:pPr>
              <w:pStyle w:val="Compact"/>
            </w:pPr>
            <w:r>
              <w:t xml:space="preserve">Локальный приказ № 124 от 10.03.2026 (правила внутреннего распорядка) —</w:t>
            </w:r>
            <w:r>
              <w:t xml:space="preserve"> </w:t>
            </w:r>
            <w:r>
              <w:rPr>
                <w:b/>
                <w:bCs/>
              </w:rPr>
              <w:t xml:space="preserve">локальный акт, не общероссийская норма</w:t>
            </w:r>
          </w:p>
        </w:tc>
        <w:tc>
          <w:tcPr/>
          <w:p>
            <w:pPr>
              <w:pStyle w:val="Compact"/>
            </w:pPr>
            <w:r>
              <w:t xml:space="preserve">gov.spb.ru, Комитет по соцполитике СПб (22.07.2025)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Успенский ПНИ</w:t>
            </w:r>
          </w:p>
        </w:tc>
        <w:tc>
          <w:tcPr/>
          <w:p>
            <w:pPr>
              <w:pStyle w:val="Compact"/>
            </w:pPr>
            <w:r>
              <w:t xml:space="preserve">Новосибирская обл.</w:t>
            </w:r>
          </w:p>
        </w:tc>
        <w:tc>
          <w:tcPr/>
          <w:p>
            <w:pPr>
              <w:pStyle w:val="Compact"/>
            </w:pPr>
            <w:r>
              <w:t xml:space="preserve">М2 (ежедневный выбор: 2 вторых, 2 салата, 2 напитка) — во всех отделениях</w:t>
            </w:r>
          </w:p>
        </w:tc>
        <w:tc>
          <w:tcPr/>
          <w:p>
            <w:pPr>
              <w:pStyle w:val="Compact"/>
            </w:pPr>
            <w:r>
              <w:t xml:space="preserve">13.08.2024</w:t>
            </w:r>
          </w:p>
        </w:tc>
        <w:tc>
          <w:tcPr/>
          <w:p>
            <w:pPr>
              <w:pStyle w:val="Compact"/>
            </w:pPr>
            <w:r>
              <w:t xml:space="preserve">upni.nso.ru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Болотнинский ПНИ</w:t>
            </w:r>
          </w:p>
        </w:tc>
        <w:tc>
          <w:tcPr/>
          <w:p>
            <w:pPr>
              <w:pStyle w:val="Compact"/>
            </w:pPr>
            <w:r>
              <w:t xml:space="preserve">Новосибирская обл.</w:t>
            </w:r>
          </w:p>
        </w:tc>
        <w:tc>
          <w:tcPr/>
          <w:p>
            <w:pPr>
              <w:pStyle w:val="Compact"/>
            </w:pPr>
            <w:r>
              <w:t xml:space="preserve">М1 (выбор ключевых позиций на завтрак/обед, перечень определяет диетсестра)</w:t>
            </w:r>
          </w:p>
        </w:tc>
        <w:tc>
          <w:tcPr/>
          <w:p>
            <w:pPr>
              <w:pStyle w:val="Compact"/>
            </w:pPr>
            <w:r>
              <w:t xml:space="preserve">16.08.2024</w:t>
            </w:r>
          </w:p>
        </w:tc>
        <w:tc>
          <w:tcPr/>
          <w:p>
            <w:pPr>
              <w:pStyle w:val="Compact"/>
            </w:pPr>
            <w:r>
              <w:t xml:space="preserve">bpni.nso.ru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Усть-Илимский ДСО</w:t>
            </w:r>
          </w:p>
        </w:tc>
        <w:tc>
          <w:tcPr/>
          <w:p>
            <w:pPr>
              <w:pStyle w:val="Compact"/>
            </w:pPr>
            <w:r>
              <w:t xml:space="preserve">Иркутская обл.</w:t>
            </w:r>
          </w:p>
        </w:tc>
        <w:tc>
          <w:tcPr/>
          <w:p>
            <w:pPr>
              <w:pStyle w:val="Compact"/>
            </w:pPr>
            <w:r>
              <w:t xml:space="preserve">«Что за зверь такой — вариативное питание»</w:t>
            </w:r>
          </w:p>
        </w:tc>
        <w:tc>
          <w:tcPr/>
          <w:p>
            <w:pPr>
              <w:pStyle w:val="Compact"/>
            </w:pPr>
            <w:r>
              <w:t xml:space="preserve">27.09.2024</w:t>
            </w:r>
          </w:p>
        </w:tc>
        <w:tc>
          <w:tcPr/>
          <w:p>
            <w:pPr>
              <w:pStyle w:val="Compact"/>
            </w:pPr>
            <w:r>
              <w:t xml:space="preserve">ui-ogbuso.ru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Иркутская область (региональная модель)</w:t>
            </w:r>
          </w:p>
        </w:tc>
        <w:tc>
          <w:tcPr/>
          <w:p>
            <w:pPr>
              <w:pStyle w:val="Compact"/>
            </w:pPr>
            <w:r>
              <w:t xml:space="preserve">Иркутская обл.</w:t>
            </w:r>
          </w:p>
        </w:tc>
        <w:tc>
          <w:tcPr/>
          <w:p>
            <w:pPr>
              <w:pStyle w:val="Compact"/>
            </w:pPr>
            <w:r>
              <w:t xml:space="preserve">Выбор из двух первых, двух вторых и гарниров</w:t>
            </w:r>
          </w:p>
        </w:tc>
        <w:tc>
          <w:tcPr/>
          <w:p>
            <w:pPr>
              <w:pStyle w:val="Compact"/>
            </w:pPr>
            <w:r>
              <w:t xml:space="preserve">14.02.2025</w:t>
            </w:r>
          </w:p>
        </w:tc>
        <w:tc>
          <w:tcPr/>
          <w:p>
            <w:pPr>
              <w:pStyle w:val="Compact"/>
            </w:pPr>
            <w:r>
              <w:t xml:space="preserve">минсоцразвития ИО (пересказ bezformata)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ДДСОЛ</w:t>
            </w:r>
          </w:p>
        </w:tc>
        <w:tc>
          <w:tcPr/>
          <w:p>
            <w:pPr>
              <w:pStyle w:val="Compact"/>
            </w:pPr>
            <w:r>
              <w:t xml:space="preserve">Московская обл.</w:t>
            </w:r>
          </w:p>
        </w:tc>
        <w:tc>
          <w:tcPr/>
          <w:p>
            <w:pPr>
              <w:pStyle w:val="Compact"/>
            </w:pPr>
            <w:r>
              <w:t xml:space="preserve">14-дневное вариативное меню, совет по питанию, замены с врачом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ddsol.ru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Во всех случаях</w:t>
      </w:r>
      <w:r>
        <w:t xml:space="preserve"> </w:t>
      </w:r>
      <w:r>
        <w:t xml:space="preserve">вариативное питание введено</w:t>
      </w:r>
      <w:r>
        <w:t xml:space="preserve"> </w:t>
      </w:r>
      <w:r>
        <w:rPr>
          <w:b/>
          <w:bCs/>
        </w:rPr>
        <w:t xml:space="preserve">без повышения платы для жителей</w:t>
      </w:r>
      <w:r>
        <w:t xml:space="preserve">, за счёт перераспределения продуктовой корзины, отказа от «несъедаемых» позиций и снижения отходов.</w:t>
      </w:r>
      <w:r>
        <w:t xml:space="preserve"> </w:t>
      </w:r>
      <w:r>
        <w:rPr>
          <w:b/>
          <w:bCs/>
        </w:rPr>
        <w:t xml:space="preserve">Однако:</w:t>
      </w:r>
      <w:r>
        <w:t xml:space="preserve"> </w:t>
      </w:r>
      <w:r>
        <w:t xml:space="preserve">«национальной доли отходов нет» (формулировка из методологии исходного доклада); экономия требует семидневного замера в конкретном учреждении.</w:t>
      </w:r>
      <w:r>
        <w:t xml:space="preserve"> </w:t>
      </w:r>
      <w:r>
        <w:rPr>
          <w:b/>
          <w:bCs/>
        </w:rPr>
        <w:t xml:space="preserve">«Внедрено публично ≠ доказанный эффект»: панелей «до/после» с измеримыми исходами в открытом доступе почти нет.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0471a1dee78b50a46adff415142e1fc06f63555"/>
    <w:p>
      <w:pPr>
        <w:pStyle w:val="Heading2"/>
      </w:pPr>
      <w:r>
        <w:t xml:space="preserve">5. Организационная модель</w:t>
      </w:r>
    </w:p>
    <w:bookmarkStart w:id="27" w:name="X816779b7fe9f9659ebf121e7f7b8358c39aa061"/>
    <w:p>
      <w:pPr>
        <w:pStyle w:val="Heading3"/>
      </w:pPr>
      <w:r>
        <w:t xml:space="preserve">5.1. Граница 4.0 — что кухня не назначает</w:t>
      </w:r>
    </w:p>
    <w:p>
      <w:pPr>
        <w:pStyle w:val="FirstParagraph"/>
      </w:pPr>
      <w:r>
        <w:rPr>
          <w:b/>
          <w:bCs/>
        </w:rPr>
        <w:t xml:space="preserve">Без врача</w:t>
      </w:r>
      <w:r>
        <w:t xml:space="preserve"> </w:t>
      </w:r>
      <w:r>
        <w:t xml:space="preserve">(зона врача, не кухни):</w:t>
      </w:r>
    </w:p>
    <w:p>
      <w:pPr>
        <w:pStyle w:val="Compact"/>
        <w:numPr>
          <w:ilvl w:val="0"/>
          <w:numId w:val="1004"/>
        </w:numPr>
      </w:pPr>
      <w:r>
        <w:t xml:space="preserve">Любые ограничения рациона, в т. ч. «диабетический стол».</w:t>
      </w:r>
    </w:p>
    <w:p>
      <w:pPr>
        <w:pStyle w:val="Compact"/>
        <w:numPr>
          <w:ilvl w:val="0"/>
          <w:numId w:val="1004"/>
        </w:numPr>
      </w:pPr>
      <w:r>
        <w:t xml:space="preserve">Изменение текстур (протёртое, загущённое, особые консистенции).</w:t>
      </w:r>
    </w:p>
    <w:p>
      <w:pPr>
        <w:pStyle w:val="Compact"/>
        <w:numPr>
          <w:ilvl w:val="0"/>
          <w:numId w:val="1004"/>
        </w:numPr>
      </w:pPr>
      <w:r>
        <w:t xml:space="preserve">Правила при дисфагии и протокол свободной воды.</w:t>
      </w:r>
    </w:p>
    <w:p>
      <w:pPr>
        <w:pStyle w:val="Compact"/>
        <w:numPr>
          <w:ilvl w:val="0"/>
          <w:numId w:val="1004"/>
        </w:numPr>
      </w:pPr>
      <w:r>
        <w:t xml:space="preserve">Действия при длительном отказе от еды.</w:t>
      </w:r>
    </w:p>
    <w:p>
      <w:pPr>
        <w:pStyle w:val="Compact"/>
        <w:numPr>
          <w:ilvl w:val="0"/>
          <w:numId w:val="1004"/>
        </w:numPr>
      </w:pPr>
      <w:r>
        <w:t xml:space="preserve">Режим питания при седации.</w:t>
      </w:r>
    </w:p>
    <w:p>
      <w:pPr>
        <w:pStyle w:val="Compact"/>
        <w:numPr>
          <w:ilvl w:val="0"/>
          <w:numId w:val="1004"/>
        </w:numPr>
      </w:pPr>
      <w:r>
        <w:t xml:space="preserve">Решения об энтеральном/зондовом питании.</w:t>
      </w:r>
    </w:p>
    <w:p>
      <w:pPr>
        <w:pStyle w:val="Compact"/>
        <w:numPr>
          <w:ilvl w:val="0"/>
          <w:numId w:val="1004"/>
        </w:numPr>
      </w:pPr>
      <w:r>
        <w:t xml:space="preserve">Комфортное кормление в конце жизни.</w:t>
      </w:r>
    </w:p>
    <w:p>
      <w:pPr>
        <w:pStyle w:val="Compact"/>
        <w:numPr>
          <w:ilvl w:val="0"/>
          <w:numId w:val="1004"/>
        </w:numPr>
      </w:pPr>
      <w:r>
        <w:t xml:space="preserve">Сдвиг времени еды у инсулинозависимых.</w:t>
      </w:r>
    </w:p>
    <w:p>
      <w:pPr>
        <w:pStyle w:val="Compact"/>
        <w:numPr>
          <w:ilvl w:val="0"/>
          <w:numId w:val="1004"/>
        </w:numPr>
      </w:pPr>
      <w:r>
        <w:t xml:space="preserve">Слабительные и реакция на запор.</w:t>
      </w:r>
    </w:p>
    <w:p>
      <w:pPr>
        <w:pStyle w:val="Compact"/>
        <w:numPr>
          <w:ilvl w:val="0"/>
          <w:numId w:val="1004"/>
        </w:numPr>
      </w:pPr>
      <w:r>
        <w:t xml:space="preserve">Назначение анализов и добавок микронутриентов.</w:t>
      </w:r>
    </w:p>
    <w:p>
      <w:pPr>
        <w:pStyle w:val="Compact"/>
        <w:numPr>
          <w:ilvl w:val="0"/>
          <w:numId w:val="1004"/>
        </w:numPr>
      </w:pPr>
      <w:r>
        <w:t xml:space="preserve">Интерпретация MUST (Malnutrition Universal Screening Tool).</w:t>
      </w:r>
    </w:p>
    <w:p>
      <w:pPr>
        <w:pStyle w:val="FirstParagraph"/>
      </w:pPr>
      <w:r>
        <w:rPr>
          <w:b/>
          <w:bCs/>
        </w:rPr>
        <w:t xml:space="preserve">Без учредителя</w:t>
      </w:r>
      <w:r>
        <w:t xml:space="preserve"> </w:t>
      </w:r>
      <w:r>
        <w:t xml:space="preserve">(зона учредителя, не директора):</w:t>
      </w:r>
    </w:p>
    <w:p>
      <w:pPr>
        <w:pStyle w:val="Compact"/>
        <w:numPr>
          <w:ilvl w:val="0"/>
          <w:numId w:val="1005"/>
        </w:numPr>
      </w:pPr>
      <w:r>
        <w:t xml:space="preserve">Изменение финансирования продуктовой строки.</w:t>
      </w:r>
    </w:p>
    <w:p>
      <w:pPr>
        <w:pStyle w:val="Compact"/>
        <w:numPr>
          <w:ilvl w:val="0"/>
          <w:numId w:val="1005"/>
        </w:numPr>
      </w:pPr>
      <w:r>
        <w:t xml:space="preserve">Изменение штатного расписания (норма помощи за столом).</w:t>
      </w:r>
    </w:p>
    <w:p>
      <w:pPr>
        <w:pStyle w:val="Compact"/>
        <w:numPr>
          <w:ilvl w:val="0"/>
          <w:numId w:val="1005"/>
        </w:numPr>
      </w:pPr>
      <w:r>
        <w:t xml:space="preserve">Аутсорсинг питания.</w:t>
      </w:r>
    </w:p>
    <w:p>
      <w:pPr>
        <w:pStyle w:val="Compact"/>
        <w:numPr>
          <w:ilvl w:val="0"/>
          <w:numId w:val="1005"/>
        </w:numPr>
      </w:pPr>
      <w:r>
        <w:t xml:space="preserve">Официальный статус пилота и его публичность.</w:t>
      </w:r>
    </w:p>
    <w:p>
      <w:pPr>
        <w:pStyle w:val="FirstParagraph"/>
      </w:pPr>
      <w:r>
        <w:rPr>
          <w:b/>
          <w:bCs/>
        </w:rPr>
        <w:t xml:space="preserve">Без правовой проверки</w:t>
      </w:r>
      <w:r>
        <w:t xml:space="preserve"> </w:t>
      </w:r>
      <w:r>
        <w:t xml:space="preserve">(зона юриста, не учреждения):</w:t>
      </w:r>
    </w:p>
    <w:p>
      <w:pPr>
        <w:pStyle w:val="Compact"/>
        <w:numPr>
          <w:ilvl w:val="0"/>
          <w:numId w:val="1006"/>
        </w:numPr>
      </w:pPr>
      <w:r>
        <w:t xml:space="preserve">Формулировки о «согласии недееспособного» в локальных актах.</w:t>
      </w:r>
    </w:p>
    <w:p>
      <w:pPr>
        <w:pStyle w:val="Compact"/>
        <w:numPr>
          <w:ilvl w:val="0"/>
          <w:numId w:val="1006"/>
        </w:numPr>
      </w:pPr>
      <w:r>
        <w:t xml:space="preserve">Обработка пищевых карт как персональных данных (152-ФЗ).</w:t>
      </w:r>
    </w:p>
    <w:p>
      <w:pPr>
        <w:pStyle w:val="Compact"/>
        <w:numPr>
          <w:ilvl w:val="0"/>
          <w:numId w:val="1006"/>
        </w:numPr>
      </w:pPr>
      <w:r>
        <w:t xml:space="preserve">Ответы на запросы прокуратуры.</w:t>
      </w:r>
    </w:p>
    <w:p>
      <w:pPr>
        <w:pStyle w:val="Compact"/>
        <w:numPr>
          <w:ilvl w:val="0"/>
          <w:numId w:val="1006"/>
        </w:numPr>
      </w:pPr>
      <w:r>
        <w:t xml:space="preserve">Конструкции, где учреждение одновременно опекун и поставщик услуг.</w:t>
      </w:r>
    </w:p>
    <w:p>
      <w:pPr>
        <w:pStyle w:val="FirstParagraph"/>
      </w:pPr>
      <w:r>
        <w:rPr>
          <w:b/>
          <w:bCs/>
        </w:rPr>
        <w:t xml:space="preserve">Таблица «лекарство × еда» на посту законна только с подписью врача.</w:t>
      </w:r>
    </w:p>
    <w:bookmarkEnd w:id="27"/>
    <w:bookmarkStart w:id="28" w:name="X5ecd4b282d363d1acab0434a24108fb98f67e11"/>
    <w:p>
      <w:pPr>
        <w:pStyle w:val="Heading3"/>
      </w:pPr>
      <w:r>
        <w:t xml:space="preserve">5.2. Пять моделей вариативности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Где применяется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М0 — без вариативности</w:t>
            </w:r>
          </w:p>
        </w:tc>
        <w:tc>
          <w:tcPr/>
          <w:p>
            <w:pPr>
              <w:pStyle w:val="Compact"/>
            </w:pPr>
            <w:r>
              <w:t xml:space="preserve">Одно меню</w:t>
            </w:r>
          </w:p>
        </w:tc>
        <w:tc>
          <w:tcPr/>
          <w:p>
            <w:pPr>
              <w:pStyle w:val="Compact"/>
            </w:pPr>
            <w:r>
              <w:t xml:space="preserve">Базовый режим, неговорящие без биографии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М1 — выбор ключевых позиций</w:t>
            </w:r>
          </w:p>
        </w:tc>
        <w:tc>
          <w:tcPr/>
          <w:p>
            <w:pPr>
              <w:pStyle w:val="Compact"/>
            </w:pPr>
            <w:r>
              <w:t xml:space="preserve">Несколько раз в неделю; выбор определяет диетсестра</w:t>
            </w:r>
          </w:p>
        </w:tc>
        <w:tc>
          <w:tcPr/>
          <w:p>
            <w:pPr>
              <w:pStyle w:val="Compact"/>
            </w:pPr>
            <w:r>
              <w:t xml:space="preserve">Болотнинский ПНИ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М2 — ежедневный выбор вторых блюд</w:t>
            </w:r>
          </w:p>
        </w:tc>
        <w:tc>
          <w:tcPr/>
          <w:p>
            <w:pPr>
              <w:pStyle w:val="Compact"/>
            </w:pPr>
            <w:r>
              <w:t xml:space="preserve">2 варианта вторых + 2 салата + 2 напитка ежедневно</w:t>
            </w:r>
          </w:p>
        </w:tc>
        <w:tc>
          <w:tcPr/>
          <w:p>
            <w:pPr>
              <w:pStyle w:val="Compact"/>
            </w:pPr>
            <w:r>
              <w:t xml:space="preserve">Успенский ПНИ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М3 — заказное (ресторанный день)</w:t>
            </w:r>
          </w:p>
        </w:tc>
        <w:tc>
          <w:tcPr/>
          <w:p>
            <w:pPr>
              <w:pStyle w:val="Compact"/>
            </w:pPr>
            <w:r>
              <w:t xml:space="preserve">Выбор из нескольких готовых вариантов</w:t>
            </w:r>
          </w:p>
        </w:tc>
        <w:tc>
          <w:tcPr/>
          <w:p>
            <w:pPr>
              <w:pStyle w:val="Compact"/>
            </w:pPr>
            <w:r>
              <w:t xml:space="preserve">Серафимовский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М4 — пары эквивалентов</w:t>
            </w:r>
          </w:p>
        </w:tc>
        <w:tc>
          <w:tcPr/>
          <w:p>
            <w:pPr>
              <w:pStyle w:val="Compact"/>
            </w:pPr>
            <w:r>
              <w:t xml:space="preserve">2 эквивалентных по граммовкам/калорийности варианта</w:t>
            </w:r>
          </w:p>
        </w:tc>
        <w:tc>
          <w:tcPr/>
          <w:p>
            <w:pPr>
              <w:pStyle w:val="Compact"/>
            </w:pPr>
            <w:r>
              <w:t xml:space="preserve">Все практики + рекомендуется для пилота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М5 — полная аутсорсинг-вариативность</w:t>
            </w:r>
          </w:p>
        </w:tc>
        <w:tc>
          <w:tcPr/>
          <w:p>
            <w:pPr>
              <w:pStyle w:val="Compact"/>
            </w:pPr>
            <w:r>
              <w:t xml:space="preserve">Контракт с ТЗ «предусмотреть выбор»</w:t>
            </w:r>
          </w:p>
        </w:tc>
        <w:tc>
          <w:tcPr/>
          <w:p>
            <w:pPr>
              <w:pStyle w:val="Compact"/>
            </w:pPr>
            <w:r>
              <w:t xml:space="preserve">Тесовый берег (44-ФЗ), Серафимовский (223-ФЗ)</w:t>
            </w:r>
          </w:p>
        </w:tc>
      </w:tr>
    </w:tbl>
    <w:p>
      <w:pPr>
        <w:pStyle w:val="BodyText"/>
      </w:pPr>
      <w:r>
        <w:rPr>
          <w:b/>
          <w:bCs/>
        </w:rPr>
        <w:t xml:space="preserve">М4 — самая управляемая и измеримая модель для пилота.</w:t>
      </w:r>
      <w:r>
        <w:t xml:space="preserve"> </w:t>
      </w:r>
      <w:r>
        <w:t xml:space="preserve">Два варианта эквивалентны по граммовкам (в пределах ±10 %), калорийности (±10 %), белкам/жирам/углеводам (±15 %), текстуре (если назначена), стоимости (±10 %). Подпись: диетсестра (технологическая эквивалентность) + врач (клиническая безопасность).</w:t>
      </w:r>
    </w:p>
    <w:bookmarkEnd w:id="28"/>
    <w:bookmarkStart w:id="29" w:name="X9624d9570eff247c8aed777cd4fce0726e693f1"/>
    <w:p>
      <w:pPr>
        <w:pStyle w:val="Heading3"/>
      </w:pPr>
      <w:r>
        <w:t xml:space="preserve">5.3. Роли</w:t>
      </w:r>
    </w:p>
    <w:p>
      <w:pPr>
        <w:pStyle w:val="FirstParagraph"/>
      </w:pPr>
      <w:r>
        <w:rPr>
          <w:b/>
          <w:bCs/>
        </w:rPr>
        <w:t xml:space="preserve">Директор учреждения</w:t>
      </w:r>
      <w:r>
        <w:t xml:space="preserve"> </w:t>
      </w:r>
      <w:r>
        <w:t xml:space="preserve">— приказ о рабочей группе; согласование с учредителем (уведомительный порядок, не запрашивать разрешения); утверждение «Положения об организации питания»; решение о корректировке или масштабировании; ответы на запросы прокуратуры (комплект документов, не «запрета нет»).</w:t>
      </w:r>
    </w:p>
    <w:p>
      <w:pPr>
        <w:pStyle w:val="BodyText"/>
      </w:pPr>
      <w:r>
        <w:rPr>
          <w:b/>
          <w:bCs/>
        </w:rPr>
        <w:t xml:space="preserve">Врач / фельдшер</w:t>
      </w:r>
      <w:r>
        <w:t xml:space="preserve"> </w:t>
      </w:r>
      <w:r>
        <w:t xml:space="preserve">— список риска дисфагии; назначенные текстуры; таблица «лекарство × еда»; правило «3 отказа → врач в день»; назначение лечебного питания; оценка рисков лекарственных взаимодействий; контроль веса, глюкозы, липидов, запоров у жителей на весогенных препаратах; контроль пневмоний и событий риска.</w:t>
      </w:r>
    </w:p>
    <w:p>
      <w:pPr>
        <w:pStyle w:val="BodyText"/>
      </w:pPr>
      <w:r>
        <w:rPr>
          <w:b/>
          <w:bCs/>
        </w:rPr>
        <w:t xml:space="preserve">Диетсестра (или завпроизводства)</w:t>
      </w:r>
      <w:r>
        <w:t xml:space="preserve"> </w:t>
      </w:r>
      <w:r>
        <w:t xml:space="preserve">— сырьевая строка; циклограмма меню; пары эквивалентов (технологическая часть); журнал отходов; IDDSI-тест для повара; соответствие текстур назначенным.</w:t>
      </w:r>
    </w:p>
    <w:p>
      <w:pPr>
        <w:pStyle w:val="BodyText"/>
      </w:pPr>
      <w:r>
        <w:rPr>
          <w:b/>
          <w:bCs/>
        </w:rPr>
        <w:t xml:space="preserve">Старшая смена пищеблока</w:t>
      </w:r>
      <w:r>
        <w:t xml:space="preserve"> </w:t>
      </w:r>
      <w:r>
        <w:t xml:space="preserve">— журнал заказа; журнал отказов; журнал ночного интервала; хронометраж раздачи; температура подачи; маркировка текстур.</w:t>
      </w:r>
    </w:p>
    <w:p>
      <w:pPr>
        <w:pStyle w:val="BodyText"/>
      </w:pPr>
      <w:r>
        <w:rPr>
          <w:b/>
          <w:bCs/>
        </w:rPr>
        <w:t xml:space="preserve">Старшая медсестра отделения</w:t>
      </w:r>
      <w:r>
        <w:t xml:space="preserve"> </w:t>
      </w:r>
      <w:r>
        <w:t xml:space="preserve">— пищевые карты; поза и темп помощи; контроль объёма выпитого; гигиена полости рта; передача информации врачу.</w:t>
      </w:r>
    </w:p>
    <w:p>
      <w:pPr>
        <w:pStyle w:val="BodyText"/>
      </w:pPr>
      <w:r>
        <w:rPr>
          <w:b/>
          <w:bCs/>
        </w:rPr>
        <w:t xml:space="preserve">Помощник по уходу (ранее — «сиделка»)</w:t>
      </w:r>
      <w:r>
        <w:t xml:space="preserve"> </w:t>
      </w:r>
      <w:r>
        <w:t xml:space="preserve">— помощь в приёме пищи (1 помощник на 1–2 кормимых, ориентир); наблюдение за жителем; сообщение старшей смене.</w:t>
      </w:r>
    </w:p>
    <w:p>
      <w:pPr>
        <w:pStyle w:val="BodyText"/>
      </w:pPr>
      <w:r>
        <w:rPr>
          <w:b/>
          <w:bCs/>
        </w:rPr>
        <w:t xml:space="preserve">Завпроизводства</w:t>
      </w:r>
      <w:r>
        <w:t xml:space="preserve"> </w:t>
      </w:r>
      <w:r>
        <w:t xml:space="preserve">— закупка (44-ФЗ / 223-ФЗ); контракт на аутсорсинг; приготовление; маркировка текстур; кухонные остатки; IDDSI-тест перед выдачей; соблюдение СанПиН.</w:t>
      </w:r>
    </w:p>
    <w:bookmarkEnd w:id="29"/>
    <w:bookmarkStart w:id="30" w:name="X6e5aa7f872daffcb58f8a3b84bbc9d7fb4aa428"/>
    <w:p>
      <w:pPr>
        <w:pStyle w:val="Heading3"/>
      </w:pPr>
      <w:r>
        <w:t xml:space="preserve">5.4. Процедура выражения воли</w:t>
      </w:r>
    </w:p>
    <w:p>
      <w:pPr>
        <w:pStyle w:val="FirstParagraph"/>
      </w:pPr>
      <w:r>
        <w:t xml:space="preserve">Воля жителя выражается: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Словом</w:t>
      </w:r>
      <w:r>
        <w:t xml:space="preserve"> </w:t>
      </w:r>
      <w:r>
        <w:t xml:space="preserve">— для говорящих жителей с сохранным интеллектом (меню, устный вопрос).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Показом</w:t>
      </w:r>
      <w:r>
        <w:t xml:space="preserve"> </w:t>
      </w:r>
      <w:r>
        <w:t xml:space="preserve">— для неговорящих и малоговорящих (две порции, две карточки с фото).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Поведением</w:t>
      </w:r>
      <w:r>
        <w:t xml:space="preserve"> </w:t>
      </w:r>
      <w:r>
        <w:t xml:space="preserve">— устойчивые паттерны потребления, наблюдаемые сменой.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Пищевой биографией</w:t>
      </w:r>
      <w:r>
        <w:t xml:space="preserve"> </w:t>
      </w:r>
      <w:r>
        <w:t xml:space="preserve">— сведения, собранные при поступлении (что ел дома, любимые блюда, традиции).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Советом жителей</w:t>
      </w:r>
      <w:r>
        <w:t xml:space="preserve"> </w:t>
      </w:r>
      <w:r>
        <w:t xml:space="preserve">— коллективный канал обратной связи.</w:t>
      </w:r>
    </w:p>
    <w:p>
      <w:pPr>
        <w:pStyle w:val="FirstParagraph"/>
      </w:pPr>
      <w:r>
        <w:rPr>
          <w:b/>
          <w:bCs/>
        </w:rPr>
        <w:t xml:space="preserve">Выбор документируется</w:t>
      </w:r>
      <w:r>
        <w:t xml:space="preserve"> </w:t>
      </w:r>
      <w:r>
        <w:t xml:space="preserve">в журнале заказа, в пищевой карте, в журнале отказов.</w:t>
      </w:r>
      <w:r>
        <w:t xml:space="preserve"> </w:t>
      </w:r>
      <w:r>
        <w:rPr>
          <w:b/>
          <w:bCs/>
        </w:rPr>
        <w:t xml:space="preserve">Если житель не выбрал</w:t>
      </w:r>
      <w:r>
        <w:t xml:space="preserve"> </w:t>
      </w:r>
      <w:r>
        <w:t xml:space="preserve">— подаётся стандартный вариант пары (по умолчанию — первый). Выбор за жителя не делается, но стандартный вариант предлагается.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467ec223dfb021e400e8aa5bc9f104cf56c4e8b"/>
    <w:p>
      <w:pPr>
        <w:pStyle w:val="Heading2"/>
      </w:pPr>
      <w:r>
        <w:t xml:space="preserve">6. Протокол пилота 90 дней</w:t>
      </w:r>
    </w:p>
    <w:bookmarkStart w:id="32" w:name="Xc08068b803f384e2d219d9e0beb2d4e08f79128"/>
    <w:p>
      <w:pPr>
        <w:pStyle w:val="Heading3"/>
      </w:pPr>
      <w:r>
        <w:t xml:space="preserve">6.1. Структура пилота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Дни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Замер</w:t>
            </w:r>
          </w:p>
        </w:tc>
        <w:tc>
          <w:tcPr/>
          <w:p>
            <w:pPr>
              <w:pStyle w:val="Compact"/>
            </w:pPr>
            <w:r>
              <w:t xml:space="preserve">1–30</w:t>
            </w:r>
          </w:p>
        </w:tc>
        <w:tc>
          <w:tcPr/>
          <w:p>
            <w:pPr>
              <w:pStyle w:val="Compact"/>
            </w:pPr>
            <w:r>
              <w:t xml:space="preserve">Узнать фактическое состояние</w:t>
            </w:r>
          </w:p>
        </w:tc>
        <w:tc>
          <w:tcPr/>
          <w:p>
            <w:pPr>
              <w:pStyle w:val="Compact"/>
            </w:pPr>
            <w:r>
              <w:t xml:space="preserve">Сырьевая строка, отходы, остатки, ночной интервал, 5 чисел контингента, таблица врача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Документы и обучение</w:t>
            </w:r>
          </w:p>
        </w:tc>
        <w:tc>
          <w:tcPr/>
          <w:p>
            <w:pPr>
              <w:pStyle w:val="Compact"/>
            </w:pPr>
            <w:r>
              <w:t xml:space="preserve">31–60</w:t>
            </w:r>
          </w:p>
        </w:tc>
        <w:tc>
          <w:tcPr/>
          <w:p>
            <w:pPr>
              <w:pStyle w:val="Compact"/>
            </w:pPr>
            <w:r>
              <w:t xml:space="preserve">Подготовить нормативную базу</w:t>
            </w:r>
          </w:p>
        </w:tc>
        <w:tc>
          <w:tcPr/>
          <w:p>
            <w:pPr>
              <w:pStyle w:val="Compact"/>
            </w:pPr>
            <w:r>
              <w:t xml:space="preserve">Положение, согласование, пары эквивалентов, обучение (8 ч/сотр.), журналы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Пилот</w:t>
            </w:r>
          </w:p>
        </w:tc>
        <w:tc>
          <w:tcPr/>
          <w:p>
            <w:pPr>
              <w:pStyle w:val="Compact"/>
            </w:pPr>
            <w:r>
              <w:t xml:space="preserve">61–90</w:t>
            </w:r>
          </w:p>
        </w:tc>
        <w:tc>
          <w:tcPr/>
          <w:p>
            <w:pPr>
              <w:pStyle w:val="Compact"/>
            </w:pPr>
            <w:r>
              <w:t xml:space="preserve">Запустить выбор и собрать данные</w:t>
            </w:r>
          </w:p>
        </w:tc>
        <w:tc>
          <w:tcPr/>
          <w:p>
            <w:pPr>
              <w:pStyle w:val="Compact"/>
            </w:pPr>
            <w:r>
              <w:t xml:space="preserve">Запуск, ежедневный сбор, промежуточный контроль на 75-й день, итоговый замер на 90-й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Точка пилота:</w:t>
      </w:r>
      <w:r>
        <w:t xml:space="preserve"> </w:t>
      </w:r>
      <w:r>
        <w:t xml:space="preserve">одно отделение 20–35 жителей; лучше «сложное» (группа помощи, неговорящие), не самое удобное; одна смена; один приём пищи — обед.</w:t>
      </w:r>
      <w:r>
        <w:t xml:space="preserve"> </w:t>
      </w:r>
      <w:r>
        <w:rPr>
          <w:b/>
          <w:bCs/>
        </w:rPr>
        <w:t xml:space="preserve">«% выбравших» — не KPI.</w:t>
      </w:r>
      <w:r>
        <w:t xml:space="preserve"> </w:t>
      </w:r>
      <w:r>
        <w:t xml:space="preserve">Успех — доступность и исполнение осмысленного выбора.</w:t>
      </w:r>
    </w:p>
    <w:bookmarkEnd w:id="32"/>
    <w:bookmarkStart w:id="33" w:name="X1229f7c7bb8213eaa089b8007d627afe529048c"/>
    <w:p>
      <w:pPr>
        <w:pStyle w:val="Heading3"/>
      </w:pPr>
      <w:r>
        <w:t xml:space="preserve">6.2. Пять групп показателей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Что измеряет</w:t>
            </w:r>
          </w:p>
        </w:tc>
        <w:tc>
          <w:tcPr/>
          <w:p>
            <w:pPr>
              <w:pStyle w:val="Compact"/>
            </w:pPr>
            <w:r>
              <w:t xml:space="preserve">Ключевые показатели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Заполненность пищевых карт</w:t>
            </w:r>
          </w:p>
        </w:tc>
        <w:tc>
          <w:tcPr/>
          <w:p>
            <w:pPr>
              <w:pStyle w:val="Compact"/>
            </w:pPr>
            <w:r>
              <w:t xml:space="preserve">Качество клинической документации</w:t>
            </w:r>
          </w:p>
        </w:tc>
        <w:tc>
          <w:tcPr/>
          <w:p>
            <w:pPr>
              <w:pStyle w:val="Compact"/>
            </w:pPr>
            <w:r>
              <w:t xml:space="preserve">Доля жителей с заполненной картой; доля с датой пересмотра текстуры; актуальность списка риска дисфагии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Доступный выбор</w:t>
            </w:r>
          </w:p>
        </w:tc>
        <w:tc>
          <w:tcPr/>
          <w:p>
            <w:pPr>
              <w:pStyle w:val="Compact"/>
            </w:pPr>
            <w:r>
              <w:t xml:space="preserve">Доступность, не доля «выбравших»</w:t>
            </w:r>
          </w:p>
        </w:tc>
        <w:tc>
          <w:tcPr/>
          <w:p>
            <w:pPr>
              <w:pStyle w:val="Compact"/>
            </w:pPr>
            <w:r>
              <w:t xml:space="preserve">Доля обедов с 2 вариантами; доля жителей, получивших выбор ≥1 раз; число утверждённых пар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Исполнение</w:t>
            </w:r>
          </w:p>
        </w:tc>
        <w:tc>
          <w:tcPr/>
          <w:p>
            <w:pPr>
              <w:pStyle w:val="Compact"/>
            </w:pPr>
            <w:r>
              <w:t xml:space="preserve">Качество исполнения</w:t>
            </w:r>
          </w:p>
        </w:tc>
        <w:tc>
          <w:tcPr/>
          <w:p>
            <w:pPr>
              <w:pStyle w:val="Compact"/>
            </w:pPr>
            <w:r>
              <w:t xml:space="preserve">Доля корректно исполненных заказов; доля правильных текстур; доля с учётом лекарств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Отходы</w:t>
            </w:r>
          </w:p>
        </w:tc>
        <w:tc>
          <w:tcPr/>
          <w:p>
            <w:pPr>
              <w:pStyle w:val="Compact"/>
            </w:pPr>
            <w:r>
              <w:t xml:space="preserve">Качество планирования</w:t>
            </w:r>
          </w:p>
        </w:tc>
        <w:tc>
          <w:tcPr/>
          <w:p>
            <w:pPr>
              <w:pStyle w:val="Compact"/>
            </w:pPr>
            <w:r>
              <w:t xml:space="preserve">Средние тарелочные остатки; доля приёмов с отказом ≥50 %; кухонные остатки (г/чел./день); замены по таблице пар; возвраты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События риска</w:t>
            </w:r>
          </w:p>
        </w:tc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Пневмонии (на 1000 жителе-дней); падения; инциденты; гиперфагические эпизоды; отказы ≥3 дней; обезвоживание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Полный словарь 26 показателей</w:t>
      </w:r>
      <w:r>
        <w:t xml:space="preserve"> </w:t>
      </w:r>
      <w:r>
        <w:t xml:space="preserve">с числителем, знаменателем, источником, периодичностью, ответственным и риском интерпретации — в отдельном документе (см. Приложение).</w:t>
      </w:r>
    </w:p>
    <w:bookmarkEnd w:id="33"/>
    <w:bookmarkStart w:id="34" w:name="X86227b98c364a7a1b2844fc83941f4ecf5582d6"/>
    <w:p>
      <w:pPr>
        <w:pStyle w:val="Heading3"/>
      </w:pPr>
      <w:r>
        <w:t xml:space="preserve">6.3. Шесть стоп-критериев</w:t>
      </w:r>
    </w:p>
    <w:p>
      <w:pPr>
        <w:pStyle w:val="FirstParagraph"/>
      </w:pPr>
      <w:r>
        <w:t xml:space="preserve">Пилот</w:t>
      </w:r>
      <w:r>
        <w:t xml:space="preserve"> </w:t>
      </w:r>
      <w:r>
        <w:rPr>
          <w:b/>
          <w:bCs/>
        </w:rPr>
        <w:t xml:space="preserve">останавливается</w:t>
      </w:r>
      <w:r>
        <w:t xml:space="preserve"> </w:t>
      </w:r>
      <w:r>
        <w:t xml:space="preserve">(не масштабируется, не продлевается) при: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Рост пневмоний</w:t>
      </w:r>
      <w:r>
        <w:t xml:space="preserve"> </w:t>
      </w:r>
      <w:r>
        <w:t xml:space="preserve">в пилотном отделении ≥30 % по сравнению с предыдущим кварталом.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Падение со смертельным исходом</w:t>
      </w:r>
      <w:r>
        <w:t xml:space="preserve"> </w:t>
      </w:r>
      <w:r>
        <w:t xml:space="preserve">в столовой пилотного отделения.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Жалоба жителя / родственника</w:t>
      </w:r>
      <w:r>
        <w:t xml:space="preserve"> </w:t>
      </w:r>
      <w:r>
        <w:t xml:space="preserve">в прокуратуру на нарушение при пилоте.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Приказ учредителя</w:t>
      </w:r>
      <w:r>
        <w:t xml:space="preserve"> </w:t>
      </w:r>
      <w:r>
        <w:t xml:space="preserve">о приостановке.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Отзыв согласия учредителя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Отсутствие врача</w:t>
      </w:r>
      <w:r>
        <w:t xml:space="preserve"> </w:t>
      </w:r>
      <w:r>
        <w:t xml:space="preserve">на посту (невозможность исполнить границу 4.0).</w:t>
      </w:r>
    </w:p>
    <w:bookmarkEnd w:id="34"/>
    <w:bookmarkStart w:id="35" w:name="X064b587d7377ad44814848f5c1c97a2fcc3d7fc"/>
    <w:p>
      <w:pPr>
        <w:pStyle w:val="Heading3"/>
      </w:pPr>
      <w:r>
        <w:t xml:space="preserve">6.4. Решение по результатам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 из 5 групп в норме</w:t>
            </w:r>
          </w:p>
        </w:tc>
        <w:tc>
          <w:tcPr/>
          <w:p>
            <w:pPr>
              <w:pStyle w:val="Compact"/>
            </w:pPr>
            <w:r>
              <w:t xml:space="preserve">Масштабирование на 1–2 отделения; новая фаза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из 5</w:t>
            </w:r>
          </w:p>
        </w:tc>
        <w:tc>
          <w:tcPr/>
          <w:p>
            <w:pPr>
              <w:pStyle w:val="Compact"/>
            </w:pPr>
            <w:r>
              <w:t xml:space="preserve">Корректировка пар, дополнительный инструктаж; повторный пилот 60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из 5</w:t>
            </w:r>
          </w:p>
        </w:tc>
        <w:tc>
          <w:tcPr/>
          <w:p>
            <w:pPr>
              <w:pStyle w:val="Compact"/>
            </w:pPr>
            <w:r>
              <w:t xml:space="preserve">Остановка; анализ причин; новый замер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или 0 из 5</w:t>
            </w:r>
          </w:p>
        </w:tc>
        <w:tc>
          <w:tcPr/>
          <w:p>
            <w:pPr>
              <w:pStyle w:val="Compact"/>
            </w:pPr>
            <w:r>
              <w:t xml:space="preserve">Смена подхода; смена модели; обязательная ревизия медицинской рамки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Xb9747f05e5949a19d20d1b65455de13ab5908d9"/>
    <w:p>
      <w:pPr>
        <w:pStyle w:val="Heading2"/>
      </w:pPr>
      <w:r>
        <w:t xml:space="preserve">7. Обсуждение</w:t>
      </w:r>
    </w:p>
    <w:bookmarkStart w:id="37" w:name="Xad2331df2d548a990e63bb5b48563400e3c4e93"/>
    <w:p>
      <w:pPr>
        <w:pStyle w:val="Heading3"/>
      </w:pPr>
      <w:r>
        <w:t xml:space="preserve">7.1. Доказательная база</w:t>
      </w:r>
    </w:p>
    <w:p>
      <w:pPr>
        <w:pStyle w:val="FirstParagraph"/>
      </w:pPr>
      <w:r>
        <w:rPr>
          <w:b/>
          <w:bCs/>
        </w:rPr>
        <w:t xml:space="preserve">Сильные стороны модели.</w:t>
      </w:r>
      <w:r>
        <w:t xml:space="preserve"> </w:t>
      </w:r>
      <w:r>
        <w:t xml:space="preserve">Все ключевые клинические утверждения подтверждаются первоисточниками: дисфагия 21,9–69,5 % (Miarons Font 2017); смертность от пневмонии RR 7,00 (Correll 2022); 76,3 % CRWG на клозапине (Campforts 2023); −0,23…+3,01 кг антипсихотической прибавки (Pillinger 2020); клозапиновые запоры 30–60 % (Every-Palmer 2016/2017); IDDSI framework (Cichero 2017); клозапин-кофеин +19 % AUC (Hägg 2000); карбамазепин-грейпфрут +40 % пик (Garg 1998); гигиена полости рта 19→11 % (Yoneyama 2002); загущённые жидкости без доказанной пользы (Steele 2021).</w:t>
      </w:r>
    </w:p>
    <w:p>
      <w:pPr>
        <w:pStyle w:val="BodyText"/>
      </w:pPr>
      <w:r>
        <w:rPr>
          <w:b/>
          <w:bCs/>
        </w:rPr>
        <w:t xml:space="preserve">Ограничения модели.</w:t>
      </w:r>
      <w:r>
        <w:t xml:space="preserve"> </w:t>
      </w:r>
      <w:r>
        <w:t xml:space="preserve">Большинство исследований проведено</w:t>
      </w:r>
      <w:r>
        <w:t xml:space="preserve"> </w:t>
      </w:r>
      <w:r>
        <w:rPr>
          <w:b/>
          <w:bCs/>
        </w:rPr>
        <w:t xml:space="preserve">вне психиатрического контекста</w:t>
      </w:r>
      <w:r>
        <w:t xml:space="preserve">: IDDSI 44→90 % — в aged care (Wu 2022), не в ПНИ; «1/10 смертей» — в frail elders (Sjogren 2008), не в ПНИ; «19→11 % пневмоний» — в домах ухода (Yoneyama 2002), не в ПНИ.</w:t>
      </w:r>
      <w:r>
        <w:t xml:space="preserve"> </w:t>
      </w:r>
      <w:r>
        <w:rPr>
          <w:b/>
          <w:bCs/>
        </w:rPr>
        <w:t xml:space="preserve">Прямой перенос не обоснован; правомерно говорить о принципиальной воспроизводимости механизмов.</w:t>
      </w:r>
    </w:p>
    <w:p>
      <w:pPr>
        <w:pStyle w:val="BodyText"/>
      </w:pPr>
      <w:r>
        <w:rPr>
          <w:b/>
          <w:bCs/>
        </w:rPr>
        <w:t xml:space="preserve">Российская статистическая база</w:t>
      </w:r>
      <w:r>
        <w:t xml:space="preserve"> </w:t>
      </w:r>
      <w:r>
        <w:t xml:space="preserve">— аналитика проекта «Если быть точным» на открытых данных Минтруда, Росстата и Федерального казначейства (tochno.st, 09.04.2026). Это</w:t>
      </w:r>
      <w:r>
        <w:t xml:space="preserve"> </w:t>
      </w:r>
      <w:r>
        <w:rPr>
          <w:b/>
          <w:bCs/>
        </w:rPr>
        <w:t xml:space="preserve">не официальная статистика Минтруда</w:t>
      </w:r>
      <w:r>
        <w:t xml:space="preserve">, а независимая аналитика.</w:t>
      </w:r>
      <w:r>
        <w:t xml:space="preserve"> </w:t>
      </w:r>
      <w:r>
        <w:rPr>
          <w:b/>
          <w:bCs/>
        </w:rPr>
        <w:t xml:space="preserve">99 % недееспособных под опекой самого учреждения (117 000 чел.) — уникальная находка</w:t>
      </w:r>
      <w:r>
        <w:t xml:space="preserve">, которой нет в других русскоязычных методичках.</w:t>
      </w:r>
    </w:p>
    <w:p>
      <w:pPr>
        <w:pStyle w:val="BodyText"/>
      </w:pPr>
      <w:r>
        <w:rPr>
          <w:b/>
          <w:bCs/>
        </w:rPr>
        <w:t xml:space="preserve">Критический пробел.</w:t>
      </w:r>
      <w:r>
        <w:t xml:space="preserve"> </w:t>
      </w:r>
      <w:r>
        <w:t xml:space="preserve">Эффективность вариативного питания</w:t>
      </w:r>
      <w:r>
        <w:t xml:space="preserve"> </w:t>
      </w:r>
      <w:r>
        <w:rPr>
          <w:b/>
          <w:bCs/>
        </w:rPr>
        <w:t xml:space="preserve">в психиатрическом контингенте</w:t>
      </w:r>
      <w:r>
        <w:t xml:space="preserve"> </w:t>
      </w:r>
      <w:r>
        <w:t xml:space="preserve">в РКИ не измерена. Имеющиеся данные — из общего long-term care (Wu 2022), из frailty (Yoneyama 2002, Sjogren 2008), из семейного стиля подачи в dementia (Nijs K. et al., BMJ 2006).</w:t>
      </w:r>
      <w:r>
        <w:t xml:space="preserve"> </w:t>
      </w:r>
      <w:r>
        <w:rPr>
          <w:b/>
          <w:bCs/>
        </w:rPr>
        <w:t xml:space="preserve">Пилот в конкретном учреждении — единственный способ получить собственные данные.</w:t>
      </w:r>
    </w:p>
    <w:bookmarkEnd w:id="37"/>
    <w:bookmarkStart w:id="38" w:name="X733ef6f7a16d36d3cbaab43b27c2841ffa3b122"/>
    <w:p>
      <w:pPr>
        <w:pStyle w:val="Heading3"/>
      </w:pPr>
      <w:r>
        <w:t xml:space="preserve">7.2. Правовые риски</w:t>
      </w:r>
    </w:p>
    <w:p>
      <w:pPr>
        <w:pStyle w:val="FirstParagraph"/>
      </w:pPr>
      <w:r>
        <w:t xml:space="preserve">Главный правовой риск —</w:t>
      </w:r>
      <w:r>
        <w:t xml:space="preserve"> </w:t>
      </w:r>
      <w:r>
        <w:rPr>
          <w:b/>
          <w:bCs/>
        </w:rPr>
        <w:t xml:space="preserve">смешение «запрета нет» с «можно безопасно»</w:t>
      </w:r>
      <w:r>
        <w:t xml:space="preserve">. Директор, отвечающий проверяющему «закона не запрещает», проигрывает проверяющему, у которого есть «а покажите положение, журнал, пищевые карты».</w:t>
      </w:r>
      <w:r>
        <w:t xml:space="preserve"> </w:t>
      </w:r>
      <w:r>
        <w:rPr>
          <w:b/>
          <w:bCs/>
        </w:rPr>
        <w:t xml:space="preserve">Комплект документов — главный защитный механизм директора.</w:t>
      </w:r>
      <w:r>
        <w:t xml:space="preserve"> </w:t>
      </w:r>
      <w:r>
        <w:t xml:space="preserve">Без него та же практика выглядит как отступление от раскладки. С ним — как управленческое решение в рамках 442-ФЗ.</w:t>
      </w:r>
    </w:p>
    <w:p>
      <w:pPr>
        <w:pStyle w:val="BodyText"/>
      </w:pPr>
      <w:r>
        <w:t xml:space="preserve">Локальный приказ № 124 от 10.03.2026 (правила внутреннего распорядка СПб ГАСУСОН «ДСО „Серафимовский"»)</w:t>
      </w:r>
      <w:r>
        <w:rPr>
          <w:b/>
          <w:bCs/>
        </w:rPr>
        <w:t xml:space="preserve">— локальный акт одного учреждения, не общероссийская норма.</w:t>
      </w:r>
      <w:r>
        <w:t xml:space="preserve"> </w:t>
      </w:r>
      <w:r>
        <w:t xml:space="preserve">Использование его в обобщающем контексте («у нас тоже так, как у Серафимовского») — ошибка.</w:t>
      </w:r>
      <w:r>
        <w:t xml:space="preserve"> </w:t>
      </w:r>
      <w:r>
        <w:rPr>
          <w:b/>
          <w:bCs/>
        </w:rPr>
        <w:t xml:space="preserve">Каждое учреждение разрабатывает свои локальные правила на основе действующего федерального права.</w:t>
      </w:r>
    </w:p>
    <w:p>
      <w:pPr>
        <w:pStyle w:val="BodyText"/>
      </w:pPr>
      <w:r>
        <w:rPr>
          <w:b/>
          <w:bCs/>
        </w:rPr>
        <w:t xml:space="preserve">Смена СанПиН 4282-26 с 01.09.2026</w:t>
      </w:r>
      <w:r>
        <w:t xml:space="preserve"> </w:t>
      </w:r>
      <w:r>
        <w:t xml:space="preserve">(через 6 дней после семинара 26.08.2026) требует полной сверки п. 56 подп. 11–14, п. 62, раздел VI. Формулировка «не менее 3-х раз в день + диетическое по показаниям» сохранена в обеих редакциях, но технические требования могут отличаться.</w:t>
      </w:r>
    </w:p>
    <w:bookmarkEnd w:id="38"/>
    <w:bookmarkStart w:id="39" w:name="X4fecf782be9ea6be7e8e18d48fa61fa24b49ac1"/>
    <w:p>
      <w:pPr>
        <w:pStyle w:val="Heading3"/>
      </w:pPr>
      <w:r>
        <w:t xml:space="preserve">7.3. Этические риски</w:t>
      </w:r>
    </w:p>
    <w:p>
      <w:pPr>
        <w:pStyle w:val="FirstParagraph"/>
      </w:pPr>
      <w:r>
        <w:t xml:space="preserve">Главный этический риск —</w:t>
      </w:r>
      <w:r>
        <w:t xml:space="preserve"> </w:t>
      </w:r>
      <w:r>
        <w:rPr>
          <w:b/>
          <w:bCs/>
        </w:rPr>
        <w:t xml:space="preserve">конфликт интересов «опекун — поставщик услуг»</w:t>
      </w:r>
      <w:r>
        <w:t xml:space="preserve">. 99 % недееспособных жителей ПНИ находятся под опекой самого учреждения. Учреждение одновременно действует в интересах подопечного (как опекун) и обслуживает его (как поставщик услуг).</w:t>
      </w:r>
      <w:r>
        <w:t xml:space="preserve"> </w:t>
      </w:r>
      <w:r>
        <w:rPr>
          <w:b/>
          <w:bCs/>
        </w:rPr>
        <w:t xml:space="preserve">Решение</w:t>
      </w:r>
      <w:r>
        <w:t xml:space="preserve"> </w:t>
      </w:r>
      <w:r>
        <w:t xml:space="preserve">— задокументированная процедура выражения воли, а не юридическая реформа. Закон 3185-1 ст. 5 ч. 2 («право на уважительное и гуманное отношение, исключающее унижение человеческого достоинства») работает в этой конструкции — но требует процессуальной поддержки.</w:t>
      </w:r>
    </w:p>
    <w:p>
      <w:pPr>
        <w:pStyle w:val="BodyText"/>
      </w:pPr>
      <w:r>
        <w:rPr>
          <w:b/>
          <w:bCs/>
        </w:rPr>
        <w:t xml:space="preserve">Невербальный выбор</w:t>
      </w:r>
      <w:r>
        <w:t xml:space="preserve"> </w:t>
      </w:r>
      <w:r>
        <w:t xml:space="preserve">(термин авторский; международные аналоги — «выражение воли без слов» / «поддержанное принятие решений» по КПИ ст. 12) — это</w:t>
      </w:r>
      <w:r>
        <w:t xml:space="preserve"> </w:t>
      </w:r>
      <w:r>
        <w:rPr>
          <w:b/>
          <w:bCs/>
        </w:rPr>
        <w:t xml:space="preserve">не фикция</w:t>
      </w:r>
      <w:r>
        <w:t xml:space="preserve">, а единственный канал воли для значительной доли жителей. Закрыть его — значит превратить жителя в объект заботы.</w:t>
      </w:r>
    </w:p>
    <w:bookmarkEnd w:id="39"/>
    <w:bookmarkStart w:id="40" w:name="X44d3da0ba30c9d633b135e62a0094f7974e1443"/>
    <w:p>
      <w:pPr>
        <w:pStyle w:val="Heading3"/>
      </w:pPr>
      <w:r>
        <w:t xml:space="preserve">7.4. Ограничения исследования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Клиническая доказательная база</w:t>
      </w:r>
      <w:r>
        <w:t xml:space="preserve"> </w:t>
      </w:r>
      <w:r>
        <w:t xml:space="preserve">построена преимущественно на зарубежных исследованиях в общем long-term care, не в психиатрическом контингенте.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Российские практики</w:t>
      </w:r>
      <w:r>
        <w:t xml:space="preserve"> </w:t>
      </w:r>
      <w:r>
        <w:t xml:space="preserve">описаны в 4 учреждениях и 1 региональной модели, без панелей «до/после» с измеримыми исходами.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Данные проекта «Если быть точным»</w:t>
      </w:r>
      <w:r>
        <w:t xml:space="preserve"> </w:t>
      </w:r>
      <w:r>
        <w:t xml:space="preserve">— независимая аналитика, не официальная статистика Минтруда. Цифры могут быть уточнены.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Сайт pni9.ru прекратил работу 21.08.2026</w:t>
      </w:r>
      <w:r>
        <w:t xml:space="preserve"> </w:t>
      </w:r>
      <w:r>
        <w:t xml:space="preserve">— локальный приказ № 124 доступен только через архив web.archive.org.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СанПиН 4282-26</w:t>
      </w:r>
      <w:r>
        <w:t xml:space="preserve"> </w:t>
      </w:r>
      <w:r>
        <w:t xml:space="preserve">не вступил в силу на 22.08.2026; формулировки могут быть скорректированы.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c8191aade59c2da538c31a3b640218278d5d821"/>
    <w:p>
      <w:pPr>
        <w:pStyle w:val="Heading2"/>
      </w:pPr>
      <w:r>
        <w:t xml:space="preserve">8. Заключение</w:t>
      </w:r>
    </w:p>
    <w:p>
      <w:pPr>
        <w:pStyle w:val="FirstParagraph"/>
      </w:pPr>
      <w:r>
        <w:t xml:space="preserve">Вариативное питание в стационарных организациях социального обслуживания для лиц с психическими расстройствами —</w:t>
      </w:r>
      <w:r>
        <w:t xml:space="preserve"> </w:t>
      </w:r>
      <w:r>
        <w:rPr>
          <w:b/>
          <w:bCs/>
        </w:rPr>
        <w:t xml:space="preserve">управляемая система, не ресторан</w:t>
      </w:r>
      <w:r>
        <w:t xml:space="preserve">. Она требует: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Границы 4.0</w:t>
      </w:r>
      <w:r>
        <w:t xml:space="preserve"> </w:t>
      </w:r>
      <w:r>
        <w:t xml:space="preserve">— что кухня не назначает, что не идёт без врача, что не идёт без учредителя, что не идёт без правовой проверки.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Документального комплекта</w:t>
      </w:r>
      <w:r>
        <w:t xml:space="preserve"> </w:t>
      </w:r>
      <w:r>
        <w:t xml:space="preserve">— 12 документов для ответа проверяющему.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Пилота на 90 дней</w:t>
      </w:r>
      <w:r>
        <w:t xml:space="preserve"> </w:t>
      </w:r>
      <w:r>
        <w:t xml:space="preserve">на одном отделении с 5 группами показателей и 6 стоп-критериями.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Обучения смены</w:t>
      </w:r>
      <w:r>
        <w:t xml:space="preserve"> </w:t>
      </w:r>
      <w:r>
        <w:t xml:space="preserve">— минимум 8 часов на сотрудника.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Согласования с учредителем</w:t>
      </w:r>
      <w:r>
        <w:t xml:space="preserve"> </w:t>
      </w:r>
      <w:r>
        <w:t xml:space="preserve">в уведомительном порядке.</w:t>
      </w:r>
    </w:p>
    <w:p>
      <w:pPr>
        <w:pStyle w:val="FirstParagraph"/>
      </w:pPr>
      <w:r>
        <w:rPr>
          <w:b/>
          <w:bCs/>
        </w:rPr>
        <w:t xml:space="preserve">Главный вывод.</w:t>
      </w:r>
      <w:r>
        <w:t xml:space="preserve"> </w:t>
      </w:r>
      <w:r>
        <w:t xml:space="preserve">Вариативное питание</w:t>
      </w:r>
      <w:r>
        <w:t xml:space="preserve"> </w:t>
      </w:r>
      <w:r>
        <w:rPr>
          <w:b/>
          <w:bCs/>
        </w:rPr>
        <w:t xml:space="preserve">не требует дополнительных затрат</w:t>
      </w:r>
      <w:r>
        <w:t xml:space="preserve"> </w:t>
      </w:r>
      <w:r>
        <w:t xml:space="preserve">на этапе пилота (4 публичных кейса в РФ), но требует</w:t>
      </w:r>
      <w:r>
        <w:t xml:space="preserve"> </w:t>
      </w:r>
      <w:r>
        <w:rPr>
          <w:b/>
          <w:bCs/>
        </w:rPr>
        <w:t xml:space="preserve">реорганизации процесса, документирования и обучения</w:t>
      </w:r>
      <w:r>
        <w:t xml:space="preserve">. Главный риск —</w:t>
      </w:r>
      <w:r>
        <w:t xml:space="preserve"> </w:t>
      </w:r>
      <w:r>
        <w:rPr>
          <w:b/>
          <w:bCs/>
        </w:rPr>
        <w:t xml:space="preserve">не меню, а процесс</w:t>
      </w:r>
      <w:r>
        <w:t xml:space="preserve">: 99 % недееспособных жителей ПНИ находятся под опекой самого учреждения, и без задокументированной процедуры выражения воли вариативность превращается в «всё равно решает кухня».</w:t>
      </w:r>
    </w:p>
    <w:p>
      <w:pPr>
        <w:pStyle w:val="BodyText"/>
      </w:pPr>
      <w:r>
        <w:rPr>
          <w:b/>
          <w:bCs/>
        </w:rPr>
        <w:t xml:space="preserve">Главный практический вывод.</w:t>
      </w:r>
      <w:r>
        <w:t xml:space="preserve"> </w:t>
      </w:r>
      <w:r>
        <w:t xml:space="preserve">«Не внедряйте вслепую. Измеряйте». Семь дней замера отделяют убеждение от знания. Один обед, одно отделение, одна неделя замера — затем пилот на 90 дней с двумя безопасными вариантами и журналом фактического выбора.</w:t>
      </w:r>
      <w:r>
        <w:t xml:space="preserve"> </w:t>
      </w:r>
      <w:r>
        <w:rPr>
          <w:b/>
          <w:bCs/>
        </w:rPr>
        <w:t xml:space="preserve">«Право выбора становится реальным тогда, когда его можно проследить до тарелки».</w:t>
      </w:r>
    </w:p>
    <w:p>
      <w:r>
        <w:pict>
          <v:rect style="width:0;height:1.5pt" o:hralign="center" o:hrstd="t" o:hr="t"/>
        </w:pict>
      </w:r>
    </w:p>
    <w:bookmarkEnd w:id="42"/>
    <w:bookmarkStart w:id="43" w:name="благодарности"/>
    <w:p>
      <w:pPr>
        <w:pStyle w:val="Heading2"/>
      </w:pPr>
      <w:r>
        <w:t xml:space="preserve">Благодарности</w:t>
      </w:r>
    </w:p>
    <w:p>
      <w:pPr>
        <w:pStyle w:val="FirstParagraph"/>
      </w:pPr>
      <w:r>
        <w:t xml:space="preserve">Автор благодарит коллектив СПб ГАСУСОН «ДСО „Серафимовский"» за многолетнюю работу по внедрению заказного питания; коллег из Успенского ПНИ, Болотнинского ПНИ, Усть-Илимского ДСО, Иркутской области, ДДСОЛ, СПб ГБСУСОН «ДСО „Тесовый берег"» за открытый обмен практиками; Комитет по социальной политике Санкт-Петербурга за методическую поддержку; проект «Если быть точным» за аналитику на открытых данных.</w:t>
      </w:r>
    </w:p>
    <w:bookmarkEnd w:id="43"/>
    <w:bookmarkStart w:id="44" w:name="конфликт-интересов"/>
    <w:p>
      <w:pPr>
        <w:pStyle w:val="Heading2"/>
      </w:pPr>
      <w:r>
        <w:t xml:space="preserve">Конфликт интересов</w:t>
      </w:r>
    </w:p>
    <w:p>
      <w:pPr>
        <w:pStyle w:val="FirstParagraph"/>
      </w:pPr>
      <w:r>
        <w:t xml:space="preserve">Автор является директором СПб ГАСУСОН «ДСО „Серафимовский"» и участником внедрения вариативного питания в своём учреждении.</w:t>
      </w:r>
      <w:r>
        <w:t xml:space="preserve"> </w:t>
      </w:r>
      <w:r>
        <w:rPr>
          <w:b/>
          <w:bCs/>
        </w:rPr>
        <w:t xml:space="preserve">Локальный приказ № 124 от 10.03.2026 (правила внутреннего распорядка) — локальный акт, не общероссийская норма.</w:t>
      </w:r>
      <w:r>
        <w:t xml:space="preserve"> </w:t>
      </w:r>
      <w:r>
        <w:t xml:space="preserve">Все количественные данные получены из независимых первичных источников; верификация первоисточников проведена 22.08.2026.</w:t>
      </w:r>
    </w:p>
    <w:bookmarkEnd w:id="44"/>
    <w:bookmarkStart w:id="45" w:name="финансирование"/>
    <w:p>
      <w:pPr>
        <w:pStyle w:val="Heading2"/>
      </w:pPr>
      <w:r>
        <w:t xml:space="preserve">Финансирование</w:t>
      </w:r>
    </w:p>
    <w:p>
      <w:pPr>
        <w:pStyle w:val="FirstParagraph"/>
      </w:pPr>
      <w:r>
        <w:t xml:space="preserve">Работа выполнена без внешнего финансирования, в рамках служебной деятельности.</w:t>
      </w:r>
    </w:p>
    <w:p>
      <w:r>
        <w:pict>
          <v:rect style="width:0;height:1.5pt" o:hralign="center" o:hrstd="t" o:hr="t"/>
        </w:pict>
      </w:r>
    </w:p>
    <w:bookmarkEnd w:id="45"/>
    <w:bookmarkStart w:id="46" w:name="Xe287df25c84822c97445af55d85e1c2168e7d8c"/>
    <w:p>
      <w:pPr>
        <w:pStyle w:val="Heading2"/>
      </w:pPr>
      <w:r>
        <w:t xml:space="preserve">Список литературы (основные первоисточники, прошедшие верификацию 22.08.2026)</w:t>
      </w:r>
    </w:p>
    <w:p>
      <w:pPr>
        <w:numPr>
          <w:ilvl w:val="0"/>
          <w:numId w:val="1011"/>
        </w:numPr>
      </w:pPr>
      <w:r>
        <w:t xml:space="preserve">Correll C.U., Solmi M., Croatto G. et al. Mortality in people with schizophrenia: a systematic review and meta-analysis of relative risk and aggravating or attenuating factors.</w:t>
      </w:r>
      <w:r>
        <w:t xml:space="preserve"> </w:t>
      </w:r>
      <w:r>
        <w:rPr>
          <w:i/>
          <w:iCs/>
        </w:rPr>
        <w:t xml:space="preserve">World Psychiatry</w:t>
      </w:r>
      <w:r>
        <w:t xml:space="preserve"> </w:t>
      </w:r>
      <w:r>
        <w:t xml:space="preserve">2022;21(2):248-271. doi: 10.1002/wps.20994. PMID: 35549201. (RR 7,00 пневмонии; 15–20 лет разрыва продолжительности жизни; 135 когорт 1957–2021; n=4 536 447.)</w:t>
      </w:r>
    </w:p>
    <w:p>
      <w:pPr>
        <w:numPr>
          <w:ilvl w:val="0"/>
          <w:numId w:val="1011"/>
        </w:numPr>
      </w:pPr>
      <w:r>
        <w:t xml:space="preserve">Campforts B., Drukker M., Crins J., van Amelsvoort T., Bak M. Association between antipsychotic medication and clinically relevant weight change: meta-analysis.</w:t>
      </w:r>
      <w:r>
        <w:t xml:space="preserve"> </w:t>
      </w:r>
      <w:r>
        <w:rPr>
          <w:i/>
          <w:iCs/>
        </w:rPr>
        <w:t xml:space="preserve">BJPsych Open</w:t>
      </w:r>
      <w:r>
        <w:t xml:space="preserve"> </w:t>
      </w:r>
      <w:r>
        <w:t xml:space="preserve">2023;9(1):e18. doi: 10.1192/bjo.2022.619. PMID: 36651070. (76,3 % CRWG на клозапине &gt;38 нед; 202 исследования.)</w:t>
      </w:r>
    </w:p>
    <w:p>
      <w:pPr>
        <w:numPr>
          <w:ilvl w:val="0"/>
          <w:numId w:val="1011"/>
        </w:numPr>
      </w:pPr>
      <w:r>
        <w:t xml:space="preserve">Pillinger T., McCutcheon R.A., Vano L. et al. Comparative effects of 18 antipsychotics on metabolic function in patients with schizophrenia, predictors of metabolic dysregulation, and association with psychopathology: a systematic review and network meta-analysis.</w:t>
      </w:r>
      <w:r>
        <w:t xml:space="preserve"> </w:t>
      </w:r>
      <w:r>
        <w:rPr>
          <w:i/>
          <w:iCs/>
        </w:rPr>
        <w:t xml:space="preserve">Lancet Psychiatry</w:t>
      </w:r>
      <w:r>
        <w:t xml:space="preserve"> </w:t>
      </w:r>
      <w:r>
        <w:t xml:space="preserve">2020;7(1):64-77. doi: 10.1016/S2215-0366(19)30416-X. PMID: 31860457. (−0,23…+3,01 кг за 6 нед; 100 РКИ; 25 952 пациента.)</w:t>
      </w:r>
    </w:p>
    <w:p>
      <w:pPr>
        <w:numPr>
          <w:ilvl w:val="0"/>
          <w:numId w:val="1011"/>
        </w:numPr>
      </w:pPr>
      <w:r>
        <w:t xml:space="preserve">Miarons Font M., Rofes Salsench L. Antipsychotic medication and oropharyngeal dysphagia: systematic review.</w:t>
      </w:r>
      <w:r>
        <w:t xml:space="preserve"> </w:t>
      </w:r>
      <w:r>
        <w:rPr>
          <w:i/>
          <w:iCs/>
        </w:rPr>
        <w:t xml:space="preserve">Eur J Gastroenterol Hepatol</w:t>
      </w:r>
      <w:r>
        <w:t xml:space="preserve"> </w:t>
      </w:r>
      <w:r>
        <w:t xml:space="preserve">2017;29(12):1332-1339. doi: 10.1097/MEG.0000000000000983. PMID: 29023321. (21,9–69,5 % дисфагии; 18 исследований.)</w:t>
      </w:r>
    </w:p>
    <w:p>
      <w:pPr>
        <w:numPr>
          <w:ilvl w:val="0"/>
          <w:numId w:val="1011"/>
        </w:numPr>
      </w:pPr>
      <w:r>
        <w:t xml:space="preserve">Wu X.S., Miles A., Braakhuis A. The Effectiveness of International Dysphagia Diet Standardization Initiative-Tailored Interventions on Staff Knowledge and Texture-Modified Diet Compliance in Aged Care Facilities: A Pre-Post Study.</w:t>
      </w:r>
      <w:r>
        <w:t xml:space="preserve"> </w:t>
      </w:r>
      <w:r>
        <w:rPr>
          <w:i/>
          <w:iCs/>
        </w:rPr>
        <w:t xml:space="preserve">Dysphagia</w:t>
      </w:r>
      <w:r>
        <w:t xml:space="preserve"> </w:t>
      </w:r>
      <w:r>
        <w:t xml:space="preserve">2022;37(5):1314-1325. doi: 10.1007/s00455-021-10393-2. (5 учреждений aged care; 44→90 % соответствие текстур.)</w:t>
      </w:r>
    </w:p>
    <w:p>
      <w:pPr>
        <w:numPr>
          <w:ilvl w:val="0"/>
          <w:numId w:val="1011"/>
        </w:numPr>
      </w:pPr>
      <w:r>
        <w:t xml:space="preserve">Cichero J.A.Y., Lam P., Steele C.M. et al. Development of International Terminology and Definitions for Texture-Modified Foods and Thickened Fluids Used in Dysphagia Management: The IDDSI Framework.</w:t>
      </w:r>
      <w:r>
        <w:t xml:space="preserve"> </w:t>
      </w:r>
      <w:r>
        <w:rPr>
          <w:i/>
          <w:iCs/>
        </w:rPr>
        <w:t xml:space="preserve">Dysphagia</w:t>
      </w:r>
      <w:r>
        <w:t xml:space="preserve"> </w:t>
      </w:r>
      <w:r>
        <w:t xml:space="preserve">2017;32(2):293-314. doi: 10.1007/s00455-016-9758-y. PMID: 27913916. (8 уровней 0–7.)</w:t>
      </w:r>
    </w:p>
    <w:p>
      <w:pPr>
        <w:numPr>
          <w:ilvl w:val="0"/>
          <w:numId w:val="1011"/>
        </w:numPr>
      </w:pPr>
      <w:r>
        <w:t xml:space="preserve">Trapl M., Enderle P., Nowotny M. et al. Dysphagia bedside screening for acute-stroke patients: the Gugging Swallowing Screen.</w:t>
      </w:r>
      <w:r>
        <w:t xml:space="preserve"> </w:t>
      </w:r>
      <w:r>
        <w:rPr>
          <w:i/>
          <w:iCs/>
        </w:rPr>
        <w:t xml:space="preserve">Stroke</w:t>
      </w:r>
      <w:r>
        <w:t xml:space="preserve"> </w:t>
      </w:r>
      <w:r>
        <w:t xml:space="preserve">2007;38(11):2948-2952. doi: 10.1161/STROKEAHA.107.483933. PMID: 17885261. (GUSS, чувствительность 100 %, специфичность 50–69 %; для инсульта.)</w:t>
      </w:r>
    </w:p>
    <w:p>
      <w:pPr>
        <w:numPr>
          <w:ilvl w:val="0"/>
          <w:numId w:val="1011"/>
        </w:numPr>
      </w:pPr>
      <w:r>
        <w:t xml:space="preserve">Hägg S., Spigset O., Mjörndal T., Dahlqvist R. Effect of caffeine on clozapine pharmacokinetics in healthy volunteers.</w:t>
      </w:r>
      <w:r>
        <w:t xml:space="preserve"> </w:t>
      </w:r>
      <w:r>
        <w:rPr>
          <w:i/>
          <w:iCs/>
        </w:rPr>
        <w:t xml:space="preserve">Br J Clin Pharmacol</w:t>
      </w:r>
      <w:r>
        <w:t xml:space="preserve"> </w:t>
      </w:r>
      <w:r>
        <w:t xml:space="preserve">2000;49(1):59-63. doi: 10.1046/j.1365-2125.2000.00111.x. (19 % ↑ AUC клозапина; 12 здоровых добровольцев; однократная доза.)</w:t>
      </w:r>
    </w:p>
    <w:p>
      <w:pPr>
        <w:numPr>
          <w:ilvl w:val="0"/>
          <w:numId w:val="1011"/>
        </w:numPr>
      </w:pPr>
      <w:r>
        <w:t xml:space="preserve">Garg S.K., Kumar N., Bhargava V.K., Prabhakar S.K. Effect of grapefruit juice on carbamazepine bioavailability in patients with epilepsy.</w:t>
      </w:r>
      <w:r>
        <w:t xml:space="preserve"> </w:t>
      </w:r>
      <w:r>
        <w:rPr>
          <w:i/>
          <w:iCs/>
        </w:rPr>
        <w:t xml:space="preserve">Clin Pharmacol Ther</w:t>
      </w:r>
      <w:r>
        <w:t xml:space="preserve"> </w:t>
      </w:r>
      <w:r>
        <w:t xml:space="preserve">1998;64(3):286-288. doi: 10.1016/S0009-9236(98)90177-1. PMID: 9757152. (10 пациентов; +40 % пик CBZ, +41 % AUC.)</w:t>
      </w:r>
    </w:p>
    <w:p>
      <w:pPr>
        <w:numPr>
          <w:ilvl w:val="0"/>
          <w:numId w:val="1011"/>
        </w:numPr>
      </w:pPr>
      <w:r>
        <w:t xml:space="preserve">Every-Palmer S., Inns S.J., Ellis P.M. Clozapine-treated patients have marked gastrointestinal hypomotility, the probable basis of life-threatening gastrointestinal complications: a cross sectional study.</w:t>
      </w:r>
      <w:r>
        <w:t xml:space="preserve"> </w:t>
      </w:r>
      <w:r>
        <w:rPr>
          <w:i/>
          <w:iCs/>
        </w:rPr>
        <w:t xml:space="preserve">EBioMedicine</w:t>
      </w:r>
      <w:r>
        <w:t xml:space="preserve"> </w:t>
      </w:r>
      <w:r>
        <w:t xml:space="preserve">2016;5:125-134. (80 % колонической гипомотильности; CIGH-летальность 15–27,5 %.)</w:t>
      </w:r>
    </w:p>
    <w:p>
      <w:pPr>
        <w:numPr>
          <w:ilvl w:val="0"/>
          <w:numId w:val="1011"/>
        </w:numPr>
      </w:pPr>
      <w:r>
        <w:t xml:space="preserve">Steele S.J., Ennis S.L., Dobler C.C. Treatment burden associated with the intake of thickened fluids.</w:t>
      </w:r>
      <w:r>
        <w:t xml:space="preserve"> </w:t>
      </w:r>
      <w:r>
        <w:rPr>
          <w:i/>
          <w:iCs/>
        </w:rPr>
        <w:t xml:space="preserve">Breathe (Sheff)</w:t>
      </w:r>
      <w:r>
        <w:t xml:space="preserve"> </w:t>
      </w:r>
      <w:r>
        <w:t xml:space="preserve">2021;17(1):210003. doi: 10.1183/20734735.0003-2021. PMID: 34295407. (Нет доказательств пользы загущения.)</w:t>
      </w:r>
    </w:p>
    <w:p>
      <w:pPr>
        <w:numPr>
          <w:ilvl w:val="0"/>
          <w:numId w:val="1011"/>
        </w:numPr>
      </w:pPr>
      <w:r>
        <w:t xml:space="preserve">Yoneyama T., Yoshida M., Ohrui T. et al. Oral Care and Pneumonia in Institutionalized Elderly.</w:t>
      </w:r>
      <w:r>
        <w:t xml:space="preserve"> </w:t>
      </w:r>
      <w:r>
        <w:rPr>
          <w:i/>
          <w:iCs/>
        </w:rPr>
        <w:t xml:space="preserve">J Am Geriatr Soc</w:t>
      </w:r>
      <w:r>
        <w:t xml:space="preserve"> </w:t>
      </w:r>
      <w:r>
        <w:t xml:space="preserve">2002;50(3):430-433. PMID: 11874491. (РКИ 366 жителей; 19→11 % пневмоний.)</w:t>
      </w:r>
    </w:p>
    <w:p>
      <w:pPr>
        <w:numPr>
          <w:ilvl w:val="0"/>
          <w:numId w:val="1011"/>
        </w:numPr>
      </w:pPr>
      <w:r>
        <w:t xml:space="preserve">Sjogren P., Nilsson E., Forsell M., Johansson O., Hoogstraate J. A systematic review of the preventive effect of oral hygiene on pneumonia and respiratory tract infection in elderly people in hospitals and nursing homes: effect estimates and methodological quality of randomized controlled trials.</w:t>
      </w:r>
      <w:r>
        <w:t xml:space="preserve"> </w:t>
      </w:r>
      <w:r>
        <w:rPr>
          <w:i/>
          <w:iCs/>
        </w:rPr>
        <w:t xml:space="preserve">J Am Geriatr Soc</w:t>
      </w:r>
      <w:r>
        <w:t xml:space="preserve"> </w:t>
      </w:r>
      <w:r>
        <w:t xml:space="preserve">2008;56(11):2124-2130. (Мета-анализ 4 РКИ; «1/10 смертей».)</w:t>
      </w:r>
    </w:p>
    <w:p>
      <w:pPr>
        <w:numPr>
          <w:ilvl w:val="0"/>
          <w:numId w:val="1011"/>
        </w:numPr>
      </w:pPr>
      <w:r>
        <w:t xml:space="preserve">ФЗ от 28.12.2013 № 442-ФЗ «Об основах социального обслуживания граждан в РФ» (ред. от 26.12.2024). Consultant.ru.</w:t>
      </w:r>
    </w:p>
    <w:p>
      <w:pPr>
        <w:numPr>
          <w:ilvl w:val="0"/>
          <w:numId w:val="1011"/>
        </w:numPr>
      </w:pPr>
      <w:r>
        <w:t xml:space="preserve">Закон РФ от 02.07.1992 № 3185-1 «О психиатрической помощи и гарантиях прав граждан при её оказании» (ред. от 22.07.2024). Consultant.ru.</w:t>
      </w:r>
    </w:p>
    <w:p>
      <w:pPr>
        <w:numPr>
          <w:ilvl w:val="0"/>
          <w:numId w:val="1011"/>
        </w:numPr>
      </w:pPr>
      <w:r>
        <w:t xml:space="preserve">СанПиН 2.3/2.4.3590-20 (пост. Гл. гос. санврача РФ от 27.10.2020 № 32). Действует до 31.08.2026.</w:t>
      </w:r>
    </w:p>
    <w:p>
      <w:pPr>
        <w:numPr>
          <w:ilvl w:val="0"/>
          <w:numId w:val="1011"/>
        </w:numPr>
      </w:pPr>
      <w:r>
        <w:t xml:space="preserve">СанПиН 2.3/2.4.4282-26 (пост. Гл. гос. санврача РФ от 02.06.2026 № 18, рег. Минюст 02.06.2026 № 86854). Вступает в силу с 01.09.2026.</w:t>
      </w:r>
    </w:p>
    <w:p>
      <w:pPr>
        <w:numPr>
          <w:ilvl w:val="0"/>
          <w:numId w:val="1011"/>
        </w:numPr>
      </w:pPr>
      <w:r>
        <w:t xml:space="preserve">Конвенция о правах инвалидов (КПИ), ст. 12. Замечание общего порядка № 1 (2014).</w:t>
      </w:r>
    </w:p>
    <w:p>
      <w:pPr>
        <w:numPr>
          <w:ilvl w:val="0"/>
          <w:numId w:val="1011"/>
        </w:numPr>
      </w:pPr>
      <w:r>
        <w:t xml:space="preserve">Проект «Если быть точным». Как устроены ПНИ в России (09.04.2026). tochno.st/materials/kak-ustroeny-pni-v-rossii-issledovanie-esli-byt-tocnym. (466 ПНИ; 139 000 жителей; 74 % недееспособных; 99 % под опекой учреждения; 65 % старше 45 лет.)</w:t>
      </w:r>
    </w:p>
    <w:p>
      <w:pPr>
        <w:numPr>
          <w:ilvl w:val="0"/>
          <w:numId w:val="1011"/>
        </w:numPr>
      </w:pPr>
      <w:r>
        <w:t xml:space="preserve">Сайт СПб ГАСУСОН «ДСО „Серафимовский"» (архив): web.archive.org/web/20260415001233. Локальный приказ № 124 от 10.03.2026. (Сайт прекратил работу 21.08.2026; домен истёк; проверено 21.08.2026.)</w:t>
      </w:r>
    </w:p>
    <w:p>
      <w:pPr>
        <w:numPr>
          <w:ilvl w:val="0"/>
          <w:numId w:val="1011"/>
        </w:numPr>
      </w:pPr>
      <w:r>
        <w:t xml:space="preserve">Сайты публичных практик: upni.nso.ru (Успенский ПНИ), bpni.nso.ru (Болотнинский ПНИ), ui-ogbuso.ru (Усть-Илимский ДСО), ddsol.ru (ДДСОЛ), gov.spb.ru (Комитет по соцполитике СПб). Проверено 22.08.2026.</w:t>
      </w:r>
    </w:p>
    <w:p>
      <w:pPr>
        <w:numPr>
          <w:ilvl w:val="0"/>
          <w:numId w:val="1011"/>
        </w:numPr>
      </w:pPr>
      <w:r>
        <w:t xml:space="preserve">Cochrane Database of Systematic Reviews 2022 (CD012416.pub3). Oral care measures for preventing nursing home-acquired pneumonia. (Низкая определённость доказательств.)</w:t>
      </w:r>
    </w:p>
    <w:p>
      <w:pPr>
        <w:numPr>
          <w:ilvl w:val="0"/>
          <w:numId w:val="1011"/>
        </w:numPr>
      </w:pPr>
      <w:r>
        <w:t xml:space="preserve">Клинические рекомендации IDDSI, ESPEN, BAPEN, MRC, MUST, NPO, IDDSI flow test — открытые источники.</w:t>
      </w:r>
    </w:p>
    <w:p>
      <w:pPr>
        <w:numPr>
          <w:ilvl w:val="0"/>
          <w:numId w:val="1011"/>
        </w:numPr>
      </w:pPr>
      <w:r>
        <w:t xml:space="preserve">Российское законодательство о социальном обслуживании: 442-ФЗ, 3185-1, 323-ФЗ, 48-ФЗ, ГК РФ ст. 29, 41, 152-ФЗ, КоАП ст. 6.6.</w:t>
      </w:r>
    </w:p>
    <w:p>
      <w:pPr>
        <w:numPr>
          <w:ilvl w:val="0"/>
          <w:numId w:val="1011"/>
        </w:numPr>
      </w:pPr>
      <w:r>
        <w:t xml:space="preserve">Требования к закупкам: 44-ФЗ, 223-ФЗ, 135-ФЗ ст. 17.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Корреспонденция:</w:t>
      </w:r>
      <w:r>
        <w:t xml:space="preserve"> </w:t>
      </w:r>
      <w:r>
        <w:t xml:space="preserve">Е. В. Чистяков, директор СПб ГАСУСОН «ДСО „Серафимовский"», 198320, Санкт-Петербург, г. Красное Село, ул. Красногородская, д. 1.</w:t>
      </w:r>
    </w:p>
    <w:p>
      <w:pPr>
        <w:pStyle w:val="BodyText"/>
      </w:pPr>
      <w:r>
        <w:rPr>
          <w:b/>
          <w:bCs/>
        </w:rPr>
        <w:t xml:space="preserve">Дисклеймер.</w:t>
      </w:r>
      <w:r>
        <w:t xml:space="preserve"> </w:t>
      </w:r>
      <w:r>
        <w:t xml:space="preserve">Материал носит информационный и методический характер. Не заменяет индивидуального юридического заключения, клинической рекомендации или финансового расчёта. Шаблоны — проекты локальных форм. Все цифры и нормативные ссылки проверены на 22.08.2026; после этой даты конкретный акт мог измениться. После 01.09.2026 действует СанПиН 2.3/2.4.4282-26.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Статья для публикации (8 000-12 000 слов)</dc:title>
  <dc:creator>Чистяков Е. В.</dc:creator>
  <dc:language>ru</dc:language>
  <cp:keywords/>
  <dcterms:created xsi:type="dcterms:W3CDTF">2026-08-22T08:08:38Z</dcterms:created>
  <dcterms:modified xsi:type="dcterms:W3CDTF">2026-08-22T08:08:38Z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