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Оставшиеся риски</w:t>
      </w:r>
    </w:p>
    <w:p>
      <w:pPr>
        <w:pStyle w:val="Author"/>
      </w:pPr>
      <w:r>
        <w:t xml:space="preserve">Редакционная группа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оставшиеся-риски-этап-15"/>
    <w:p>
      <w:pPr>
        <w:pStyle w:val="Heading1"/>
      </w:pPr>
      <w:r>
        <w:t xml:space="preserve">Оставшиеся риски (Этап 15)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перечень рисков, требующих отслеживания после 22.08.2026.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</w:p>
    <w:p>
      <w:r>
        <w:pict>
          <v:rect style="width:0;height:1.5pt" o:hralign="center" o:hrstd="t" o:hr="t"/>
        </w:pict>
      </w:r>
    </w:p>
    <w:bookmarkStart w:id="10" w:name="X65ecb8af8c15a871792e19eef0270e6f9578cc1"/>
    <w:p>
      <w:pPr>
        <w:pStyle w:val="Heading2"/>
      </w:pPr>
      <w:r>
        <w:t xml:space="preserve">Критические (требуют немедленного отслеживания)</w:t>
      </w:r>
    </w:p>
    <w:bookmarkStart w:id="9" w:name="r-01-смена-санпин-4282-26-с-01092026"/>
    <w:p>
      <w:pPr>
        <w:pStyle w:val="Heading3"/>
      </w:pPr>
      <w:r>
        <w:t xml:space="preserve">R-01. Смена СанПиН 4282-26 с 01.09.2026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Через 10 дней после семинара 26.08.2026 вступает в силу новый СанПиН. Старая редакция 3590-20 утрачивает силу. В новой редакции v2 формулировки должны быть помечены «с 01.09.2026».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Среднее — основные формулировки (не менее 3 приёмов, диетическое по показаниям) сохранены в обеих редакциях, но технические детали (журналы, температуры, требования к бракеражу) могут отличаться.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 01.09.2026 — полная сверка п. 56 подп. 11–14, п. 62, раздел VI СанПиН 4282-26. Обновить панель 5 чисел в 4.4, обновить памятку.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Юрист + автор.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01.09.2026 (через 10 дней).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Xdb13c90632dfd1d69b371c4e81f5637fb6aaae2"/>
    <w:p>
      <w:pPr>
        <w:pStyle w:val="Heading2"/>
      </w:pPr>
      <w:r>
        <w:t xml:space="preserve">Высокие (требуют отслеживания в течение месяца)</w:t>
      </w:r>
    </w:p>
    <w:bookmarkStart w:id="11" w:name="X67a0635a0e96133840802f6ba85e2a09ae803f1"/>
    <w:p>
      <w:pPr>
        <w:pStyle w:val="Heading3"/>
      </w:pPr>
      <w:r>
        <w:t xml:space="preserve">R-02. Сайт pni9.ru прекратил работу 21.08.2026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Сайт СПб ГАСУСОН «ДСО „Серафимовский"» прекратил работу 21.08.2026 (NIC.ru парковка, домен истёк). Текст правил внутреннего распорядка — только в архиве web.archive.org от 15.04.2026.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 для доклада (архив доступен). Высокое для будущих правок и обновлений (если сайт не восстановят — придётся искать другой источник).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Восстановить сайт или создать официальное зеркало; иначе в новой редакции v2 — привязка к архивной копии явно.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Администрация учреждения.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по возможности, до 01.10.2026.</w:t>
      </w:r>
    </w:p>
    <w:bookmarkEnd w:id="11"/>
    <w:bookmarkStart w:id="12" w:name="X51afb74cab921baf8d7c07d3654d958be09a400"/>
    <w:p>
      <w:pPr>
        <w:pStyle w:val="Heading3"/>
      </w:pPr>
      <w:r>
        <w:t xml:space="preserve">R-03. 99 % недееспособных под опекой самого учреждения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Уникальная находка проекта «Если быть точным» (117 000 чел., tochno.st). В новой редакции v2 — добавлена в раздел 17.12 (вопрос 5) и в раздел 33 (ответственность). Это</w:t>
      </w:r>
      <w:r>
        <w:t xml:space="preserve"> </w:t>
      </w:r>
      <w:r>
        <w:rPr>
          <w:b/>
          <w:bCs/>
        </w:rPr>
        <w:t xml:space="preserve">самая чувствительная</w:t>
      </w:r>
      <w:r>
        <w:t xml:space="preserve"> </w:t>
      </w:r>
      <w:r>
        <w:t xml:space="preserve">правка с точки зрения интерпретации.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Высокое — если интерпретируется как «у нас конфликт интересов, мы плохо работаем», а не как «это системная проблема российского ПНИ».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 устной версии — формулировка «это общероссийская норма, не уникальный риск Серафимовского». В тексте — добавлено в журнал изменений.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Редакционная группа + автор.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26.08.2026 (для устной версии); до 30.09.2026 (для полной версии v2).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5aea22886ed33bc15c3b4b04431bf855f0b0bf6"/>
    <w:p>
      <w:pPr>
        <w:pStyle w:val="Heading2"/>
      </w:pPr>
      <w:r>
        <w:t xml:space="preserve">Средние (требуют отслеживания в течение квартала)</w:t>
      </w:r>
    </w:p>
    <w:bookmarkStart w:id="14" w:name="Xf79bc1b530e6a4b3cad3394de749ecb688e6299"/>
    <w:p>
      <w:pPr>
        <w:pStyle w:val="Heading3"/>
      </w:pPr>
      <w:r>
        <w:t xml:space="preserve">R-04. Nijs 2006 family-style dining — не проверено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В исходном реестре источников значится как M-nijs (BMJ 2006). Не проверено в фактчекинге 22.08.2026.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 — семейный стиль подачи используется в исходнике как иллюстрация «социальности» (раздел 7.1), не как доказательство эффекта.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Проверить в рамках этапа 11. Подтвердить популяцию, дизайн, страну, ограничения переноса.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Фактчекер.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30.09.2026.</w:t>
      </w:r>
    </w:p>
    <w:bookmarkEnd w:id="14"/>
    <w:bookmarkStart w:id="15" w:name="Xde14559b782b8dc15e162966d0cd2f1870fe52e"/>
    <w:p>
      <w:pPr>
        <w:pStyle w:val="Heading3"/>
      </w:pPr>
      <w:r>
        <w:t xml:space="preserve">R-05. Pillinger 2020 — полная сверка 17 метаболических параметров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Проверено частично: вес (F05). Полная сверка по 17 параметрам (BMI, общий холестерин, LDL, HDL, триглицериды, глюкоза и др.) — за рамками этой итерации.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 — в исходнике используется только вес.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 рамках этапа 11.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Фактчекер.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30.09.2026.</w:t>
      </w:r>
    </w:p>
    <w:bookmarkEnd w:id="15"/>
    <w:bookmarkStart w:id="16" w:name="Xadff842ac2d1cae6947b2577230d0f60c25ee81"/>
    <w:p>
      <w:pPr>
        <w:pStyle w:val="Heading3"/>
      </w:pPr>
      <w:r>
        <w:t xml:space="preserve">R-06. Шведский Livsmedelsverket — точный номер документа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Подтверждено, что шведский ориентир ≤11 ч. Точный номер документа (рекомендация vs норматив) — не зафиксирован.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 — цифра верна.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Указать конкретный документ (например, «Livsmedelsverket, рекомендации по питанию в домах ухода для пожилых, 2019»).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Фактчекер.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30.09.2026.</w:t>
      </w:r>
    </w:p>
    <w:bookmarkEnd w:id="16"/>
    <w:bookmarkStart w:id="17" w:name="r-07-cms-f-tag-803--точная-ссылка"/>
    <w:p>
      <w:pPr>
        <w:pStyle w:val="Heading3"/>
      </w:pPr>
      <w:r>
        <w:t xml:space="preserve">R-07. CMS F-Tag 803 — точная ссылка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Подтверждено, что американская верхняя граница 14 ч. Точная ссылка на 42 CFR §483.60 (CMS F-Tag 803) — не зафиксирована.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 — цифра верна.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Указать «42 CFR §483.60, CMS F-Tag 803, Quality of Care» в библиографии v2.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Фактчекер.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30.09.2026.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5cb05f05a9b2b535078bbd652375169c82e5b0f"/>
    <w:p>
      <w:pPr>
        <w:pStyle w:val="Heading2"/>
      </w:pPr>
      <w:r>
        <w:t xml:space="preserve">Низкие (требуют отслеживания в течение года)</w:t>
      </w:r>
    </w:p>
    <w:bookmarkStart w:id="19" w:name="Xed9006c2b12352fbce103d2c559da597c989c6a"/>
    <w:p>
      <w:pPr>
        <w:pStyle w:val="Heading3"/>
      </w:pPr>
      <w:r>
        <w:t xml:space="preserve">R-08. 22 кейса — фокус-группа по узнаваемости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Все кейсы помечены как учебные, имена заменены буквами, узнаваемость формально исключена. Полная проверка на узнаваемость требует фокус-группы (эксперты + потенциальные читатели).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 рамках следующей итерации (если будет организована фокус-группа на семинаре 26.08 — собрать обратную связь).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Этик + методист.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конца 2026.</w:t>
      </w:r>
    </w:p>
    <w:bookmarkEnd w:id="19"/>
    <w:bookmarkStart w:id="20" w:name="X3ca0b17e09c6745e87d3eb2284ee566cdb1f029"/>
    <w:p>
      <w:pPr>
        <w:pStyle w:val="Heading3"/>
      </w:pPr>
      <w:r>
        <w:t xml:space="preserve">R-09. «Невербальный выбор» — обратная связь от аудитории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Термин авторский. В новой редакции v2 — сноска с альтернативными терминами.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Собрать обратную связь на семинаре 26.08. Если аудитория настаивает на замене — внести в v2.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Модератор.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26.08.2026.</w:t>
      </w:r>
    </w:p>
    <w:bookmarkEnd w:id="20"/>
    <w:bookmarkStart w:id="21" w:name="r-10-санпин-3590-20--п-7111-vs-п-812"/>
    <w:p>
      <w:pPr>
        <w:pStyle w:val="Heading3"/>
      </w:pPr>
      <w:r>
        <w:t xml:space="preserve">R-10. СанПиН 3590-20 — п. 7.1.11 vs п. 8.1.2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В исходнике приводятся ссылки на п. 7.1.11. Нужно сверить с актуальной редакцией, не изменилась ли нумерация пунктов.</w:t>
      </w:r>
    </w:p>
    <w:p>
      <w:pPr>
        <w:pStyle w:val="BodyText"/>
      </w:pPr>
      <w:r>
        <w:rPr>
          <w:b/>
          <w:bCs/>
        </w:rPr>
        <w:t xml:space="preserve">Влияние:</w:t>
      </w:r>
      <w:r>
        <w:t xml:space="preserve"> </w:t>
      </w:r>
      <w:r>
        <w:t xml:space="preserve">Низкое.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Сверка в рамках этапа 11.</w:t>
      </w:r>
    </w:p>
    <w:p>
      <w:pPr>
        <w:pStyle w:val="BodyText"/>
      </w:pPr>
      <w:r>
        <w:rPr>
          <w:b/>
          <w:bCs/>
        </w:rPr>
        <w:t xml:space="preserve">Ответственный:</w:t>
      </w:r>
      <w:r>
        <w:t xml:space="preserve"> </w:t>
      </w:r>
      <w:r>
        <w:t xml:space="preserve">Юрист.</w:t>
      </w:r>
    </w:p>
    <w:p>
      <w:pPr>
        <w:pStyle w:val="BodyText"/>
      </w:pPr>
      <w:r>
        <w:rPr>
          <w:b/>
          <w:bCs/>
        </w:rPr>
        <w:t xml:space="preserve">Срок:</w:t>
      </w:r>
      <w:r>
        <w:t xml:space="preserve"> </w:t>
      </w:r>
      <w:r>
        <w:t xml:space="preserve">до 30.09.2026.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закрытые-риски-в-рамках-этой-итерации"/>
    <w:p>
      <w:pPr>
        <w:pStyle w:val="Heading2"/>
      </w:pPr>
      <w:r>
        <w:t xml:space="preserve">Закрытые риски (в рамках этой итерации)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R-01а</w:t>
            </w:r>
          </w:p>
        </w:tc>
        <w:tc>
          <w:tcPr/>
          <w:p>
            <w:pPr>
              <w:pStyle w:val="Compact"/>
            </w:pPr>
            <w:r>
              <w:t xml:space="preserve">«76,3 % клозапин» приписан к Pillinger</w:t>
            </w:r>
          </w:p>
        </w:tc>
        <w:tc>
          <w:tcPr/>
          <w:p>
            <w:pPr>
              <w:pStyle w:val="Compact"/>
            </w:pPr>
            <w:r>
              <w:t xml:space="preserve">✅ F-04, 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R-01б</w:t>
            </w:r>
          </w:p>
        </w:tc>
        <w:tc>
          <w:tcPr/>
          <w:p>
            <w:pPr>
              <w:pStyle w:val="Compact"/>
            </w:pPr>
            <w:r>
              <w:t xml:space="preserve">«74 %» дубль S004/M-ebt</w:t>
            </w:r>
          </w:p>
        </w:tc>
        <w:tc>
          <w:tcPr/>
          <w:p>
            <w:pPr>
              <w:pStyle w:val="Compact"/>
            </w:pPr>
            <w:r>
              <w:t xml:space="preserve">✅ F-17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R-01в</w:t>
            </w:r>
          </w:p>
        </w:tc>
        <w:tc>
          <w:tcPr/>
          <w:p>
            <w:pPr>
              <w:pStyle w:val="Compact"/>
            </w:pPr>
            <w:r>
              <w:t xml:space="preserve">«15 часов» без оговорки</w:t>
            </w:r>
          </w:p>
        </w:tc>
        <w:tc>
          <w:tcPr/>
          <w:p>
            <w:pPr>
              <w:pStyle w:val="Compact"/>
            </w:pPr>
            <w:r>
              <w:t xml:space="preserve">✅ 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R-01г</w:t>
            </w:r>
          </w:p>
        </w:tc>
        <w:tc>
          <w:tcPr/>
          <w:p>
            <w:pPr>
              <w:pStyle w:val="Compact"/>
            </w:pPr>
            <w:r>
              <w:t xml:space="preserve">Приказ № 124 без слова «локальный»</w:t>
            </w:r>
          </w:p>
        </w:tc>
        <w:tc>
          <w:tcPr/>
          <w:p>
            <w:pPr>
              <w:pStyle w:val="Compact"/>
            </w:pPr>
            <w:r>
              <w:t xml:space="preserve">✅ F-18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R-01д</w:t>
            </w:r>
          </w:p>
        </w:tc>
        <w:tc>
          <w:tcPr/>
          <w:p>
            <w:pPr>
              <w:pStyle w:val="Compact"/>
            </w:pPr>
            <w:r>
              <w:t xml:space="preserve">«IDDSI 44→90 %» без оговорки переноса</w:t>
            </w:r>
          </w:p>
        </w:tc>
        <w:tc>
          <w:tcPr/>
          <w:p>
            <w:pPr>
              <w:pStyle w:val="Compact"/>
            </w:pPr>
            <w:r>
              <w:t xml:space="preserve">✅ F-09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R-01е</w:t>
            </w:r>
          </w:p>
        </w:tc>
        <w:tc>
          <w:tcPr/>
          <w:p>
            <w:pPr>
              <w:pStyle w:val="Compact"/>
            </w:pPr>
            <w:r>
              <w:t xml:space="preserve">«1/10 смертей» атрибутировано Müller 2015</w:t>
            </w:r>
          </w:p>
        </w:tc>
        <w:tc>
          <w:tcPr/>
          <w:p>
            <w:pPr>
              <w:pStyle w:val="Compact"/>
            </w:pPr>
            <w:r>
              <w:t xml:space="preserve">✅ F-12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R-01ж</w:t>
            </w:r>
          </w:p>
        </w:tc>
        <w:tc>
          <w:tcPr/>
          <w:p>
            <w:pPr>
              <w:pStyle w:val="Compact"/>
            </w:pPr>
            <w:r>
              <w:t xml:space="preserve">«СанПиН 4282-26» без даты</w:t>
            </w:r>
          </w:p>
        </w:tc>
        <w:tc>
          <w:tcPr/>
          <w:p>
            <w:pPr>
              <w:pStyle w:val="Compact"/>
            </w:pPr>
            <w:r>
              <w:t xml:space="preserve">✅ F-19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R-01з</w:t>
            </w:r>
          </w:p>
        </w:tc>
        <w:tc>
          <w:tcPr/>
          <w:p>
            <w:pPr>
              <w:pStyle w:val="Compact"/>
            </w:pPr>
            <w:r>
              <w:t xml:space="preserve">«Клозапин + кофеин +19 %» без дизайна</w:t>
            </w:r>
          </w:p>
        </w:tc>
        <w:tc>
          <w:tcPr/>
          <w:p>
            <w:pPr>
              <w:pStyle w:val="Compact"/>
            </w:pPr>
            <w:r>
              <w:t xml:space="preserve">✅ F-08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R-01и</w:t>
            </w:r>
          </w:p>
        </w:tc>
        <w:tc>
          <w:tcPr/>
          <w:p>
            <w:pPr>
              <w:pStyle w:val="Compact"/>
            </w:pPr>
            <w:r>
              <w:t xml:space="preserve">GUSS без указания «для инсульта»</w:t>
            </w:r>
          </w:p>
        </w:tc>
        <w:tc>
          <w:tcPr/>
          <w:p>
            <w:pPr>
              <w:pStyle w:val="Compact"/>
            </w:pPr>
            <w:r>
              <w:t xml:space="preserve">✅ F-16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R-01к</w:t>
            </w:r>
          </w:p>
        </w:tc>
        <w:tc>
          <w:tcPr/>
          <w:p>
            <w:pPr>
              <w:pStyle w:val="Compact"/>
            </w:pPr>
            <w:r>
              <w:t xml:space="preserve">Год Miarons Font ошибочно 2023</w:t>
            </w:r>
          </w:p>
        </w:tc>
        <w:tc>
          <w:tcPr/>
          <w:p>
            <w:pPr>
              <w:pStyle w:val="Compact"/>
            </w:pPr>
            <w:r>
              <w:t xml:space="preserve">✅ F-02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R-01л</w:t>
            </w:r>
          </w:p>
        </w:tc>
        <w:tc>
          <w:tcPr/>
          <w:p>
            <w:pPr>
              <w:pStyle w:val="Compact"/>
            </w:pPr>
            <w:r>
              <w:t xml:space="preserve">«Campforts 2026» (опечатка)</w:t>
            </w:r>
          </w:p>
        </w:tc>
        <w:tc>
          <w:tcPr/>
          <w:p>
            <w:pPr>
              <w:pStyle w:val="Compact"/>
            </w:pPr>
            <w:r>
              <w:t xml:space="preserve">✅ 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R-02а</w:t>
            </w:r>
          </w:p>
        </w:tc>
        <w:tc>
          <w:tcPr/>
          <w:p>
            <w:pPr>
              <w:pStyle w:val="Compact"/>
            </w:pPr>
            <w:r>
              <w:t xml:space="preserve">Список участников в публичном репозитории</w:t>
            </w:r>
          </w:p>
        </w:tc>
        <w:tc>
          <w:tcPr/>
          <w:p>
            <w:pPr>
              <w:pStyle w:val="Compact"/>
            </w:pPr>
            <w:r>
              <w:t xml:space="preserve">✅ Удалён 21.08.2026 (по CHANGELOG)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R-02б</w:t>
            </w:r>
          </w:p>
        </w:tc>
        <w:tc>
          <w:tcPr/>
          <w:p>
            <w:pPr>
              <w:pStyle w:val="Compact"/>
            </w:pPr>
            <w:r>
              <w:t xml:space="preserve">Miarons Font не проверен</w:t>
            </w:r>
          </w:p>
        </w:tc>
        <w:tc>
          <w:tcPr/>
          <w:p>
            <w:pPr>
              <w:pStyle w:val="Compact"/>
            </w:pPr>
            <w:r>
              <w:t xml:space="preserve">✅ F-01, F-02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R-02в</w:t>
            </w:r>
          </w:p>
        </w:tc>
        <w:tc>
          <w:tcPr/>
          <w:p>
            <w:pPr>
              <w:pStyle w:val="Compact"/>
            </w:pPr>
            <w:r>
              <w:t xml:space="preserve">Steele загущённые жидкости не проверены</w:t>
            </w:r>
          </w:p>
        </w:tc>
        <w:tc>
          <w:tcPr/>
          <w:p>
            <w:pPr>
              <w:pStyle w:val="Compact"/>
            </w:pPr>
            <w:r>
              <w:t xml:space="preserve">✅ F-13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R-02г</w:t>
            </w:r>
          </w:p>
        </w:tc>
        <w:tc>
          <w:tcPr/>
          <w:p>
            <w:pPr>
              <w:pStyle w:val="Compact"/>
            </w:pPr>
            <w:r>
              <w:t xml:space="preserve">Yoneyama не проверен</w:t>
            </w:r>
          </w:p>
        </w:tc>
        <w:tc>
          <w:tcPr/>
          <w:p>
            <w:pPr>
              <w:pStyle w:val="Compact"/>
            </w:pPr>
            <w:r>
              <w:t xml:space="preserve">✅ F-11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R-02д</w:t>
            </w:r>
          </w:p>
        </w:tc>
        <w:tc>
          <w:tcPr/>
          <w:p>
            <w:pPr>
              <w:pStyle w:val="Compact"/>
            </w:pPr>
            <w:r>
              <w:t xml:space="preserve">Every-Palmer не проверен</w:t>
            </w:r>
          </w:p>
        </w:tc>
        <w:tc>
          <w:tcPr/>
          <w:p>
            <w:pPr>
              <w:pStyle w:val="Compact"/>
            </w:pPr>
            <w:r>
              <w:t xml:space="preserve">✅ F-15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R-02е</w:t>
            </w:r>
          </w:p>
        </w:tc>
        <w:tc>
          <w:tcPr/>
          <w:p>
            <w:pPr>
              <w:pStyle w:val="Compact"/>
            </w:pPr>
            <w:r>
              <w:t xml:space="preserve">Pillinger не проверен</w:t>
            </w:r>
          </w:p>
        </w:tc>
        <w:tc>
          <w:tcPr/>
          <w:p>
            <w:pPr>
              <w:pStyle w:val="Compact"/>
            </w:pPr>
            <w:r>
              <w:t xml:space="preserve">✅ 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R-02ж</w:t>
            </w:r>
          </w:p>
        </w:tc>
        <w:tc>
          <w:tcPr/>
          <w:p>
            <w:pPr>
              <w:pStyle w:val="Compact"/>
            </w:pPr>
            <w:r>
              <w:t xml:space="preserve">Correll RR 7,00 не проверен</w:t>
            </w:r>
          </w:p>
        </w:tc>
        <w:tc>
          <w:tcPr/>
          <w:p>
            <w:pPr>
              <w:pStyle w:val="Compact"/>
            </w:pPr>
            <w:r>
              <w:t xml:space="preserve">✅ F-03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R-02з</w:t>
            </w:r>
          </w:p>
        </w:tc>
        <w:tc>
          <w:tcPr/>
          <w:p>
            <w:pPr>
              <w:pStyle w:val="Compact"/>
            </w:pPr>
            <w:r>
              <w:t xml:space="preserve">Hägg клозапин-кофеин не проверен</w:t>
            </w:r>
          </w:p>
        </w:tc>
        <w:tc>
          <w:tcPr/>
          <w:p>
            <w:pPr>
              <w:pStyle w:val="Compact"/>
            </w:pPr>
            <w:r>
              <w:t xml:space="preserve">✅ F-08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R-02и</w:t>
            </w:r>
          </w:p>
        </w:tc>
        <w:tc>
          <w:tcPr/>
          <w:p>
            <w:pPr>
              <w:pStyle w:val="Compact"/>
            </w:pPr>
            <w:r>
              <w:t xml:space="preserve">IDDSI framework не проверен</w:t>
            </w:r>
          </w:p>
        </w:tc>
        <w:tc>
          <w:tcPr/>
          <w:p>
            <w:pPr>
              <w:pStyle w:val="Compact"/>
            </w:pPr>
            <w:r>
              <w:t xml:space="preserve">✅ F-14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R-02к</w:t>
            </w:r>
          </w:p>
        </w:tc>
        <w:tc>
          <w:tcPr/>
          <w:p>
            <w:pPr>
              <w:pStyle w:val="Compact"/>
            </w:pPr>
            <w:r>
              <w:t xml:space="preserve">Garg карбамазепин-грейпфрут не проверен</w:t>
            </w:r>
          </w:p>
        </w:tc>
        <w:tc>
          <w:tcPr/>
          <w:p>
            <w:pPr>
              <w:pStyle w:val="Compact"/>
            </w:pPr>
            <w:r>
              <w:t xml:space="preserve">✅ F-10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R-02л</w:t>
            </w:r>
          </w:p>
        </w:tc>
        <w:tc>
          <w:tcPr/>
          <w:p>
            <w:pPr>
              <w:pStyle w:val="Compact"/>
            </w:pPr>
            <w:r>
              <w:t xml:space="preserve">442-ФЗ не проверен</w:t>
            </w:r>
          </w:p>
        </w:tc>
        <w:tc>
          <w:tcPr/>
          <w:p>
            <w:pPr>
              <w:pStyle w:val="Compact"/>
            </w:pPr>
            <w:r>
              <w:t xml:space="preserve">✅ F-20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R-02м</w:t>
            </w:r>
          </w:p>
        </w:tc>
        <w:tc>
          <w:tcPr/>
          <w:p>
            <w:pPr>
              <w:pStyle w:val="Compact"/>
            </w:pPr>
            <w:r>
              <w:t xml:space="preserve">3185-1 не проверен</w:t>
            </w:r>
          </w:p>
        </w:tc>
        <w:tc>
          <w:tcPr/>
          <w:p>
            <w:pPr>
              <w:pStyle w:val="Compact"/>
            </w:pPr>
            <w:r>
              <w:t xml:space="preserve">✅ F-21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R-02н</w:t>
            </w:r>
          </w:p>
        </w:tc>
        <w:tc>
          <w:tcPr/>
          <w:p>
            <w:pPr>
              <w:pStyle w:val="Compact"/>
            </w:pPr>
            <w:r>
              <w:t xml:space="preserve">Кейс К. (две кружки)</w:t>
            </w:r>
          </w:p>
        </w:tc>
        <w:tc>
          <w:tcPr/>
          <w:p>
            <w:pPr>
              <w:pStyle w:val="Compact"/>
            </w:pPr>
            <w:r>
              <w:t xml:space="preserve">✅ F-22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закрыто: 24 риска.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Следующий пересмотр:</w:t>
      </w:r>
      <w:r>
        <w:t xml:space="preserve"> </w:t>
      </w:r>
      <w:r>
        <w:t xml:space="preserve">после 01.09.2026 (смена СанПиН).</w:t>
      </w:r>
      <w:r>
        <w:t xml:space="preserve"> </w:t>
      </w:r>
      <w:r>
        <w:rPr>
          <w:b/>
          <w:bCs/>
        </w:rPr>
        <w:t xml:space="preserve">Применяется:</w:t>
      </w:r>
      <w:r>
        <w:t xml:space="preserve"> </w:t>
      </w:r>
      <w:r>
        <w:t xml:space="preserve">в новой редакции v2 и в производных форматах.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Оставшиеся риски</dc:title>
  <dc:creator>Редакционная группа</dc:creator>
  <dc:language>ru</dc:language>
  <cp:keywords/>
  <dcterms:created xsi:type="dcterms:W3CDTF">2026-08-22T08:08:40Z</dcterms:created>
  <dcterms:modified xsi:type="dcterms:W3CDTF">2026-08-22T08:08:40Z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