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w:t>
      </w:r>
    </w:p>
    <w:p>
      <w:pPr>
        <w:pStyle w:val="Author"/>
      </w:pPr>
      <w:r>
        <w:t xml:space="preserve">Е. В. Чистяков, директор СПб ГАСУСОН «ДСО „Серафимовский“»</w:t>
      </w:r>
    </w:p>
    <w:p>
      <w:pPr>
        <w:pStyle w:val="Date"/>
      </w:pPr>
      <w:r>
        <w:t xml:space="preserve">5 октября 2026 г.</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Это аналитический доклад автора. Он не служит официальным толкованием законодательства и не выражает позиции Министерства труда и социальной защиты Российской Федерации, его рабочей группы по вариативному меню или Правительства Санкт-Петербурга. Предложения раздела 10 — рекомендации автора, а не пересказ действующих норм.</w:t>
      </w:r>
    </w:p>
    <w:p>
      <w:pPr>
        <w:pStyle w:val="BodyText"/>
      </w:pPr>
      <w:r>
        <w:rPr>
          <w:b/>
          <w:bCs/>
        </w:rPr>
        <w:t xml:space="preserve">Отношение к первой редакции.</w:t>
      </w:r>
      <w:r>
        <w:t xml:space="preserve"> </w:t>
      </w:r>
      <w:r>
        <w:t xml:space="preserve">Доклад вырос из правового обзора «Вариативное меню: НПА» (литературная редакция 29.08.2026, данные на 16.07.2026; папка</w:t>
      </w:r>
      <w:r>
        <w:t xml:space="preserve"> </w:t>
      </w:r>
      <w:r>
        <w:rPr>
          <w:rStyle w:val="VerbatimChar"/>
        </w:rPr>
        <w:t xml:space="preserve">raw/sources/variativnoe-menu-npa-2026/</w:t>
      </w:r>
      <w:r>
        <w:t xml:space="preserve"> </w:t>
      </w:r>
      <w:r>
        <w:t xml:space="preserve">репозитория) [1]. Из обзора взяты региональный анализ и часть источников; найденные в нём ошибки исправлены и перечислены в приложении В; разделы о научных данных, зарубежных нормах, российских кейсах и практических сценариях написаны заново. Там, где новая редакция расходится с первой, расхождение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Санитарные требования даны в двух слоях: СанПиН 2.3/2.4.3590-20 — для периода до 31.08.2026 включительно (в том числе для материалов семинара 25–27.08.2026); СанПиН 2.3/2.4.4282-26 — с 01.09.2026 [2, 3].</w:t>
      </w:r>
    </w:p>
    <w:p>
      <w:pPr>
        <w:pStyle w:val="BodyText"/>
      </w:pPr>
      <w:r>
        <w:rPr>
          <w:b/>
          <w:bCs/>
        </w:rPr>
        <w:t xml:space="preserve">Классы утверждений.</w:t>
      </w:r>
      <w:r>
        <w:t xml:space="preserve"> </w:t>
      </w:r>
      <w:r>
        <w:t xml:space="preserve">Каждое существенное утверждение принадлежит одному из четырёх классов; если класс не ясен из контекста, он назван в тексте.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Что означает</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указаны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может оспариваться</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Методический документ, научное руководство или предложение автора; не обязательно</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обязателен только в нём</w:t>
            </w:r>
          </w:p>
        </w:tc>
        <w:tc>
          <w:tcPr/>
          <w:p>
            <w:pPr>
              <w:pStyle w:val="Compact"/>
            </w:pPr>
            <w:r>
              <w:t xml:space="preserve">Приказ ДСО «Серафимовский» от 10.03.2026 № 124</w:t>
            </w:r>
          </w:p>
        </w:tc>
      </w:tr>
    </w:tbl>
    <w:p>
      <w:pPr>
        <w:pStyle w:val="BodyText"/>
      </w:pPr>
      <w:r>
        <w:rPr>
          <w:b/>
          <w:bCs/>
        </w:rPr>
        <w:t xml:space="preserve">Источники</w:t>
      </w:r>
      <w:r>
        <w:t xml:space="preserve"> </w:t>
      </w:r>
      <w:r>
        <w:t xml:space="preserve">указаны номерами в квадратных скобках; список помещён в конце доклада. Расчёты, помеченные словами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такому порядку питания, при котором житель стационарной организации социального обслуживания в момент еды видит перед собой не меньше двух вариантов блюда и сам влияет на то, какой получит. Речь идёт о правовых, организационных и доказательных основаниях этого порядка. Объект — дома социального обслуживания (бывшие дома-интернаты для престарелых и инвалидов) и психоневрологические интернаты России; предмет — нормы, которые решают, что, сколько и как подаётся на стол, и тот зазор, который они оставляют выбору.</w:t>
      </w:r>
    </w:p>
    <w:p>
      <w:pPr>
        <w:pStyle w:val="BodyText"/>
      </w:pPr>
      <w:r>
        <w:t xml:space="preserve">Проанализированы федеральные законы и подзаконные акты (среди них не учтённые в первой редакции приказ Минтруда России от 13.09.2022 № 520н и Правила организации деятельности организаций социального обслуживания, утверждённые приказом Минтруда России от 14.05.2025 № 305н, а также СанПиН 2.3/2.4.4282-26, вступивший в силу 01.09.2026), региональные нормы питания десяти субъектов (тексты шести из них — Санкт-Петербурга, Новосибирской области, Красноярского края, Ленинградской области, ХМАО — Югры и Нижегородской области — прочитаны полностью) с подробным разбором постановления Правительства Санкт-Петербурга от 29.12.2014 № 1284, практики восьми российских учреждений, описанные в открытых источниках, и сообщение министра Иркутской области, нормы и процедуры проверки десяти зарубежных систем и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Основные выводы. 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называть правовой основой выбора, для взрослых закреплена лишь в методических рекомендациях 2002 г., а те ссылаются на приказ Минторга СССР 1980 г.; таблица замен санитарных правил формально стоит в разделе о питании детей. Научные данные о выборе блюд в домах ухода за пожилыми получены в основном в пилотных и наблюдательных исследованиях; они согласно показывают рост удовлетворённости и неоднозначное влияние на потребление и затраты. Рандомизированных исследований вариативного меню в психиатрических учреждениях социального обслуживания не найдено. Российские учреждения сообщают о том, что выбор введён, но не о том, к чему он привёл. Практическая часть разбирает сценарии: два горячих блюда в пределах норм № 1284, санитарный контур второго варианта по СанПиН 4282-26, закупка по 44-ФЗ и 223-ФЗ, раздача лежачим,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и что его проверочный лист 2026 г. спрашивает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названием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6.11; в докладе — только язык маркировки, не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 разные вещи</w:t>
            </w:r>
          </w:p>
        </w:tc>
      </w:tr>
    </w:tbl>
    <w:bookmarkEnd w:id="22"/>
    <w:bookmarkStart w:id="23" w:name="введение"/>
    <w:p>
      <w:pPr>
        <w:pStyle w:val="Heading1"/>
      </w:pPr>
      <w:r>
        <w:t xml:space="preserve">Введение</w:t>
      </w:r>
    </w:p>
    <w:p>
      <w:pPr>
        <w:pStyle w:val="FirstParagraph"/>
      </w:pPr>
      <w:r>
        <w:rPr>
          <w:b/>
          <w:bCs/>
        </w:rPr>
        <w:t xml:space="preserve">Проблема.</w:t>
      </w:r>
      <w:r>
        <w:t xml:space="preserve"> </w:t>
      </w:r>
      <w:r>
        <w:t xml:space="preserve">Только в психоневрологических интернатах России, по подсчёту проекта «Если быть точным», на 2024 г. было 466 учреждений и около 139 тыс. жителей, из которых 74 % признаны недееспособными [4]; к ним добавляются жители домов-интернатов общего типа, общее число которых в использованных источниках с проверяемыми реквизитами не найдено. Еда повторяется в их жизни несколько раз в день, и это та её часть, где выбор технически возможен. Тем не менее питание в таких учреждениях устроено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и не предусмотрен. Он появляется там, где его вводит само учреждение, и исчезает вместе с тем, кто его ввёл.</w:t>
      </w:r>
    </w:p>
    <w:p>
      <w:pPr>
        <w:pStyle w:val="BodyText"/>
      </w:pPr>
      <w:r>
        <w:t xml:space="preserve">С 2024 г. в открытых источниках стали появляться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Вопрос директора прост: можно ли подавать два вторых блюда, не нарушив норм питания, санитарных правил и закупочного законодательства, и что держать в папке на случай проверки. Простого ответа нет, потому что три слоя права — социальный, санитарный и закупочный — писались независимо друг от друга и о выборе молчат все три.</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собрать, что известно о последствиях выбора из исследований и практики; предложить организационные решения, которые можно проверить, не выдавая их за нормы.</w:t>
      </w:r>
    </w:p>
    <w:p>
      <w:pPr>
        <w:pStyle w:val="BodyText"/>
      </w:pPr>
      <w:r>
        <w:rPr>
          <w:b/>
          <w:bCs/>
        </w:rPr>
        <w:t xml:space="preserve">Задачи:</w:t>
      </w:r>
    </w:p>
    <w:p>
      <w:pPr>
        <w:pStyle w:val="Compact"/>
        <w:numPr>
          <w:ilvl w:val="0"/>
          <w:numId w:val="1001"/>
        </w:numPr>
      </w:pPr>
      <w:r>
        <w:t xml:space="preserve">развести понятия, которые в отраслевой речи смешиваются (цикличное меню, вариативное меню, таблица замен, персонализация питания), и шкалы, которыми описывают внедрение;</w:t>
      </w:r>
    </w:p>
    <w:p>
      <w:pPr>
        <w:pStyle w:val="Compact"/>
        <w:numPr>
          <w:ilvl w:val="0"/>
          <w:numId w:val="1001"/>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w:t>
      </w:r>
    </w:p>
    <w:p>
      <w:pPr>
        <w:pStyle w:val="Compact"/>
        <w:numPr>
          <w:ilvl w:val="0"/>
          <w:numId w:val="1001"/>
        </w:numPr>
      </w:pPr>
      <w:r>
        <w:t xml:space="preserve">сопоставить региональные нормы питания, прежде всего постановление Правительства Санкт-Петербурга № 1284;</w:t>
      </w:r>
    </w:p>
    <w:p>
      <w:pPr>
        <w:pStyle w:val="Compact"/>
        <w:numPr>
          <w:ilvl w:val="0"/>
          <w:numId w:val="1001"/>
        </w:numPr>
      </w:pPr>
      <w:r>
        <w:t xml:space="preserve">описать российские практики с указанием того, что источник сообщает и чего не сообщает;</w:t>
      </w:r>
    </w:p>
    <w:p>
      <w:pPr>
        <w:pStyle w:val="Compact"/>
        <w:numPr>
          <w:ilvl w:val="0"/>
          <w:numId w:val="1001"/>
        </w:numPr>
      </w:pPr>
      <w:r>
        <w:t xml:space="preserve">обобщить научные данные и зарубежные нормы о выборе блюд в учреждениях долговременного ухода;</w:t>
      </w:r>
    </w:p>
    <w:p>
      <w:pPr>
        <w:pStyle w:val="Compact"/>
        <w:numPr>
          <w:ilvl w:val="0"/>
          <w:numId w:val="1001"/>
        </w:numPr>
      </w:pPr>
      <w:r>
        <w:t xml:space="preserve">разобрать практические сценарии внедрения с опорой на действующие нормы;</w:t>
      </w:r>
    </w:p>
    <w:p>
      <w:pPr>
        <w:pStyle w:val="Compact"/>
        <w:numPr>
          <w:ilvl w:val="0"/>
          <w:numId w:val="1001"/>
        </w:numPr>
      </w:pPr>
      <w:r>
        <w:t xml:space="preserve">перечислить противоречия и пробелы и сформулировать предложения с явной пометкой их статуса.</w:t>
      </w:r>
    </w:p>
    <w:p>
      <w:pPr>
        <w:pStyle w:val="FirstParagraph"/>
      </w:pPr>
      <w:r>
        <w:rPr>
          <w:b/>
          <w:bCs/>
        </w:rPr>
        <w:t xml:space="preserve">Методы и источники.</w:t>
      </w:r>
      <w:r>
        <w:t xml:space="preserve"> </w:t>
      </w:r>
      <w:r>
        <w:t xml:space="preserve">Применены формально-юридический анализ текстов нормативных актов в действующих редакциях (официальные публикации, справочные системы «Гарант», «КонсультантПлюс», ведомственные сайты);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это целевой, а не систематический обзор); анализ публичных сообщений учреждений и органов власти.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где проверить не удалось, это оговорено.</w:t>
      </w:r>
    </w:p>
    <w:p>
      <w:pPr>
        <w:pStyle w:val="BodyText"/>
      </w:pPr>
      <w:r>
        <w:rPr>
          <w:b/>
          <w:bCs/>
        </w:rPr>
        <w:t xml:space="preserve">Ограничения.</w:t>
      </w:r>
      <w:r>
        <w:t xml:space="preserve"> </w:t>
      </w:r>
      <w:r>
        <w:t xml:space="preserve">Доклад не назначает диет, текстур и лечебного питания: это решения врача, и подменять их доклад не берётся. Сведения о практике учреждений взяты из их публичных сообщений и аудитом не являются. Стоимость питания приводится только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при их изложении это сказано.</w:t>
      </w:r>
    </w:p>
    <w:p>
      <w:pPr>
        <w:pStyle w:val="BodyText"/>
      </w:pPr>
      <w:r>
        <w:rPr>
          <w:b/>
          <w:bCs/>
        </w:rPr>
        <w:t xml:space="preserve">Что нового во второй редакции.</w:t>
      </w:r>
      <w:r>
        <w:t xml:space="preserve"> </w:t>
      </w:r>
      <w:r>
        <w:t xml:space="preserve">По сравнению с первой редакцией [1]: (а) введён в анализ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для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восьми российских кейсах;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пяти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Полный перечень изменений — в приложении В.</w:t>
      </w:r>
    </w:p>
    <w:bookmarkEnd w:id="23"/>
    <w:bookmarkStart w:id="32" w:name="понятия-и-разграничения"/>
    <w:p>
      <w:pPr>
        <w:pStyle w:val="Heading1"/>
      </w:pPr>
      <w:r>
        <w:rPr>
          <w:rStyle w:val="SectionNumber"/>
        </w:rPr>
        <w:t xml:space="preserve">1</w:t>
      </w:r>
      <w:r>
        <w:tab/>
      </w:r>
      <w:r>
        <w:t xml:space="preserve">Понятия и разграничения</w:t>
      </w:r>
    </w:p>
    <w:bookmarkStart w:id="24"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Внутри неё живут учреждения двух типов, и для нашей темы разница между ними существенна.</w:t>
      </w:r>
    </w:p>
    <w:p>
      <w:pPr>
        <w:pStyle w:val="BodyText"/>
      </w:pPr>
      <w:r>
        <w:t xml:space="preserve">Дома-интернаты для престарелых и инвалидов действуют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подчиняются тому же закону, но к ним применяется ещё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относит к ст. 39 и законодательству о социальном обслуживании [26]. Среди прав ч. 2 ст. 37 — право «исполнять религиозные обряды, соблюдать религиозные каноны, в том числе пост», если это не нарушает внутренний распорядок [26]. Это единственная найденная норма федерального закона, которая прямо касается того, что лежит у жителя на тарелке: пост для жителя ПНИ — его право, а не милость кухни.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для ПНИ это заметный пропуск.</w:t>
      </w:r>
    </w:p>
    <w:p>
      <w:pPr>
        <w:pStyle w:val="BodyText"/>
      </w:pPr>
      <w:r>
        <w:t xml:space="preserve">Переименование ПНИ в дома социального обслуживания, к концу 2025 г. проведённое, по данным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меняет. В Санкт-Петербурге, по сообщению Комитета по социальной политике от 22.07.2025, психоневрологических интернатов больше нет: все они переименованы в дома социального обслуживания, а их уставы обновляются [21]. Сайт ДСО «Серафимовский» до прекращения работы располагался на домене pni9.ru [28]. Для ст. 43 Закона № 3185-1 важно назначение организации, а не вывеска. В ДСО, где живут люди без психиатрического диагноза, опорой остаётся 442-ФЗ. Поэтому решения раздела 7 для бывшего ПНИ проверяются по двум законам, для дома-интерната общего типа — по одному.</w:t>
      </w:r>
    </w:p>
    <w:bookmarkEnd w:id="24"/>
    <w:bookmarkStart w:id="25" w:name="четыре-словаря"/>
    <w:p>
      <w:pPr>
        <w:pStyle w:val="Heading2"/>
      </w:pPr>
      <w:r>
        <w:rPr>
          <w:rStyle w:val="SectionNumber"/>
        </w:rPr>
        <w:t xml:space="preserve">1.2</w:t>
      </w:r>
      <w:r>
        <w:tab/>
      </w:r>
      <w:r>
        <w:t xml:space="preserve">Четыре словаря</w:t>
      </w:r>
    </w:p>
    <w:p>
      <w:pPr>
        <w:pStyle w:val="FirstParagraph"/>
      </w:pPr>
      <w:r>
        <w:t xml:space="preserve">Словами «вариативное меню» в отрасли называют по меньшей мере четыре разных явления. Из их смешения и вырастает большая часть споров — с проверяющими и с самими собой.</w:t>
      </w:r>
    </w:p>
    <w:p>
      <w:pPr>
        <w:pStyle w:val="BodyText"/>
      </w:pPr>
      <w:r>
        <w:rPr>
          <w:b/>
          <w:bCs/>
        </w:rPr>
        <w:t xml:space="preserve">Цикличное меню</w:t>
      </w:r>
      <w:r>
        <w:t xml:space="preserve"> </w:t>
      </w:r>
      <w:r>
        <w:t xml:space="preserve">— разнообразие во времени: набор блюд повторяется через 7, 10, 14 или 21 день. Цикличное меню обязательно в силу санитарных правил для детских организаций (не менее двух недель, п. 59 подп. 4 СанПиН 4282-26 [3]) а во взрослых учреждениях сложилось как привычка. Жителю оно ничего не предлагает выбрать: «четырнадцать дней без повторов» описывает меню, а не свободу человека.</w:t>
      </w:r>
    </w:p>
    <w:p>
      <w:pPr>
        <w:pStyle w:val="BodyText"/>
      </w:pPr>
      <w:r>
        <w:rPr>
          <w:b/>
          <w:bCs/>
        </w:rPr>
        <w:t xml:space="preserve">Таблица замен</w:t>
      </w:r>
      <w:r>
        <w:t xml:space="preserve"> </w:t>
      </w:r>
      <w:r>
        <w:t xml:space="preserve">(нормы взаимозаменяемости) — инструмент склада и раскладки: при отсутствии продукта он заменяется другим в эквивалентном по пищевой ценности количестве. Таблица защищает норму, а не выбор. Гречка, заменённая рисом «по остаткам», — замена, а не вариант. Где таблица замен для взрослых находится в праве, разобрано в п. 2.6.</w:t>
      </w:r>
    </w:p>
    <w:p>
      <w:pPr>
        <w:pStyle w:val="BodyText"/>
      </w:pPr>
      <w:r>
        <w:rPr>
          <w:b/>
          <w:bCs/>
        </w:rPr>
        <w:t xml:space="preserve">Персонализация питания</w:t>
      </w:r>
      <w:r>
        <w:t xml:space="preserve"> </w:t>
      </w:r>
      <w:r>
        <w:t xml:space="preserve">— индивидуальные решения по медицинским показаниям: диета, консистенция, обогащение, режим. Её основание — назначение врача, кухня его исполняет. Выбором в смысле доклада персонализация не является и подменять его не должна: житель с назначенной протёртой пищей имеет право на выбор среди протёртых блюд, но не на отмену назначения через «выбор».</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получит. Это определение (толкование) принято в докладе «Не просто накормить» [22] и используется здесь как основное.</w:t>
      </w:r>
    </w:p>
    <w:p>
      <w:pPr>
        <w:pStyle w:val="BodyText"/>
      </w:pPr>
      <w:r>
        <w:t xml:space="preserve">Четыре словаря различает один вопрос: что изменилось в тарелке конкретного жителя сегодня и кто это решил? Если решили регион и кухня — это цикл или замена. Если решил врач — персонализация. Если решил сам житель (или, при невозможности сказать, по наблюдаемым признакам его воли) — выбор.</w:t>
      </w:r>
    </w:p>
    <w:bookmarkEnd w:id="25"/>
    <w:bookmarkStart w:id="27"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по-разному, и это расхождение нужно держать в поле зрения.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Узкое определение удобно проверять: его исполнение видно в журнале и на линии раздачи. Широкое удобно для отчёта: под него подходит почти любая перемена. Доклад пользуется узким определением и отдельно оговаривает случаи предварительного заказа. Заказ накануне (так устроена практика ДСО «Серафимовский» [21]) по узкому определению является выбором при условии, что заказанное блюдо фактически подаётся заказавшему; заказ на неделю вперёд — выбор с отсрочкой, при котором право изменить решение в день подачи становится отдельным вопросом.</w:t>
      </w:r>
    </w:p>
    <w:bookmarkStart w:id="26" w:name="что-вариативным-меню-не-является"/>
    <w:p>
      <w:pPr>
        <w:pStyle w:val="Heading3"/>
      </w:pPr>
      <w:r>
        <w:rPr>
          <w:rStyle w:val="SectionNumber"/>
        </w:rPr>
        <w:t xml:space="preserve">1.3.1</w:t>
      </w:r>
      <w:r>
        <w:tab/>
      </w:r>
      <w:r>
        <w:t xml:space="preserve">Что вариативным меню не является</w:t>
      </w:r>
    </w:p>
    <w:p>
      <w:pPr>
        <w:pStyle w:val="FirstParagraph"/>
      </w:pPr>
      <w:r>
        <w:t xml:space="preserve">Таблица антипримеров собрана по определению узкого слоя [22] и разграничениям рабочей базы знаний (wiki/gaps.md) [23]. Признак проверки один — пункт 1 определения: есть ли у жителя в момент еды не менее двух реальных вариантов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Три формы, которые доклад признаёт выбором, различаются моментом решения:</w:t>
      </w:r>
      <w:r>
        <w:t xml:space="preserve"> </w:t>
      </w:r>
      <w:r>
        <w:rPr>
          <w:b/>
          <w:bCs/>
        </w:rPr>
        <w:t xml:space="preserve">выбор в момент еды</w:t>
      </w:r>
      <w:r>
        <w:t xml:space="preserve"> </w:t>
      </w:r>
      <w:r>
        <w:t xml:space="preserve">(на линии или у тележки — узкое определение в чистом виде);</w:t>
      </w:r>
      <w:r>
        <w:t xml:space="preserve"> </w:t>
      </w:r>
      <w:r>
        <w:rPr>
          <w:b/>
          <w:bCs/>
        </w:rPr>
        <w:t xml:space="preserve">предварительный заказ</w:t>
      </w:r>
      <w:r>
        <w:t xml:space="preserve"> </w:t>
      </w:r>
      <w:r>
        <w:t xml:space="preserve">(накануне или на неделю — выбор при условии, что заказанное подано заказавшему и в день подачи его можно изменить);</w:t>
      </w:r>
      <w:r>
        <w:t xml:space="preserve"> </w:t>
      </w:r>
      <w:r>
        <w:rPr>
          <w:b/>
          <w:bCs/>
        </w:rPr>
        <w:t xml:space="preserve">самостоятельная комплектация</w:t>
      </w:r>
      <w:r>
        <w:t xml:space="preserve"> </w:t>
      </w:r>
      <w:r>
        <w:t xml:space="preserve">(линия самообслуживания, «шведский стол» в ежедневном режиме — М3). Предварительный заказ без права изменить решение в день подачи доклад считает выбором с отсрочкой и отдельно отмечает в отчёте (толкование).</w:t>
      </w:r>
    </w:p>
    <w:bookmarkEnd w:id="26"/>
    <w:bookmarkEnd w:id="27"/>
    <w:bookmarkStart w:id="29"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материалы семинара описывают тремя независимыми шкалами.</w:t>
      </w:r>
    </w:p>
    <w:p>
      <w:pPr>
        <w:pStyle w:val="BodyText"/>
      </w:pPr>
      <w:r>
        <w:rPr>
          <w:b/>
          <w:bCs/>
        </w:rPr>
        <w:t xml:space="preserve">Модели раздачи М0–М5</w:t>
      </w:r>
      <w:r>
        <w:t xml:space="preserve"> </w:t>
      </w:r>
      <w:r>
        <w:t xml:space="preserve">—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 ось жителя: насколько контроль над едой возвращён человеку (0 — еду определили регион, кухня и смена; 1 — спросили, тарелка та же; 2 — выбор дошёл до тарелки; 3 — добавились время и место; 4 — житель влияет на меню через совет; 5 — еда снова часть жизни, а не процедуры) [22, 23].</w:t>
      </w:r>
    </w:p>
    <w:p>
      <w:pPr>
        <w:pStyle w:val="BodyText"/>
      </w:pPr>
      <w:r>
        <w:rPr>
          <w:b/>
          <w:bCs/>
        </w:rPr>
        <w:t xml:space="preserve">Пять моделей обзора НПА</w:t>
      </w:r>
      <w:r>
        <w:t xml:space="preserve"> </w:t>
      </w:r>
      <w:r>
        <w:t xml:space="preserve">(§ 4.2) — организационные формы: двухвариантное меню; меню-заказ на неделю; шведский стол; смешанная модель (выбор несколько раз в неделю); событийная (праздничные меню) [1].</w:t>
      </w:r>
    </w:p>
    <w:p>
      <w:pPr>
        <w:pStyle w:val="BodyText"/>
      </w:pPr>
      <w:r>
        <w:t xml:space="preserve">Шкалы меряют разное. Дом может работать по М2 (два вторых ежедневно), а жители отделения милосердия при этом остаются на ступени 0, если выбор существует только в столовой, куда они не спускаются. Нумерации не совпадают: «модель 1» обзора НПА не равна М1, «ступень 2» не равна М2. В первой редакции обзора Болотнинский ПНИ одновременно отнесён к модели 1 и модели 4 [1]; по шкале М0–М5 это М1, а по пятичленной шкале обзора — смешанная модель (выбор несколько раз в неделю). Шкалу моделей обзора НПА доклад приводит только в цитатах.</w:t>
      </w:r>
    </w:p>
    <w:bookmarkStart w:id="28" w:name="Xab984200417caef3bb7175fa640ab0ceeb7f88d"/>
    <w:p>
      <w:pPr>
        <w:pStyle w:val="Heading3"/>
      </w:pPr>
      <w:r>
        <w:rPr>
          <w:rStyle w:val="SectionNumber"/>
        </w:rPr>
        <w:t xml:space="preserve">1.4.1</w:t>
      </w:r>
      <w:r>
        <w:tab/>
      </w:r>
      <w:r>
        <w:t xml:space="preserve">М1 и ступень 1: одинаковая цифра, разные вещи</w:t>
      </w:r>
    </w:p>
    <w:p>
      <w:pPr>
        <w:pStyle w:val="FirstParagraph"/>
      </w:pPr>
      <w:r>
        <w:t xml:space="preserve">Одинаковые цифры у двух лестниц — главный источник путаницы, и в отчётах она встречается чаще, чем в спорах.</w:t>
      </w:r>
      <w:r>
        <w:t xml:space="preserve"> </w:t>
      </w:r>
      <w:r>
        <w:rPr>
          <w:b/>
          <w:bCs/>
        </w:rPr>
        <w:t xml:space="preserve">М1</w:t>
      </w:r>
      <w:r>
        <w:t xml:space="preserve"> </w:t>
      </w:r>
      <w:r>
        <w:t xml:space="preserve">описывает кухню: на линии есть второй вариант одной позиции.</w:t>
      </w:r>
      <w:r>
        <w:t xml:space="preserve"> </w:t>
      </w:r>
      <w:r>
        <w:rPr>
          <w:b/>
          <w:bCs/>
        </w:rPr>
        <w:t xml:space="preserve">Ступень 1</w:t>
      </w:r>
      <w:r>
        <w:t xml:space="preserve"> </w:t>
      </w:r>
      <w:r>
        <w:t xml:space="preserve">описывает жителя: его спросили, но в тарелке то же, что у всех. Одно не выводится из другого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Правило отчёта (рекомендация): указывать обе цифры через косую черту по каждому отделению — «М1 / ступень 2 в общем отделении, М1 / ступень 0 в отделении милосердия». Одна цифра без названия лестницы в отчёте не употребляется.</w:t>
      </w:r>
    </w:p>
    <w:bookmarkEnd w:id="28"/>
    <w:bookmarkEnd w:id="29"/>
    <w:bookmarkStart w:id="30"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ст.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w:t>
      </w:r>
    </w:p>
    <w:p>
      <w:pPr>
        <w:pStyle w:val="Compact"/>
        <w:numPr>
          <w:ilvl w:val="0"/>
          <w:numId w:val="1002"/>
        </w:numPr>
      </w:pPr>
      <w:r>
        <w:t xml:space="preserve">при расчёте объёма услуг учитываются нормы и нормативы, в том числе нормы питания, установленные в соответствии с 442-ФЗ;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w:t>
      </w:r>
    </w:p>
    <w:p>
      <w:pPr>
        <w:pStyle w:val="Compact"/>
        <w:numPr>
          <w:ilvl w:val="0"/>
          <w:numId w:val="1002"/>
        </w:numPr>
      </w:pPr>
      <w:r>
        <w:t xml:space="preserve">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FirstParagraph"/>
      </w:pPr>
      <w:r>
        <w:t xml:space="preserve">В том же п. 19 есть красноречивое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для одежды, но не для еды: питание оценивают по доброкачественности, калорийности и соответствию нормам. Запрета учитывать вкус отсюда не следует. Следует лишь, что критерий качества этого не требует, и учреждение, вводящее выбор блюд, опирается не на п. 19, а на общие права получателя (ст. 9 442-ФЗ) и на свои локальные акты (толкование).</w:t>
      </w:r>
    </w:p>
    <w:bookmarkEnd w:id="30"/>
    <w:bookmarkStart w:id="31"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Хронология нужна потому, что в сегодняшней практике одновременно работают документы пяти десятилетий.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2025</w:t>
            </w:r>
          </w:p>
        </w:tc>
        <w:tc>
          <w:tcPr/>
          <w:p>
            <w:pPr>
              <w:pStyle w:val="Compact"/>
            </w:pPr>
            <w:r>
              <w:t xml:space="preserve">Постановление Правительства СПб от 18.07.2025 № 507</w:t>
            </w:r>
          </w:p>
        </w:tc>
        <w:tc>
          <w:tcPr/>
          <w:p>
            <w:pPr>
              <w:pStyle w:val="Compact"/>
            </w:pPr>
            <w:r>
              <w:t xml:space="preserve">Новая редакция норм № 1284 с 01.01.2026: общая норма приведена к № 520н, отдельные столбцы для ПНИ и ДСО, СБКС и витамины по медицинским показаниям [34]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назвав его «действующим, но морально устаревшим»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[35].</w:t>
      </w:r>
    </w:p>
    <w:bookmarkEnd w:id="31"/>
    <w:bookmarkEnd w:id="32"/>
    <w:bookmarkStart w:id="53" w:name="федеральное-право"/>
    <w:p>
      <w:pPr>
        <w:pStyle w:val="Heading1"/>
      </w:pPr>
      <w:r>
        <w:rPr>
          <w:rStyle w:val="SectionNumber"/>
        </w:rPr>
        <w:t xml:space="preserve">2</w:t>
      </w:r>
      <w:r>
        <w:tab/>
      </w:r>
      <w:r>
        <w:t xml:space="preserve">Федеральное право</w:t>
      </w:r>
    </w:p>
    <w:bookmarkStart w:id="33"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говорит. Для темы важны три её положения: охрана достоинства личности, которое ничто не может умалять (ст. 21), социальное государство, гарантирующее государственную поддержку пожилых граждан и инвалидов (ст. 7, 39), и право на охрану здоровья (ст. 41) [36]. Права на два вторых блюда из них не вывести; выводится другое — ограничения в повседневной жизни жителя должны иметь основание, а не вырастать из удобства организации (толкование).</w:t>
      </w:r>
    </w:p>
    <w:p>
      <w:pPr>
        <w:pStyle w:val="BodyText"/>
      </w:pPr>
      <w:r>
        <w:t xml:space="preserve">В Конвенции ООН о правах инвалидов, ратифицированной Россией в 2012 г., к делу относятся три нормы: право на самостоятельный образ жизни и вовлечённость в местное сообщество (ст. 19), на здоровье (ст. 25) и на достаточный жизненный уровень, «включающий достаточное питание» (ст. 28) [37]. Комитет ООН по правам инвалидов в Замечании общего порядка № 1 (2014) к ст. 12 разъяснил, что замещающее принятие решений должно уступать место поддерживаемому [38]. Для ПНИ, где большинство жителей признаны недееспособными [4], это значит, что вопрос «может ли этот человек выбрать» надо ставить как вопрос «какая поддержка ему нужна, чтобы выбор был его», а не закрывать ссылкой на недееспособность (толкование; правовые последствия Замечания для российских судов не исследуются).</w:t>
      </w:r>
    </w:p>
    <w:bookmarkEnd w:id="33"/>
    <w:bookmarkStart w:id="34" w:name="закон-442-фз"/>
    <w:p>
      <w:pPr>
        <w:pStyle w:val="Heading2"/>
      </w:pPr>
      <w:r>
        <w:rPr>
          <w:rStyle w:val="SectionNumber"/>
        </w:rPr>
        <w:t xml:space="preserve">2.2</w:t>
      </w:r>
      <w:r>
        <w:tab/>
      </w:r>
      <w:r>
        <w:t xml:space="preserve">Закон № 442-ФЗ</w:t>
      </w:r>
    </w:p>
    <w:p>
      <w:pPr>
        <w:pStyle w:val="FirstParagraph"/>
      </w:pPr>
      <w:r>
        <w:t xml:space="preserve">По 442-ФЗ содержимое тарелки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но регион не обязан их повторять (толкование, основанное на рекомендательном характере обоих актов).</w:t>
      </w:r>
    </w:p>
    <w:p>
      <w:pPr>
        <w:pStyle w:val="BodyText"/>
      </w:pPr>
      <w:r>
        <w:t xml:space="preserve">Для выбора блюд важны следующие положения закона [24] —</w:t>
      </w:r>
      <w:r>
        <w:t xml:space="preserve"> </w:t>
      </w:r>
      <w:r>
        <w:rPr>
          <w:b/>
          <w:bCs/>
        </w:rPr>
        <w:t xml:space="preserve">нормы</w:t>
      </w:r>
      <w:r>
        <w:t xml:space="preserve">:</w:t>
      </w:r>
    </w:p>
    <w:p>
      <w:pPr>
        <w:pStyle w:val="Compact"/>
        <w:numPr>
          <w:ilvl w:val="0"/>
          <w:numId w:val="1003"/>
        </w:numPr>
      </w:pPr>
      <w:r>
        <w:t xml:space="preserve">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w:t>
      </w:r>
    </w:p>
    <w:p>
      <w:pPr>
        <w:pStyle w:val="Compact"/>
        <w:numPr>
          <w:ilvl w:val="0"/>
          <w:numId w:val="1003"/>
        </w:numPr>
      </w:pPr>
      <w:r>
        <w:t xml:space="preserve">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w:t>
      </w:r>
    </w:p>
    <w:p>
      <w:pPr>
        <w:pStyle w:val="Compact"/>
        <w:numPr>
          <w:ilvl w:val="0"/>
          <w:numId w:val="1003"/>
        </w:numPr>
      </w:pPr>
      <w:r>
        <w:t xml:space="preserve">индивидуальная программа определяет форму, вид, объём, периодичность и условия предоставления услуг (ст. 16), договор — их состав и стоимость (ст. 17);</w:t>
      </w:r>
    </w:p>
    <w:p>
      <w:pPr>
        <w:pStyle w:val="Compact"/>
        <w:numPr>
          <w:ilvl w:val="0"/>
          <w:numId w:val="1003"/>
        </w:numPr>
      </w:pPr>
      <w:r>
        <w:t xml:space="preserve">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FirstParagraph"/>
      </w:pPr>
      <w:r>
        <w:t xml:space="preserve">К последнему положению материалы семинара дают две разные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 нормы — закон, приказ её воспроизводит. Противоречия нет; есть разная глубина ссылки.</w:t>
      </w:r>
    </w:p>
    <w:p>
      <w:pPr>
        <w:pStyle w:val="BodyText"/>
      </w:pPr>
      <w:r>
        <w:t xml:space="preserve">Для вариативного меню существеннее другое. Право на отказ от услуги (ст. 9) охватывает отказ от конкретного блюда (толкование), но закон не говорит, что учреждение должно предложить взамен. Право на участие в составлении ИППСУ позволяет внести в программу пищевые предпочтения, но федеральная форма программы для этого не предназначена; прямого права на ежедневный выбор блюда закон не содержит [23]. В 442-ФЗ выбор возможен, но не гарантирован.</w:t>
      </w:r>
    </w:p>
    <w:bookmarkEnd w:id="34"/>
    <w:bookmarkStart w:id="35"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Он устанавливает, что объём услуг рассчитывается с учётом норм питания (п. 16), а качество социально-бытовых услуг оценивается, в частности, по питанию из доброкачественных продуктов, удовлетворяющему потребности по калорийности и соответствующему нормам и санитарным требованиям (подп. 5 п. 19). Критерии полноты, своевременности и результативности (п. 18) общие для всех услуг. Как показано в п. 1.5, критерий качества упоминает «запросы» получателя применительно к одежде, но не к питанию.</w:t>
      </w:r>
    </w:p>
    <w:p>
      <w:pPr>
        <w:pStyle w:val="BodyText"/>
      </w:pPr>
      <w:r>
        <w:t xml:space="preserve">Со статусом приказа нужна точность: Примерный порядок — ориентир для субъектов, а не прямой регулятор учреждения. Порядок предоставления услуг утверждает субъект (ст. 8 442-ФЗ) [24]. Поэтому ссылка «по п. 19 приказа № 935н питание должно быть разнообразным» неверна дважды: пункт этого не говорит, и учреждение подчиняется региональному порядку (толкование).</w:t>
      </w:r>
    </w:p>
    <w:bookmarkEnd w:id="35"/>
    <w:bookmarkStart w:id="36"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хотя для темы он весит больше Примерного порядка: в отличие от приказа № 935н, Правила обращены прямо к организациям, а не к субъектам как образец.</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w:t>
      </w:r>
    </w:p>
    <w:p>
      <w:pPr>
        <w:pStyle w:val="Compact"/>
        <w:numPr>
          <w:ilvl w:val="0"/>
          <w:numId w:val="1004"/>
        </w:numPr>
      </w:pPr>
      <w:r>
        <w:t xml:space="preserve">нормы питания в организациях, находящихся в ведении субъекта, устанавливаются актами субъекта в рамках полномочий по ст. 8 442-ФЗ (п. 15) — федеральный акт подтверждает распределение компетенции, а не вводит собственных норм;</w:t>
      </w:r>
    </w:p>
    <w:p>
      <w:pPr>
        <w:pStyle w:val="Compact"/>
        <w:numPr>
          <w:ilvl w:val="0"/>
          <w:numId w:val="1004"/>
        </w:numPr>
      </w:pPr>
      <w:r>
        <w:t xml:space="preserve">организация обязана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w:t>
      </w:r>
    </w:p>
    <w:p>
      <w:pPr>
        <w:pStyle w:val="Compact"/>
        <w:numPr>
          <w:ilvl w:val="0"/>
          <w:numId w:val="1004"/>
        </w:numPr>
      </w:pPr>
      <w:r>
        <w:t xml:space="preserve">организация обязана «обеспечивать условия для исполнения религиозных обрядов, соблюдения религиозных канонов, в том числе постов» (подп. 15 п. 20) — для всех организаций социального обслуживания, а не только для ПНИ, как по ст. 43 Закона № 3185-1;</w:t>
      </w:r>
    </w:p>
    <w:p>
      <w:pPr>
        <w:pStyle w:val="Compact"/>
        <w:numPr>
          <w:ilvl w:val="0"/>
          <w:numId w:val="1004"/>
        </w:numPr>
      </w:pPr>
      <w:r>
        <w:t xml:space="preserve">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FirstParagraph"/>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найденное в федеральном акте признание того, что житель стационара может сам готовить себе еду; модель М5 шкалы раздачи (п. 1.4) — жители готовят сами —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 последнем случае она относится к подготовке к сопровождаемому проживанию, а не к организации основного питания.</w:t>
      </w:r>
    </w:p>
    <w:p>
      <w:pPr>
        <w:pStyle w:val="BodyText"/>
      </w:pPr>
      <w:r>
        <w:t xml:space="preserve">Последствия для вариативного меню (толкование). Во-первых, обязанность обеспечить условия для соблюдения поста превращает постное блюдо из пожелания в предмет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[39]: учреждение должно уметь показать, как житель, соблюдающий пост, получает питание в пределах норм. Самый простой способ — постный вариант в составе вариативного меню; альтернативы — индивидуальная замена по заявлению или отдельный постный рацион. Юрист проекта «Регион заботы» А. Гаганов в комментарии к приказу сделал тот же вывод: норма «склоняет интернаты к необходимости обеспечивать вариативное питание хотя бы во время религиозных постов» [40]. Во-вторых, выбора блюд как такового Правила не требуют; обосновывать приказом № 305н ежедневный выбор из двух вторых значило бы толковать его расширительно. В-третьих, предпочтения получателя упоминаются в Правилах применительно к размещению по спальням, но не к питанию — та же асимметрия, что в критериях качества приказа № 935н (п. 1.5).</w:t>
      </w:r>
    </w:p>
    <w:bookmarkEnd w:id="36"/>
    <w:bookmarkStart w:id="40"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7"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федеральной опорой норм там названо постановление № 12 от 2002 г. [1]. С 2022 г. федеральный ориентир по продуктовому набору для взрослых — № 520н, а не таблицы 2002 г.</w:t>
      </w:r>
    </w:p>
    <w:p>
      <w:pPr>
        <w:pStyle w:val="BodyText"/>
      </w:pPr>
      <w:r>
        <w:t xml:space="preserve">Два свойства приказа № 520н важны для выбора блюд.</w:t>
      </w:r>
    </w:p>
    <w:p>
      <w:pPr>
        <w:pStyle w:val="BodyText"/>
      </w:pPr>
      <w:r>
        <w:t xml:space="preserve">Во-первых,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видно из п. 3.2, устроена иначе.</w:t>
      </w:r>
    </w:p>
    <w:p>
      <w:pPr>
        <w:pStyle w:val="BodyText"/>
      </w:pPr>
      <w:r>
        <w:t xml:space="preserve">Во-вторых, приказ задаёт продукты группами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говорит. Отсюда и берётся главное законное пространство для вариантов: две каши из одной группы круп не требуют пересчёта нормы (толкование).</w:t>
      </w:r>
    </w:p>
    <w:bookmarkEnd w:id="37"/>
    <w:bookmarkStart w:id="38"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В действующей редакции есть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а таблица по белку и углеводам позволяет сопоставить разные блюда.</w:t>
      </w:r>
    </w:p>
    <w:p>
      <w:pPr>
        <w:pStyle w:val="BodyText"/>
      </w:pPr>
      <w:r>
        <w:t xml:space="preserve">Пункт 3 рекомендаций формулирует требования, которые прямо касаются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коррекция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задаёт рамку выбора: житель может выбрать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[41]; их содержание для доклада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[42]. Если это положение подтвердится по первоисточнику, оно — единственное найденное федеральное упоминание индивидуального объёма порции в социальном обслуживании (текст рекомендаций целиком в ходе подготовки доклада не получен; положение приведено по цитате в научной статье).</w:t>
      </w:r>
    </w:p>
    <w:p>
      <w:pPr>
        <w:pStyle w:val="BodyText"/>
      </w:pPr>
      <w:r>
        <w:t xml:space="preserve">Как соотносятся два федеральных документа, формально не урегулировано: № 520н не отменяет № 12, и оба носят рекомендательный характер. Разумно читать их так (толкование): продуктовый набор — по № 520н как более позднему и специальному; организационные приёмы, меню-раскладки и нормы взаимозаменяемости — по № 12, пока не принято иное. В академическом слое материалов семинара упоминается приказ «№ 774н» как акт о нормах питания [23]; по открытым источникам этот номер не подтверждён.</w:t>
      </w:r>
    </w:p>
    <w:bookmarkEnd w:id="38"/>
    <w:bookmarkStart w:id="39"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[43]. Они не устанавливают продуктовых наборов и не регулируют порядок подачи —</w:t>
      </w:r>
      <w:r>
        <w:t xml:space="preserve"> </w:t>
      </w:r>
      <w:r>
        <w:rPr>
          <w:b/>
          <w:bCs/>
        </w:rPr>
        <w:t xml:space="preserve">рекомендация</w:t>
      </w:r>
      <w:r>
        <w:t xml:space="preserve">.</w:t>
      </w:r>
    </w:p>
    <w:bookmarkEnd w:id="39"/>
    <w:bookmarkEnd w:id="40"/>
    <w:bookmarkStart w:id="41"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Почти все отраслевые материалы, включая обе прежние работы семинара, утверждают, что таблицы замен «легализуют» вариативность: если вариант Б эквивалентен варианту А по таблице, норма соблюдена [1, 22]. Сверка с источниками показывает: по смыслу это верно, но адрес нужно уточнить.</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 приложение № 11 к СанПиН 4282-26 (как и ранее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 норма для детских организованных коллективов, а для взрослых — допустимый ориентир, применяемый по аналогии (толкование). Свердловская область сделала эту аналогию нормой регионального уровня, указав в своём акте о нормах питания замену по приложению № 11 [1, 44].</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найденный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положений о замене продуктов для взрослых не содержит ни в редакции от 27.06.2022, ни в действующей с 01.01.2026 редакции постановления № 507; в действующей редакции примечание о замене по таблице приложения № 11 к СанПиН 2.3/2.4.3590-20 есть только в разделе норм для детей — и отсылает к санитарным правилам, утратившим силу с 01.09.2026 (п. 2.7) [33, 34].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этой редакции, положений о взаимозаменяемости продуктов для совершеннолетних также не найдено [45–47]. Там, где региональный акт молчит, таблицу замен вводит локальный акт: например,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[48]. Это локальная форма, а не норма, но она показывает: механизм, нужный вариативному меню, во многих учреждениях уже есть —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но этот подпункт адресован медицинским организациям [3].</w:t>
      </w:r>
    </w:p>
    <w:p>
      <w:pPr>
        <w:pStyle w:val="BodyText"/>
      </w:pPr>
      <w:r>
        <w:t xml:space="preserve">Вывод (толкование): механизм эквивалентной замены для взрослых в социальном обслуживании существует, но держится на документах рекомендательного характера, на аналогии с детским разделом санитарных правил и на региональных актах там, где они это предусмотрели. Директору отсюда следует практическое правило: таблица замен, которой пользуется учреждение, должна быть утверждена его локальным актом со ссылкой на источник — приложение № 7 к рекомендациям 2002 г., приложение № 11 к СанПиН 4282-26 или региональный акт. Голая ссылка «по СанПиН» во взрослом учреждении уязвима.</w:t>
      </w:r>
    </w:p>
    <w:bookmarkEnd w:id="41"/>
    <w:bookmarkStart w:id="47"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2"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Отсюда два правила (толкование по общему принципу действия акта во времени). Журналы, технологическая документация и программа производственного контроля, оформленные до 31.08.2026 по формам СанПиН 3590-20, законны в том виде, в каком они составлены; переоформлять их задним числом не требуется и вредно. С 01.09.2026 действуют формы и требования СанПиН 4282-26; документы, ссылающиеся на пункты утратившего силу акта, должны быть перепривязаны.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2"/>
    <w:bookmarkStart w:id="43"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 для доклада) [49] и по тексту СанПиН 4282-26 [3]. Изменения, внесённые в СанПиН 3590-20 постановлением от 22.08.2024 № 9, по официальному тексту не сверялись; поэтому строки ниже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Первая редакция этой таблицы, заполненная по нумерации из материалов семинара, показывала в левом столбце прочерки для бракеража, рекомендательных норм и трёх часов на раздаче. Сверка их снимает: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3"/>
    <w:bookmarkStart w:id="44" w:name="Xcbb45f275b84c07a7d2821b4de98ccb719cb262"/>
    <w:p>
      <w:pPr>
        <w:pStyle w:val="Heading3"/>
      </w:pPr>
      <w:r>
        <w:rPr>
          <w:rStyle w:val="SectionNumber"/>
        </w:rPr>
        <w:t xml:space="preserve">2.7.3</w:t>
      </w:r>
      <w:r>
        <w:tab/>
      </w:r>
      <w:r>
        <w:t xml:space="preserve">Подп. 11 п. 56: что осталось, что изменилось, риски</w:t>
      </w:r>
    </w:p>
    <w:p>
      <w:pPr>
        <w:pStyle w:val="FirstParagraph"/>
      </w:pPr>
      <w:r>
        <w:rPr>
          <w:b/>
          <w:bCs/>
        </w:rPr>
        <w:t xml:space="preserve">Осталось</w:t>
      </w:r>
      <w:r>
        <w:t xml:space="preserve"> </w:t>
      </w:r>
      <w:r>
        <w:t xml:space="preserve">(норма): кратность «не менее 3-х раз в день»; диетическое (лечебное) питание «по медицинским показаниям»;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49]. Ни старый, ни новый текст не говорит о выборе, числе вариантов или меню как документе соцобслуживания.</w:t>
      </w:r>
    </w:p>
    <w:p>
      <w:pPr>
        <w:pStyle w:val="BodyText"/>
      </w:pPr>
      <w:r>
        <w:rPr>
          <w:b/>
          <w:bCs/>
        </w:rPr>
        <w:t xml:space="preserve">Изменилось</w:t>
      </w:r>
      <w:r>
        <w:t xml:space="preserve"> </w:t>
      </w:r>
      <w:r>
        <w:t xml:space="preserve">(норма): номер (п. 7.1.11 → подп. 11 п. 56); реквизиты (постановление № 32 от 27.10.2020 → постановление № 18 от 02.06.2026); срок. По постановлению № 32 СанПиН 3590-20 должен был действовать с 01.01.2021 до 01.01.2027 [49]; постановление № 18 признало его утратившим силу раньше — с 01.09.2026, без переходного периода [3].</w:t>
      </w:r>
    </w:p>
    <w:p>
      <w:pPr>
        <w:pStyle w:val="BodyText"/>
      </w:pPr>
      <w:r>
        <w:rPr>
          <w:b/>
          <w:bCs/>
        </w:rPr>
        <w:t xml:space="preserve">Риски сентября — декабря 2026 г.</w:t>
      </w:r>
      <w:r>
        <w:t xml:space="preserve"> </w:t>
      </w:r>
      <w:r>
        <w:t xml:space="preserve">(толкование). Дата 01.01.2027 кочует по документам, подготовленным до июня 2026 г., в том числе по первой редакции обзора [1]. Из неё вырастают три ошибки:</w:t>
      </w:r>
    </w:p>
    <w:p>
      <w:pPr>
        <w:pStyle w:val="Compact"/>
        <w:numPr>
          <w:ilvl w:val="0"/>
          <w:numId w:val="1005"/>
        </w:numPr>
      </w:pPr>
      <w:r>
        <w:t xml:space="preserve">Локальный акт учреждения (положение о питании, приказ о бракеражной комиссии, программа производственного контроля) ссылается на «п. 7.1.11 СанПиН 3590-20» как на действующий. Содержание требования верно, ссылка — нет. Исправляется заменой реквизитов при очередном пересмотре; переписывать журналы, заполненные до 31.08.2026, не нужно.</w:t>
      </w:r>
    </w:p>
    <w:p>
      <w:pPr>
        <w:pStyle w:val="Compact"/>
        <w:numPr>
          <w:ilvl w:val="0"/>
          <w:numId w:val="1005"/>
        </w:numPr>
      </w:pPr>
      <w:r>
        <w:t xml:space="preserve">Договор с организатором питания (аутсорсинг) называет СанПиН 3590-20 обязательным требованием к исполнителю. Если договор не содержит оговорки «или акт, его заменяющий», это предмет дополнительного соглашения; в споре о качестве ссылка на утративший силу акт ослабляет позицию заказчика.</w:t>
      </w:r>
    </w:p>
    <w:p>
      <w:pPr>
        <w:pStyle w:val="Compact"/>
        <w:numPr>
          <w:ilvl w:val="0"/>
          <w:numId w:val="1005"/>
        </w:numPr>
      </w:pPr>
      <w:r>
        <w:t xml:space="preserve">Региональные акты, в преамбуле которых названы СанПиН 3590-20 (нормы Новосибирской области в редакции № 769-НПА, нормы Красноярского края № 607-п в редакции № 74-п, п. 3.9 и следующие гл. 3), формально не теряют силы: ссылка в преамбуле не делает региональную норму недействующей. Но при проверке ответ должен опираться на подп. 11 п. 56 СанПиН 4282-26, а не на преамбулу регионального акта.</w:t>
      </w:r>
    </w:p>
    <w:p>
      <w:pPr>
        <w:pStyle w:val="FirstParagraph"/>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4"/>
    <w:bookmarkStart w:id="45" w:name="что-новый-санпин-говорит-о-выборе"/>
    <w:p>
      <w:pPr>
        <w:pStyle w:val="Heading3"/>
      </w:pPr>
      <w:r>
        <w:rPr>
          <w:rStyle w:val="SectionNumber"/>
        </w:rPr>
        <w:t xml:space="preserve">2.7.4</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Для вариативного меню существенны четыре положения нового СанПиН.</w:t>
      </w:r>
    </w:p>
    <w:p>
      <w:pPr>
        <w:pStyle w:val="Compact"/>
        <w:numPr>
          <w:ilvl w:val="0"/>
          <w:numId w:val="1006"/>
        </w:numPr>
      </w:pP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 нарушение, как бы хорош он ни был.</w:t>
      </w:r>
    </w:p>
    <w:p>
      <w:pPr>
        <w:pStyle w:val="Compact"/>
        <w:numPr>
          <w:ilvl w:val="0"/>
          <w:numId w:val="1006"/>
        </w:numPr>
      </w:pPr>
      <w:r>
        <w:rPr>
          <w:b/>
          <w:bCs/>
        </w:rPr>
        <w:t xml:space="preserve">Три часа на раздаче</w:t>
      </w:r>
      <w:r>
        <w:t xml:space="preserve"> </w:t>
      </w:r>
      <w:r>
        <w:t xml:space="preserve">(п. 32). Ограничение касается блюд, требующих разогревания перед употреблением, и считается с момента изготовления. Для варианта, приготовленного «с запасом» в ожидании спроса, это прямой предел. Остатки нельзя реализовать на следующий день и нельзя заморозить для последующей реализации.</w:t>
      </w:r>
    </w:p>
    <w:p>
      <w:pPr>
        <w:pStyle w:val="Compact"/>
        <w:numPr>
          <w:ilvl w:val="0"/>
          <w:numId w:val="1006"/>
        </w:numPr>
      </w:pP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Compact"/>
        <w:numPr>
          <w:ilvl w:val="0"/>
          <w:numId w:val="1006"/>
        </w:numPr>
      </w:pP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 для случая готовых блюд от стороннего предприятия.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которое проверяющий будет ожидать (толкование; вопрос стоит уточнить у территориального органа Роспотребнадзора).</w:t>
      </w:r>
    </w:p>
    <w:p>
      <w:pPr>
        <w:pStyle w:val="FirstParagraph"/>
      </w:pPr>
      <w:r>
        <w:t xml:space="preserve">Отдельно о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 нет, но их соблюдение проверяет не Роспотребнадзор, а государственный контроль в сфере социального обслуживания: для организаций субъекта — Роструд, для негосударственных поставщиков — орган субъекта (п. 8.3–8.4; толкование). Вопрос «почему сегодня два вторых» поэтому не относится к предмету санитарного надзора; вопросы «где ТТК на второе Б», «где проба» и «сколько часов оно стоит на линии» — относятся.</w:t>
      </w:r>
    </w:p>
    <w:bookmarkEnd w:id="45"/>
    <w:bookmarkStart w:id="46" w:name="подп.-5-п.-56-кто-раздаёт-пищу"/>
    <w:p>
      <w:pPr>
        <w:pStyle w:val="Heading3"/>
      </w:pPr>
      <w:r>
        <w:rPr>
          <w:rStyle w:val="SectionNumber"/>
        </w:rPr>
        <w:t xml:space="preserve">2.7.5</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Для организаций социального обслуживания прямого аналога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разобрано в п. 7.5).</w:t>
      </w:r>
    </w:p>
    <w:bookmarkEnd w:id="46"/>
    <w:bookmarkEnd w:id="47"/>
    <w:bookmarkStart w:id="48"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Как это сделать, санитарные правила не говорят. Номенклатура стандартных диет и порядок лечебного питания установлены актами Минздрава России для медицинских организаций: приказ от 05.08.2003 № 330 (с изменениями, последнее — приказ от 19.02.2024 № 70н), приказ от 21.06.2013 № 395н «Об утверждении норм лечебного питания», приказ от 23.09.2020 № 1008н «Об утверждении порядка обеспечения пациентов лечебным питанием» [3, сноски 13 и 23; 50–52].</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назвала это «недостаточной связностью социального и медицинского регулирования» [1], и формулировка точна. Правило для вариативного меню (толкование): кухня не назначает и не отменяет диету, житель с назначенной диетой выбирает внутри неё. Какие диеты и консистенции кому назначать, доклад не рассматривает —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[53]. Для социального учреждения это ориентир организации медицинской части, а не норма кухни.</w:t>
      </w:r>
    </w:p>
    <w:bookmarkEnd w:id="48"/>
    <w:bookmarkStart w:id="49"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перечисленному добавляется Закон № 3185-1 [26]:</w:t>
      </w:r>
    </w:p>
    <w:p>
      <w:pPr>
        <w:pStyle w:val="Compact"/>
        <w:numPr>
          <w:ilvl w:val="0"/>
          <w:numId w:val="1007"/>
        </w:numPr>
      </w:pPr>
      <w:r>
        <w:t xml:space="preserve">ст. 5 ч. 2 —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(общая гарантия; материалы семинара выводят из неё недопустимость лишения еды как меры воздействия [23] —</w:t>
      </w:r>
      <w:r>
        <w:t xml:space="preserve"> </w:t>
      </w:r>
      <w:r>
        <w:rPr>
          <w:b/>
          <w:bCs/>
        </w:rPr>
        <w:t xml:space="preserve">толкование</w:t>
      </w:r>
      <w:r>
        <w:t xml:space="preserve">);</w:t>
      </w:r>
    </w:p>
    <w:p>
      <w:pPr>
        <w:pStyle w:val="Compact"/>
        <w:numPr>
          <w:ilvl w:val="0"/>
          <w:numId w:val="1007"/>
        </w:numPr>
      </w:pPr>
      <w:r>
        <w:t xml:space="preserve">ст. 37 ч. 2 в силу ст. 43 — право исполнять религиозные обряды и соблюдать религиозные каноны, в том числе пост, если это не нарушает внутренний распорядок —</w:t>
      </w:r>
      <w:r>
        <w:t xml:space="preserve"> </w:t>
      </w:r>
      <w:r>
        <w:rPr>
          <w:b/>
          <w:bCs/>
        </w:rPr>
        <w:t xml:space="preserve">норма</w:t>
      </w:r>
      <w:r>
        <w:t xml:space="preserve">;</w:t>
      </w:r>
    </w:p>
    <w:p>
      <w:pPr>
        <w:pStyle w:val="Compact"/>
        <w:numPr>
          <w:ilvl w:val="0"/>
          <w:numId w:val="1007"/>
        </w:numPr>
      </w:pPr>
      <w:r>
        <w:t xml:space="preserve">ст. 37 ч. 3 — временные ограничения прав, в том числе на получение посылок и на приобретение предметов первой необходимости, допускаются решением заведующего отделением или главного врача по рекомендации лечащего врача; порядок устанавливается Правительством РФ —</w:t>
      </w:r>
      <w:r>
        <w:t xml:space="preserve"> </w:t>
      </w:r>
      <w:r>
        <w:rPr>
          <w:b/>
          <w:bCs/>
        </w:rPr>
        <w:t xml:space="preserve">норма</w:t>
      </w:r>
      <w:r>
        <w:t xml:space="preserve"> </w:t>
      </w:r>
      <w:r>
        <w:t xml:space="preserve">(применимость ч. 3 к жителям ПНИ сомнительна, поскольку ст. 43 отсылает только к ч. 2 и 4 ст. 37; это</w:t>
      </w:r>
      <w:r>
        <w:t xml:space="preserve"> </w:t>
      </w:r>
      <w:r>
        <w:rPr>
          <w:b/>
          <w:bCs/>
        </w:rPr>
        <w:t xml:space="preserve">толкование</w:t>
      </w:r>
      <w:r>
        <w:t xml:space="preserve">).</w:t>
      </w:r>
    </w:p>
    <w:p>
      <w:pPr>
        <w:pStyle w:val="FirstParagraph"/>
      </w:pPr>
      <w:r>
        <w:t xml:space="preserve">Последний пункт касается продуктовых передач. Перечни продуктов, «запрещённых к передаче» в ПНИ, которые публикуют учреждения [54], — локальные формы.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Для поста следствие прямое: постный вариант блюда — не «вариативность по желанию кухни», а условие осуществления права, закреплённого законом. Если житель имеет медицинские назначения, соблюдение поста согласуется с врачом; отказ от поста — такое же право в любой день.</w:t>
      </w:r>
    </w:p>
    <w:bookmarkEnd w:id="49"/>
    <w:bookmarkStart w:id="50" w:name="закупки-44-фз-и-223-фз"/>
    <w:p>
      <w:pPr>
        <w:pStyle w:val="Heading2"/>
      </w:pPr>
      <w:r>
        <w:rPr>
          <w:rStyle w:val="SectionNumber"/>
        </w:rPr>
        <w:t xml:space="preserve">2.10</w:t>
      </w:r>
      <w:r>
        <w:tab/>
      </w:r>
      <w:r>
        <w:t xml:space="preserve">Закупки: 44-ФЗ и 223-ФЗ</w:t>
      </w:r>
    </w:p>
    <w:p>
      <w:pPr>
        <w:pStyle w:val="FirstParagraph"/>
      </w:pPr>
      <w:r>
        <w:t xml:space="preserve">Питание зависит от закупки сильнее, чем от рецептуры: спецификация решает, окажется ли на складе второй продукт группы. Государственное бюджетное учреждение закупает по 44-ФЗ [55]. Автономное учреждение относится к заказчикам по 223-ФЗ (п. 1 ч. 2 ст. 1 223-ФЗ) и закупает по своему положению о закупке; при неразмещении положения применяется 44-ФЗ [56]. Положения 44-ФЗ распространяются на закупки автономного учреждения за счёт субсидий на капитальные вложения (ч. 4 ст. 15 44-ФЗ) [55]. Применимость 44-ФЗ к закупкам автономного учреждения за счёт субсидии на выполнение государственного задания — предмет многолетнего спора; Минфин России разъяснял порядок использования автономными учреждениями бюджетных средств в письме от 29.12.2014 № 02-02-08/68298 [57]. В 2025–2026 гг. спор получил судебную иллюстрацию, которую отраслевая печать пересказывает шире, чем она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[58]. Мотив суда —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223-ФЗ применим, «когда закупка осуществляется для нужд самих поименованных в данном законе юридических лиц, в том числе автономных учреждений» [58]. Ход дела по тексту постановления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[58].</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и подаёт это как «окончательную точку» в споре, называя ключевым критерием источник финансирования [59].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[58, 59]. Под тем же номером 303-ЭС25-15393 в открытой базе судебных актов найдено только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[60]; определения по существу жалобы в открытых источниках найти не удалось, и цитата из него в блоге не проверяема. Факт и дату отказа подтверждает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[61]. Обзор пересказывает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[61]. Это пересказ обозревателя, а не текст определения; попытки найти само определение в октябре 2026 г. (база судебных актов, сайт Верховного Суда, веб-архив) результата не дали.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44-ФЗ обязателен, когда учреждению поручена реализация полномочий органа власти в интересах неограниченного круга лиц [62].</w:t>
      </w:r>
    </w:p>
    <w:p>
      <w:pPr>
        <w:pStyle w:val="BodyText"/>
      </w:pPr>
      <w:r>
        <w:t xml:space="preserve">Для стационарной организации социального обслуживания это различие решает дело (толкование). Продукты для жителей закупаются, чтобы оказать социальную услугу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оно не заменяет правовой экспертизы учредителя и не опирается на определение Верховного Суда по существу жалобы, текст которого не найден; известный по вторичному пересказу итог (отказ в передаче жалобы) [61] этому толкованию не противоречит.</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 последнего — извещение № 0372200070825000244 от 24.11.2025 об открытом конкурсе на поставку продуктов питания [63]. Сравнение закупочных решений для вариативного меню — в п. 7.7.</w:t>
      </w:r>
    </w:p>
    <w:bookmarkEnd w:id="50"/>
    <w:bookmarkStart w:id="51"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[64]. Первая редакция обзора называет ст. 6.3 [1], доклад «Не просто накормить» — ст. 6.6 [22]. Противоречия здесь нет — это соотношение общей и специальной нормы: для нарушений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[65]. Верховный Суд РФ в постановлении от 21.02.2019 № 11-АД19-4 переквалифицировал нарушение с ст. 6.6 на ст. 6.7 КоАП применительно к организации, где специальной была норма об условиях воспитания и обучения [66]; выбор состава зависит от вида организации.</w:t>
      </w:r>
    </w:p>
    <w:p>
      <w:pPr>
        <w:pStyle w:val="BodyText"/>
      </w:pPr>
      <w:r>
        <w:rPr>
          <w:b/>
          <w:bCs/>
        </w:rPr>
        <w:t xml:space="preserve">Антимонопольная.</w:t>
      </w:r>
      <w:r>
        <w:t xml:space="preserve"> </w:t>
      </w:r>
      <w:r>
        <w:t xml:space="preserve">Сырьё для социальных учреждений — сфера с публичными картельными делами: ФАС России в 2024 г. сообщила о картеле на 543 торгах поставки социально значимых продуктов на сумму 4,7 млрд руб. [67]; УФАС по Челябинской области в 2025 г. — о картеле на 27 тендерах школьного питания со штрафом 5,1 млн руб. [68]. Вывод для вариативного меню узок: избыточно детализированная спецификация, написанная «под второе блюдо», сама может ограничить конкуренцию; спецификация строится по группам продуктов, а не по поставщику (толкование).</w:t>
      </w:r>
    </w:p>
    <w:bookmarkEnd w:id="51"/>
    <w:bookmarkStart w:id="52" w:name="итог-по-федеральному-уровню"/>
    <w:p>
      <w:pPr>
        <w:pStyle w:val="Heading2"/>
      </w:pPr>
      <w:r>
        <w:rPr>
          <w:rStyle w:val="SectionNumber"/>
        </w:rPr>
        <w:t xml:space="preserve">2.12</w:t>
      </w:r>
      <w:r>
        <w:tab/>
      </w:r>
      <w:r>
        <w:t xml:space="preserve">Итог по федеральному уровню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2"/>
    <w:bookmarkEnd w:id="53"/>
    <w:bookmarkStart w:id="74" w:name="региональные-нормы-питания"/>
    <w:p>
      <w:pPr>
        <w:pStyle w:val="Heading1"/>
      </w:pPr>
      <w:r>
        <w:rPr>
          <w:rStyle w:val="SectionNumber"/>
        </w:rPr>
        <w:t xml:space="preserve">3</w:t>
      </w:r>
      <w:r>
        <w:tab/>
      </w:r>
      <w:r>
        <w:t xml:space="preserve">Региональные нормы питания</w:t>
      </w:r>
    </w:p>
    <w:bookmarkStart w:id="54"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живёт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нашей темы главный уровень — нормы питания: они определяют, из чего кухня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и Нижегородской областей, Красноярского края, Ленинградской области и ХМАО — Югры, а для Москвы — по открытой части приказа № 228 [33, 45–47, 69–71]; для остальных субъектов он взят из первой редакции. Вариативное меню в России, следовательно, везде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классификацию норм по степени дифференциации: «многовариантная» (наборы различаются по типу учреждения и по состоянию здоровья, пример — Санкт-Петербург), «типовая» (только по типу учреждения, пример — Псковская область) и «укрупнённая» (единый набор с оговорками о замене по медицинским показаниям) [1]. Классификация полезна, но вывод, который из неё делали, — «чем богаче нормативный ассортимент, тем шире легальное пространство выбора» — требует поправки. Дифференциация по диагнозам расширяет пространство персонализации, а не выбора: житель с диабетом получает другой набор, но не получает права выбирать между наборами. Пространство выбора создаёт другое свойство нормы: позиции сформулированы группами продуктов, а не конкретными продуктами (толкование, см. п. 2.5).</w:t>
      </w:r>
    </w:p>
    <w:bookmarkEnd w:id="54"/>
    <w:bookmarkStart w:id="60"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5"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от 27.06.2022 № 561 и от 18.07.2025 № 507 [33, 34, 72]. Постановлением № 929 приложение изложено в новой редакции с 01.01.2020 [72]; постановлением № 561 изменены, в частности, нормы по крупам и мясу [33].</w:t>
      </w:r>
    </w:p>
    <w:p>
      <w:pPr>
        <w:pStyle w:val="BodyText"/>
      </w:pPr>
      <w:r>
        <w:rPr>
          <w:b/>
          <w:bCs/>
        </w:rPr>
        <w:t xml:space="preserve">Действующая редакция — с 01.01.2026.</w:t>
      </w:r>
      <w:r>
        <w:t xml:space="preserve"> </w:t>
      </w:r>
      <w:r>
        <w:t xml:space="preserve">Постановлением от 18.07.2025 № 507 приложение к постановлению № 1284 изложено в новой редакции; изменения вступили в силу с 1 января 2026 г. (п. 1.2 и п. 2 постановления № 507; официальное опубликование на портале правовой информации 24.07.2025) [34]. В первой и второй редакциях обзора нормы Санкт-Петербурга приводились по редакции от 27.06.2022 № 561 [33]; она действовала до 31.12.2025 и ниже упоминается как историческая. Все граммы в этом разделе, в сценариях гл. 7 и в прил. Б приведены по действующей редакции, кроме случаев, когда прямо названа редакция 2022 г.</w:t>
      </w:r>
    </w:p>
    <w:p>
      <w:pPr>
        <w:pStyle w:val="BodyText"/>
      </w:pPr>
      <w:r>
        <w:t xml:space="preserve">Приложение в действующей редакции состоит из восьми самостоятельных норм [34]:</w:t>
      </w:r>
    </w:p>
    <w:p>
      <w:pPr>
        <w:pStyle w:val="Compact"/>
        <w:numPr>
          <w:ilvl w:val="0"/>
          <w:numId w:val="1008"/>
        </w:numPr>
      </w:pPr>
      <w:r>
        <w:t xml:space="preserve">нормы питания в стационарной форме для получателей 18 лет и старше — в четырёх парах столбцов (брутто и нетто): организации, кроме ПНИ и ДСО; ПНИ и ДСО; лица с сахарным диабетом; лица с заболеваниями желудочно-кишечного тракта;</w:t>
      </w:r>
    </w:p>
    <w:p>
      <w:pPr>
        <w:pStyle w:val="Compact"/>
        <w:numPr>
          <w:ilvl w:val="0"/>
          <w:numId w:val="1008"/>
        </w:numPr>
      </w:pPr>
      <w:r>
        <w:t xml:space="preserve">такие же нормы</w:t>
      </w:r>
      <w:r>
        <w:t xml:space="preserve"> </w:t>
      </w:r>
      <w:r>
        <w:rPr>
          <w:b/>
          <w:bCs/>
        </w:rPr>
        <w:t xml:space="preserve">без смеси белковой композитной сухой</w:t>
      </w:r>
      <w:r>
        <w:t xml:space="preserve"> </w:t>
      </w:r>
      <w:r>
        <w:t xml:space="preserve">— теперь в двух парах столбцов: для организаций, кроме ПНИ и ДСО, и для ПНИ и ДСО (в редакции 2022 г. такая таблица была только для ПНИ [33]);</w:t>
      </w:r>
    </w:p>
    <w:p>
      <w:pPr>
        <w:pStyle w:val="Compact"/>
        <w:numPr>
          <w:ilvl w:val="0"/>
          <w:numId w:val="1008"/>
        </w:numPr>
      </w:pPr>
      <w:r>
        <w:t xml:space="preserve">нормы питания беременных женщин и кормящих матерей;</w:t>
      </w:r>
    </w:p>
    <w:p>
      <w:pPr>
        <w:pStyle w:val="Compact"/>
        <w:numPr>
          <w:ilvl w:val="0"/>
          <w:numId w:val="1008"/>
        </w:numPr>
      </w:pPr>
      <w:r>
        <w:t xml:space="preserve">нормы питания детей первого года жизни, проживающих с матерями;</w:t>
      </w:r>
    </w:p>
    <w:p>
      <w:pPr>
        <w:pStyle w:val="Compact"/>
        <w:numPr>
          <w:ilvl w:val="0"/>
          <w:numId w:val="1008"/>
        </w:numPr>
      </w:pPr>
      <w:r>
        <w:t xml:space="preserve">нормы питания детей от 1 года до 18 лет и лиц из числа детей-сирот от 18 до 23 лет (с примечанием о допустимости замены продуктов по таблице замены приложения № 11 к СанПиН 2.3/2.4.3590-20 — это примечание относится к детскому разделу);</w:t>
      </w:r>
    </w:p>
    <w:p>
      <w:pPr>
        <w:pStyle w:val="Compact"/>
        <w:numPr>
          <w:ilvl w:val="0"/>
          <w:numId w:val="1008"/>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Compact"/>
        <w:numPr>
          <w:ilvl w:val="0"/>
          <w:numId w:val="1008"/>
        </w:numPr>
      </w:pPr>
      <w:r>
        <w:t xml:space="preserve">и 8. нормы питания в полустационарной форме с пребыванием свыше четырёх часов — для взрослых и для детей (в нетто).</w:t>
      </w:r>
    </w:p>
    <w:p>
      <w:pPr>
        <w:pStyle w:val="FirstParagraph"/>
      </w:pPr>
      <w:r>
        <w:t xml:space="preserve">Смесь белковая композитная сухая (27 г) и витаминно-минеральные комплексы (50–100 % физиологической нормы) в действующей редакции отмечены сноской «по медицинским показаниям» [34]. В редакции 2022 г. СБКС входила в общую норму без такой оговорки, а витамины давались по схеме «1 драже 3 раза в неделю» [33].</w:t>
      </w:r>
    </w:p>
    <w:bookmarkEnd w:id="55"/>
    <w:bookmarkStart w:id="56" w:name="что-изменилось-с-01.01.2026"/>
    <w:p>
      <w:pPr>
        <w:pStyle w:val="Heading3"/>
      </w:pPr>
      <w:r>
        <w:rPr>
          <w:rStyle w:val="SectionNumber"/>
        </w:rPr>
        <w:t xml:space="preserve">3.2.2</w:t>
      </w:r>
      <w:r>
        <w:tab/>
      </w:r>
      <w:r>
        <w:t xml:space="preserve">Что изменилось с 01.01.2026</w:t>
      </w:r>
    </w:p>
    <w:p>
      <w:pPr>
        <w:pStyle w:val="FirstParagraph"/>
      </w:pPr>
      <w:r>
        <w:t xml:space="preserve">Главное изменение касается столбца «организации, кроме ПНИ и ДСО», то есть домов-интернатов общего типа и других стационаров, кроме ПНИ и ДСО. Он фактически переписан по образцу федеральной рекомендации (приказ № 520н): нетто-значения совпадают с ней по всем сопоставленным позициям, кроме сахара и кондитерских изделий (в Санкт-Петербурге 50 + 15 г, в приказе № 520н 50 г вместе) [32, 34]. Столбец «ПНИ и ДСО» почти не изменился: те же граммы по хлебу, крупам, мясу, птице, рыбе, творогу и молочным продуктам; изменились нормы по яйцу (½ шт. в сутки вместо 4 шт. в неделю), по витаминам и по отметке о медицинских показаниях для СБКС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кроме ПНИ и ДСО, с 2026 г. [34]</w:t>
            </w:r>
          </w:p>
        </w:tc>
        <w:tc>
          <w:tcPr/>
          <w:p>
            <w:pPr>
              <w:pStyle w:val="Compact"/>
            </w:pPr>
            <w:r>
              <w:t xml:space="preserve">СПб, кроме ПНИ, ред. 2022 г. [33]</w:t>
            </w:r>
          </w:p>
        </w:tc>
        <w:tc>
          <w:tcPr/>
          <w:p>
            <w:pPr>
              <w:pStyle w:val="Compact"/>
            </w:pPr>
            <w:r>
              <w:t xml:space="preserve">СПб, ПНИ и ДСО, с 2026 г. [34]</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(свежие, солёные, зелень, консервированные — сумма строк)¹</w:t>
            </w:r>
          </w:p>
        </w:tc>
        <w:tc>
          <w:tcPr/>
          <w:p>
            <w:pPr>
              <w:pStyle w:val="Compact"/>
            </w:pPr>
            <w:r>
              <w:t xml:space="preserve">394,5</w:t>
            </w:r>
          </w:p>
        </w:tc>
        <w:tc>
          <w:tcPr/>
          <w:p>
            <w:pPr>
              <w:pStyle w:val="Compact"/>
            </w:pPr>
            <w:r>
              <w:t xml:space="preserve">394,5</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Сухофрукты и шиповник</w:t>
            </w:r>
          </w:p>
        </w:tc>
        <w:tc>
          <w:tcPr/>
          <w:p>
            <w:pPr>
              <w:pStyle w:val="Compact"/>
            </w:pPr>
            <w:r>
              <w:t xml:space="preserve">20 + 15</w:t>
            </w:r>
          </w:p>
        </w:tc>
        <w:tc>
          <w:tcPr/>
          <w:p>
            <w:pPr>
              <w:pStyle w:val="Compact"/>
            </w:pPr>
            <w:r>
              <w:t xml:space="preserve">20 + 15</w:t>
            </w:r>
          </w:p>
        </w:tc>
        <w:tc>
          <w:tcPr/>
          <w:p>
            <w:pPr>
              <w:pStyle w:val="Compact"/>
            </w:pPr>
            <w:r>
              <w:t xml:space="preserve">10</w:t>
            </w:r>
          </w:p>
        </w:tc>
        <w:tc>
          <w:tcPr/>
          <w:p>
            <w:pPr>
              <w:pStyle w:val="Compact"/>
            </w:pPr>
            <w:r>
              <w:t xml:space="preserve">11 + 5</w:t>
            </w:r>
          </w:p>
        </w:tc>
      </w:tr>
      <w:tr>
        <w:tc>
          <w:tcPr/>
          <w:p>
            <w:pPr>
              <w:pStyle w:val="Compact"/>
            </w:pPr>
            <w:r>
              <w:t xml:space="preserve">Соки</w:t>
            </w:r>
          </w:p>
        </w:tc>
        <w:tc>
          <w:tcPr/>
          <w:p>
            <w:pPr>
              <w:pStyle w:val="Compact"/>
            </w:pPr>
            <w:r>
              <w:t xml:space="preserve">100 мл</w:t>
            </w:r>
          </w:p>
        </w:tc>
        <w:tc>
          <w:tcPr/>
          <w:p>
            <w:pPr>
              <w:pStyle w:val="Compact"/>
            </w:pPr>
            <w:r>
              <w:t xml:space="preserve">100</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w:t>
            </w:r>
          </w:p>
        </w:tc>
        <w:tc>
          <w:tcPr/>
          <w:p>
            <w:pPr>
              <w:pStyle w:val="Compact"/>
            </w:pPr>
            <w:r>
              <w:t xml:space="preserve">32,5</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w:t>
            </w:r>
          </w:p>
        </w:tc>
        <w:tc>
          <w:tcPr/>
          <w:p>
            <w:pPr>
              <w:pStyle w:val="Compact"/>
            </w:pPr>
            <w:r>
              <w:t xml:space="preserve">½ шт./сут</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121</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50 + 15</w:t>
            </w:r>
          </w:p>
        </w:tc>
        <w:tc>
          <w:tcPr/>
          <w:p>
            <w:pPr>
              <w:pStyle w:val="Compact"/>
            </w:pPr>
            <w:r>
              <w:t xml:space="preserve">57 + 15</w:t>
            </w:r>
          </w:p>
        </w:tc>
        <w:tc>
          <w:tcPr/>
          <w:p>
            <w:pPr>
              <w:pStyle w:val="Compact"/>
            </w:pPr>
            <w:r>
              <w:t xml:space="preserve">57 + 15</w:t>
            </w:r>
          </w:p>
        </w:tc>
      </w:tr>
      <w:tr>
        <w:tc>
          <w:tcPr/>
          <w:p>
            <w:pPr>
              <w:pStyle w:val="Compact"/>
            </w:pPr>
            <w:r>
              <w:t xml:space="preserve">Соль</w:t>
            </w:r>
          </w:p>
        </w:tc>
        <w:tc>
          <w:tcPr/>
          <w:p>
            <w:pPr>
              <w:pStyle w:val="Compact"/>
            </w:pPr>
            <w:r>
              <w:t xml:space="preserve">8</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 показаниям</w:t>
            </w:r>
          </w:p>
        </w:tc>
        <w:tc>
          <w:tcPr/>
          <w:p>
            <w:pPr>
              <w:pStyle w:val="Compact"/>
            </w:pPr>
            <w:r>
              <w:t xml:space="preserve">27 — по мед. показаниям</w:t>
            </w:r>
          </w:p>
        </w:tc>
        <w:tc>
          <w:tcPr/>
          <w:p>
            <w:pPr>
              <w:pStyle w:val="Compact"/>
            </w:pPr>
            <w:r>
              <w:t xml:space="preserve">27 — в общей норме</w:t>
            </w:r>
          </w:p>
        </w:tc>
        <w:tc>
          <w:tcPr/>
          <w:p>
            <w:pPr>
              <w:pStyle w:val="Compact"/>
            </w:pPr>
            <w:r>
              <w:t xml:space="preserve">27 — по мед. показаниям</w:t>
            </w:r>
          </w:p>
        </w:tc>
      </w:tr>
      <w:tr>
        <w:tc>
          <w:tcPr/>
          <w:p>
            <w:pPr>
              <w:pStyle w:val="Compact"/>
            </w:pPr>
            <w:r>
              <w:t xml:space="preserve">Витаминно-минеральные комплексы</w:t>
            </w:r>
          </w:p>
        </w:tc>
        <w:tc>
          <w:tcPr/>
          <w:p>
            <w:pPr>
              <w:pStyle w:val="Compact"/>
            </w:pPr>
            <w:r>
              <w:t xml:space="preserve">50–100 % — по мед. показаниям</w:t>
            </w:r>
          </w:p>
        </w:tc>
        <w:tc>
          <w:tcPr/>
          <w:p>
            <w:pPr>
              <w:pStyle w:val="Compact"/>
            </w:pPr>
            <w:r>
              <w:t xml:space="preserve">50–100 % — по мед. показаниям</w:t>
            </w:r>
          </w:p>
        </w:tc>
        <w:tc>
          <w:tcPr/>
          <w:p>
            <w:pPr>
              <w:pStyle w:val="Compact"/>
            </w:pPr>
            <w:r>
              <w:t xml:space="preserve">1 драже 3 раза в неделю</w:t>
            </w:r>
          </w:p>
        </w:tc>
        <w:tc>
          <w:tcPr/>
          <w:p>
            <w:pPr>
              <w:pStyle w:val="Compact"/>
            </w:pPr>
            <w:r>
              <w:t xml:space="preserve">50–100 % — по мед. показаниям</w:t>
            </w:r>
          </w:p>
        </w:tc>
      </w:tr>
    </w:tbl>
    <w:p>
      <w:pPr>
        <w:pStyle w:val="BodyText"/>
      </w:pPr>
      <w:r>
        <w:t xml:space="preserve">¹ Сумма строк: овощи свежие 340 + солёные и маринованные 15 + зелень 14,8 + консервированные 24,7 (для ПНИ и ДСО — 325,5 + 15 + 14,8 + 24,7); иллюстративная арифметика автора. В редакции 2022 г. эти продукты были одной строкой [33].</w:t>
      </w:r>
    </w:p>
    <w:p>
      <w:pPr>
        <w:pStyle w:val="BodyText"/>
      </w:pPr>
      <w:r>
        <w:t xml:space="preserve">Сопоставление даёт три наблюдения.</w:t>
      </w:r>
    </w:p>
    <w:p>
      <w:pPr>
        <w:pStyle w:val="BodyText"/>
      </w:pPr>
      <w:r>
        <w:t xml:space="preserve">Первое. Для домов-интернатов общего типа запас петербургской нормы в белковых позициях, на который опирались первые редакции обзора (птица 40 г, творог 40 г, кисломолочные 200 г, рыба 41,8 г), с 01.01.2026 исчез: норма стала равна федеральной рекомендации (птица 22,2 г, творог 20 г, кисломолочные 121 г, рыба 32,5 г). Выросли картофель, овощи, соки и хлеб пшеничный [33, 34]. Пары «мясо — птица — рыба» в этих учреждениях теперь приходится балансировать на меньших объёмах (сценарии 1 и 11 гл. 7 пересчитаны). В ПНИ и ДСО белковые позиции прежние, и запас относительно федеральной рекомендации сохраняется (птица 36,5 против 22,2 г, рыба 46,7 против 32,5 г, творог 50 против 20 г) (толкование).</w:t>
      </w:r>
    </w:p>
    <w:p>
      <w:pPr>
        <w:pStyle w:val="BodyText"/>
      </w:pPr>
      <w:r>
        <w:t xml:space="preserve">Второе. Специализированные продукты (СБКС и витаминно-минеральные комплексы) с 2026 г. и в Санкт-Петербурге даются по медицинским показаниям, как в федеральной рекомендации [32, 34]. Вопрос, который первая и вторая редакции обзора ставили по редакции 2022 г. («вводить смесь в блюда всем или выдавать по назначению»), действующая норма решила в пользу назначения. Решение принимает врач, а не кухня, и в меню выбора СБКС не участвует.</w:t>
      </w:r>
    </w:p>
    <w:p>
      <w:pPr>
        <w:pStyle w:val="BodyText"/>
      </w:pPr>
      <w:r>
        <w:t xml:space="preserve">Третье. Группы стали уже: в действующей редакции «овощи свежие», «овощи солёные и маринованные», «зелень» и «овощи консервированные» — отдельные строки; «сухофрукты» и «шиповник» — тоже; мясо названо одной строкой «Мясо» [34]. Внутри строки свобода выбора конкретного продукта сохраняется: две каши из одной строки «крупы, бобовые», котлета или тефтели из одной строки «мясо». Пары между строками (мясо — рыба, картофель — крупа) требуют пересчёта по таблице замен. Для взрослых в постановлении № 1284 её по-прежнему нет; отсылка к таблице замены СанПиН есть только в детском разделе (п. 2.6) [34].</w:t>
      </w:r>
    </w:p>
    <w:bookmarkEnd w:id="56"/>
    <w:bookmarkStart w:id="57" w:name="две-нормы-с-сбкс-и-без"/>
    <w:p>
      <w:pPr>
        <w:pStyle w:val="Heading3"/>
      </w:pPr>
      <w:r>
        <w:rPr>
          <w:rStyle w:val="SectionNumber"/>
        </w:rPr>
        <w:t xml:space="preserve">3.2.3</w:t>
      </w:r>
      <w:r>
        <w:tab/>
      </w:r>
      <w:r>
        <w:t xml:space="preserve">Две нормы: с СБКС и без</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В постановлении есть вторая, самостоятельная норма — без СБКС (таблица 2). С 2026 г. такая пара есть не только для ПНИ и ДСО, но и для остальных организаций [34]. Сравнение показывает, чем региональный нормотворец «заменяет» 27 г белковой смеси. Для ПНИ и ДСО значения не изменились по сравнению с редакцией 2022 г.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w:t>
            </w:r>
          </w:p>
        </w:tc>
        <w:tc>
          <w:tcPr/>
          <w:p>
            <w:pPr>
              <w:pStyle w:val="Compact"/>
            </w:pPr>
            <w:r>
              <w:t xml:space="preserve">ПНИ и ДСО, табл. 1 (с СБКС 27 г)</w:t>
            </w:r>
          </w:p>
        </w:tc>
        <w:tc>
          <w:tcPr/>
          <w:p>
            <w:pPr>
              <w:pStyle w:val="Compact"/>
            </w:pPr>
            <w:r>
              <w:t xml:space="preserve">ПНИ и ДСО, табл. 2 (без СБКС)</w:t>
            </w:r>
          </w:p>
        </w:tc>
        <w:tc>
          <w:tcPr/>
          <w:p>
            <w:pPr>
              <w:pStyle w:val="Compact"/>
            </w:pPr>
            <w:r>
              <w:t xml:space="preserve">Разница</w:t>
            </w:r>
          </w:p>
        </w:tc>
        <w:tc>
          <w:tcPr/>
          <w:p>
            <w:pPr>
              <w:pStyle w:val="Compact"/>
            </w:pPr>
            <w:r>
              <w:t xml:space="preserve">Кроме ПНИ и ДСО, табл. 1 → табл. 2 (с 2026 г.)</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c>
          <w:tcPr/>
          <w:p>
            <w:pPr>
              <w:pStyle w:val="Compact"/>
            </w:pPr>
            <w:r>
              <w:t xml:space="preserve">150 → 200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c>
          <w:tcPr/>
          <w:p>
            <w:pPr>
              <w:pStyle w:val="Compact"/>
            </w:pPr>
            <w:r>
              <w:t xml:space="preserve">150 → 200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c>
          <w:tcPr/>
          <w:p>
            <w:pPr>
              <w:pStyle w:val="Compact"/>
            </w:pPr>
            <w:r>
              <w:t xml:space="preserve">80 → 112,9</w:t>
            </w:r>
          </w:p>
        </w:tc>
      </w:tr>
      <w:tr>
        <w:tc>
          <w:tcPr/>
          <w:p>
            <w:pPr>
              <w:pStyle w:val="Compact"/>
            </w:pPr>
            <w:r>
              <w:t xml:space="preserve">Мясо</w:t>
            </w:r>
          </w:p>
        </w:tc>
        <w:tc>
          <w:tcPr/>
          <w:p>
            <w:pPr>
              <w:pStyle w:val="Compact"/>
            </w:pPr>
            <w:r>
              <w:t xml:space="preserve">70,5</w:t>
            </w:r>
          </w:p>
        </w:tc>
        <w:tc>
          <w:tcPr/>
          <w:p>
            <w:pPr>
              <w:pStyle w:val="Compact"/>
            </w:pPr>
            <w:r>
              <w:t xml:space="preserve">85,2</w:t>
            </w:r>
          </w:p>
        </w:tc>
        <w:tc>
          <w:tcPr/>
          <w:p>
            <w:pPr>
              <w:pStyle w:val="Compact"/>
            </w:pPr>
            <w:r>
              <w:t xml:space="preserve">+14,7</w:t>
            </w:r>
          </w:p>
        </w:tc>
        <w:tc>
          <w:tcPr/>
          <w:p>
            <w:pPr>
              <w:pStyle w:val="Compact"/>
            </w:pPr>
            <w:r>
              <w:t xml:space="preserve">90 → 104,7</w:t>
            </w:r>
          </w:p>
        </w:tc>
      </w:tr>
      <w:tr>
        <w:tc>
          <w:tcPr/>
          <w:p>
            <w:pPr>
              <w:pStyle w:val="Compact"/>
            </w:pPr>
            <w:r>
              <w:t xml:space="preserve">Птица</w:t>
            </w:r>
          </w:p>
        </w:tc>
        <w:tc>
          <w:tcPr/>
          <w:p>
            <w:pPr>
              <w:pStyle w:val="Compact"/>
            </w:pPr>
            <w:r>
              <w:t xml:space="preserve">36,5</w:t>
            </w:r>
          </w:p>
        </w:tc>
        <w:tc>
          <w:tcPr/>
          <w:p>
            <w:pPr>
              <w:pStyle w:val="Compact"/>
            </w:pPr>
            <w:r>
              <w:t xml:space="preserve">35</w:t>
            </w:r>
          </w:p>
        </w:tc>
        <w:tc>
          <w:tcPr/>
          <w:p>
            <w:pPr>
              <w:pStyle w:val="Compact"/>
            </w:pPr>
            <w:r>
              <w:t xml:space="preserve">−1,5</w:t>
            </w:r>
          </w:p>
        </w:tc>
        <w:tc>
          <w:tcPr/>
          <w:p>
            <w:pPr>
              <w:pStyle w:val="Compact"/>
            </w:pPr>
            <w:r>
              <w:t xml:space="preserve">22,2 → 22,2</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c>
          <w:tcPr/>
          <w:p>
            <w:pPr>
              <w:pStyle w:val="Compact"/>
            </w:pPr>
            <w:r>
              <w:t xml:space="preserve">—</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c>
          <w:tcPr/>
          <w:p>
            <w:pPr>
              <w:pStyle w:val="Compact"/>
            </w:pPr>
            <w:r>
              <w:t xml:space="preserve">без изменений</w:t>
            </w:r>
          </w:p>
        </w:tc>
      </w:tr>
    </w:tbl>
    <w:p>
      <w:pPr>
        <w:pStyle w:val="BodyText"/>
      </w:pPr>
      <w:r>
        <w:t xml:space="preserve">Постановление не указывает, в каких случаях применяется каждая из двух норм (проверено по тексту [34]). С 2026 г. наиболее естественное прочтение (толкование) связано со сноской о медицинских показаниях: житель, которому СБКС не назначена, обеспечивается по норме без неё, а белок компенсируется хлебом, крупами и мясом. Для вариативного меню это прецедент: региональный акт сам содержит пару эквивалентных наборов. Выбирает между ними не житель, а врач и учреждение, но логика «два пути к одной пищевой ценности» заложена в саму норму.</w:t>
      </w:r>
    </w:p>
    <w:bookmarkEnd w:id="57"/>
    <w:bookmarkStart w:id="58"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работают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[73]. Тарифы на социальные услуги ежегодно утверждает Комитет по социальной политике: на 2025 г. — распоряжением от 13.12.2024 № 1366-р, на 2026 г. — распоряжением от 15.12.2025 № 1155-р [74, 75].</w:t>
      </w:r>
    </w:p>
    <w:p>
      <w:pPr>
        <w:pStyle w:val="BodyText"/>
      </w:pPr>
      <w:r>
        <w:t xml:space="preserve">Тарифы на услугу «обеспечение питанием согласно утверждённым нормативам» в стационарной форме для совершеннолетних зеркальны нормам постановления № 1284 и разбиты по тем же категориям [74, 75].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[75]. Распоряжение опубликовано в виде графического образа; значения ниже прочитаны распознаванием текста и сверены визуально по изображению страницы. Отдельно от тарифов на социальные услуги тот же комитет по экономической политике ежегодно, до 1 июня, утверждает нормативы расходов бюджета Санкт-Петербурга по социальному питанию на следующий финансовый год (п. 7 постановления Правительства Санкт-Петербурга от 23.07.2009 № 873) [76]. Распоряжение о таких нормативах на 2027 г. в открытых официальных источниках найти не удалось, и его значения в обзор не включены.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[74]</w:t>
            </w:r>
          </w:p>
        </w:tc>
        <w:tc>
          <w:tcPr/>
          <w:p>
            <w:pPr>
              <w:pStyle w:val="Compact"/>
            </w:pPr>
            <w:r>
              <w:t xml:space="preserve">2026 г., руб. в день [75]</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в таблице важны четыре обстоятельства.</w:t>
      </w:r>
    </w:p>
    <w:p>
      <w:pPr>
        <w:pStyle w:val="BodyText"/>
      </w:pPr>
      <w:r>
        <w:t xml:space="preserve">Первая. Тариф рассчитан на норму, а не на меню; он не содержит составляющей на организацию выбора ни в 2025, ни в 2026 г. [74, 75].</w:t>
      </w:r>
    </w:p>
    <w:p>
      <w:pPr>
        <w:pStyle w:val="BodyText"/>
      </w:pPr>
      <w:r>
        <w:t xml:space="preserve">Вторая. Категории тарифов 2026 г. точно повторяют структуру новой редакции норм: появились «ДСО» рядом с ПНИ и новая категория «кроме ПНИ и ДСО, нормы без СБКС», которой соответствует новая таблица 2 [34, 75]. Тарифы 2025 г. рассчитаны на нормы в редакции 2022 г., тарифы 2026 г. — на нормы в редакции № 507. Сравнение тарифов двух лет — поэтому сравнение разных наборов продуктов, а не только разных цен. Цена решения «27 г белковой смеси или компенсация хлебом, крупами и мясом» в ПНИ изменилась почти вдвое: 90,77 руб. в день в 2025 г. и 43,21 руб. в 2026 г. Для учреждений, кроме ПНИ и ДСО, в 2026 г. появилась собственная пара тарифов с разницей 41,59 руб. (иллюстративная арифметика: 571,63 − 480,86; 574,43 − 531,22; 581,33 − 539,74) [74, 75]. Граммы обеих ПНИ-таблиц за этот период почти не изменились [33, 34]. Поэтому сокращение разницы объясняется не составом нормы, а расчётом стоимости набора: ценами продуктов, методикой подушевого норматива и, возможно, тем, что СБКС с 2026 г. даётся по медицинским показаниям (толкование). Документы, по которым это можно проверить, не опубликованы.</w:t>
      </w:r>
    </w:p>
    <w:p>
      <w:pPr>
        <w:pStyle w:val="BodyText"/>
      </w:pPr>
      <w:r>
        <w:t xml:space="preserve">Третья. В 2025 г. тариф для ПНИ был выше общего (571,63 против 560,87), в 2026 г. соотношение обратное (574,43 против 581,33) [74, 75]. Это совпадает со сменой общей нормы: с 2026 г. она пересобрана по федеральной рекомендации, с большими объёмами картофеля, овощей, соков и хлеба пшеничного и меньшими — птицы, творога и кисломолочных продуктов, а ПНИ-норма почти не изменилась [33, 34]. Влияние состава нормы и цен отдельных групп продуктов по опубликованным документам разделить нельзя. Это наблюдение, а не вывод о методике: методика расчёта подушевых нормативов в доступных источниках не раскрыта.</w:t>
      </w:r>
    </w:p>
    <w:p>
      <w:pPr>
        <w:pStyle w:val="BodyText"/>
      </w:pPr>
      <w:r>
        <w:t xml:space="preserve">Четвёртая. Рост тарифа ПНИ на 0,5 % за год — ориентир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только как перераспределение внутри нормы (сценарии 1, 2 и 11 гл. 7) (толкование).</w:t>
      </w:r>
    </w:p>
    <w:bookmarkEnd w:id="58"/>
    <w:bookmarkStart w:id="59"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называла практику петербургских учреждений «цикличными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77].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59"/>
    <w:bookmarkEnd w:id="60"/>
    <w:bookmarkStart w:id="61"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[69].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[69].</w:t>
      </w:r>
    </w:p>
    <w:p>
      <w:pPr>
        <w:pStyle w:val="BodyText"/>
      </w:pPr>
      <w:r>
        <w:t xml:space="preserve">Для нашей темы важнее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[69]. Это единственная найденная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важна дважды: подтверждает, что исходная модель регионального нормотворца — цикличное меню, и даёт законную опору недельному контролю, без которого выбор между блюдами разной калорийности не учесть (толкование). Формулировка касается калорийности по приёмам пищи, а не групп продуктов, поэтому вопрос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[78]. Текст приказа № 1068 найден в выгрузке справочной системы, сохранённой 03.05.2015 [79].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 это графа психоневрологических организаций [79]. Приказ № 228 издан тем же ведомством (Департамент социальной защиты населения, ныне Департамент труда и социальной защиты населения), то есть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[69].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а официальной отметки о статусе приказа № 1068 найти не удалось; есть ли в приказе № 228 отдельная графа для психоневрологических организаций, по открытой части текста не видно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у этой характеристики в обзоре нет, и вторая редакция не повторяет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этой редакции результата не дал.</w:t>
      </w:r>
    </w:p>
    <w:bookmarkEnd w:id="61"/>
    <w:bookmarkStart w:id="62" w:name="свердловская-область"/>
    <w:p>
      <w:pPr>
        <w:pStyle w:val="Heading2"/>
      </w:pPr>
      <w:r>
        <w:rPr>
          <w:rStyle w:val="SectionNumber"/>
        </w:rPr>
        <w:t xml:space="preserve">3.4</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[44].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2"/>
    <w:bookmarkStart w:id="63" w:name="нижегородская-область"/>
    <w:p>
      <w:pPr>
        <w:pStyle w:val="Heading2"/>
      </w:pPr>
      <w:r>
        <w:rPr>
          <w:rStyle w:val="SectionNumber"/>
        </w:rPr>
        <w:t xml:space="preserve">3.5</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[80]. По описанию первой редакции, наборы дифференцированы по видам учреждений; диетическое питание —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не воспроизводится как факт.</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[70].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[70]. Положений о выборе блюд и о замене продуктов текст не содержит (проверено по тексту); брутто приводится только в наборах для детей, с пояснением, что масса брутто рассчитана на норму отходов 25 % [70].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Нашёлся другой документ, для доклада не менее полезный,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[48]. Он подробно описывает, как устроено единое меню в типичном доме-интернате, — ту исходную точку, от которой отсчитывается любой выбор:</w:t>
      </w:r>
    </w:p>
    <w:p>
      <w:pPr>
        <w:pStyle w:val="Compact"/>
        <w:numPr>
          <w:ilvl w:val="0"/>
          <w:numId w:val="1009"/>
        </w:numPr>
      </w:pPr>
      <w:r>
        <w:t xml:space="preserve">сводное 14-дневное меню и картотека блюд утверждаются директором на основе среднесуточного набора продуктов; замена продуктов при их отсутствии — по таблицам взаимозаменяемости и замены по белкам и углеводам, утверждённым самим положением [48];</w:t>
      </w:r>
    </w:p>
    <w:p>
      <w:pPr>
        <w:pStyle w:val="Compact"/>
        <w:numPr>
          <w:ilvl w:val="0"/>
          <w:numId w:val="1009"/>
        </w:numPr>
      </w:pPr>
      <w:r>
        <w:t xml:space="preserve">ответственный за организацию питания — медицинская диетическая сестра; суточный расход продуктов ведётся «строго в соответствии со среднесуточными наборами» [48];</w:t>
      </w:r>
    </w:p>
    <w:p>
      <w:pPr>
        <w:pStyle w:val="Compact"/>
        <w:numPr>
          <w:ilvl w:val="0"/>
          <w:numId w:val="1009"/>
        </w:numPr>
      </w:pPr>
      <w:r>
        <w:t xml:space="preserve">документальная цепочка: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[48];</w:t>
      </w:r>
    </w:p>
    <w:p>
      <w:pPr>
        <w:pStyle w:val="Compact"/>
        <w:numPr>
          <w:ilvl w:val="0"/>
          <w:numId w:val="1009"/>
        </w:numPr>
      </w:pPr>
      <w:r>
        <w:t xml:space="preserve">режим: четырёхразовое питание и второй ужин, по две смены на каждый приём пищи (завтрак 8:30 и 9:00, обед 12:30 и 13:00, полдник 15:00 и 15:30, ужин 18:00 и 18:30, второй ужин 20:00) [48];</w:t>
      </w:r>
    </w:p>
    <w:p>
      <w:pPr>
        <w:pStyle w:val="Compact"/>
        <w:numPr>
          <w:ilvl w:val="0"/>
          <w:numId w:val="1009"/>
        </w:numPr>
      </w:pPr>
      <w:r>
        <w:t xml:space="preserve">контроль: проверка готовой пищи директором раз в месяц и ежедневно старшей и диетической сёстрами; порционные блюда взвешиваются по 10 порций, допустимое отклонение средней массы — не более 3 %; суточная проба — «от каждой партии приготовленных блюд», отдельно каждое блюдо, 48 часов при +2…+6 °C; раздача — не позднее двух часов после приготовления [48].</w:t>
      </w:r>
    </w:p>
    <w:p>
      <w:pPr>
        <w:pStyle w:val="FirstParagraph"/>
      </w:pPr>
      <w:r>
        <w:t xml:space="preserve">Второе опубликованное положение того же ведомства — ГБУ «Чкаловский дом-интернат для престарелых и инвалидов» — устроено так же: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[81]. О выборе блюд жителем в нём ничего нет. Повторный поиск по сайтам нижегородских учреждений (домен soc52.ru) публичной практики выбора блюд не обнаружил.</w:t>
      </w:r>
    </w:p>
    <w:p>
      <w:pPr>
        <w:pStyle w:val="BodyText"/>
      </w:pPr>
      <w:r>
        <w:t xml:space="preserve">Практический вывод для вариативного меню (толкование): в учреждении с такой документальной цепочкой выбор меняет не одну бумагу, а все звенья сразу. Порционник должен считать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 самостоятельная партия). Сценарий 13 гл. 7 разбирает эту цепочку как пакет документов.</w:t>
      </w:r>
    </w:p>
    <w:bookmarkEnd w:id="63"/>
    <w:bookmarkStart w:id="64" w:name="омская-область"/>
    <w:p>
      <w:pPr>
        <w:pStyle w:val="Heading2"/>
      </w:pPr>
      <w:r>
        <w:rPr>
          <w:rStyle w:val="SectionNumber"/>
        </w:rPr>
        <w:t xml:space="preserve">3.6</w:t>
      </w:r>
      <w:r>
        <w:tab/>
      </w:r>
      <w:r>
        <w:t xml:space="preserve">Омская область</w:t>
      </w:r>
    </w:p>
    <w:p>
      <w:pPr>
        <w:pStyle w:val="FirstParagraph"/>
      </w:pPr>
      <w:r>
        <w:t xml:space="preserve">Нормы утверждены приказом от 11.11.2014 № 171-п [82].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[54]. Опубликованные меню и правила нужны вариативному меню в любом регионе: житель и семья должны знать, из чего выбирают.</w:t>
      </w:r>
    </w:p>
    <w:bookmarkEnd w:id="64"/>
    <w:bookmarkStart w:id="65" w:name="псковская-область"/>
    <w:p>
      <w:pPr>
        <w:pStyle w:val="Heading2"/>
      </w:pPr>
      <w:r>
        <w:rPr>
          <w:rStyle w:val="SectionNumber"/>
        </w:rPr>
        <w:t xml:space="preserve">3.7</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[83].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показывает общую закономерность: диетологическую логику региональные нормы берут из здравоохранения.</w:t>
      </w:r>
    </w:p>
    <w:bookmarkEnd w:id="65"/>
    <w:bookmarkStart w:id="66" w:name="новосибирская-область"/>
    <w:p>
      <w:pPr>
        <w:pStyle w:val="Heading2"/>
      </w:pPr>
      <w:r>
        <w:rPr>
          <w:rStyle w:val="SectionNumber"/>
        </w:rPr>
        <w:t xml:space="preserve">3.8</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поэтому её норму стоит прочитать внимательно.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[47].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[47].</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[47]. СБКС (27 г) включена в нормы этих типов учреждений со сноской «по медицинским показаниям»; витаминно-минеральные комплексы — 50–100 % физиологической нормы [47]. Тем самым новосибирская норма воспроизводит федеральную конструкцию № 520н (смесь — по показаниям), а не петербургскую (смесь — в общей норме).</w:t>
      </w:r>
    </w:p>
    <w:p>
      <w:pPr>
        <w:pStyle w:val="BodyText"/>
      </w:pPr>
      <w:r>
        <w:t xml:space="preserve">Показательно: в регионе с самой развитой практикой выбора норма ни словом не упоминает ни выбор, ни варианты блюд, ни замену продуктов (проверено по тексту [47]). Новосибирские учреждения строили вариативное питание на той же нормативной основе, что и все остальные (толкование).</w:t>
      </w:r>
    </w:p>
    <w:bookmarkEnd w:id="66"/>
    <w:bookmarkStart w:id="67" w:name="красноярский-край"/>
    <w:p>
      <w:pPr>
        <w:pStyle w:val="Heading2"/>
      </w:pPr>
      <w:r>
        <w:rPr>
          <w:rStyle w:val="SectionNumber"/>
        </w:rPr>
        <w:t xml:space="preserve">3.9</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и двумя постановлениями 2021 г.) воспроизведён на сайте одного из краевых учреждений [45].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[45].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[45].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менялся ещё дважды [84]. Постановление от 06.02.2024 № 74-п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[84].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[84]. Официальные тексты обеих поправок на Официальном интернет-портале правовой информации отвечают на вопрос, меняли ли они граммы [84]. Постановление № 74-п граммов не касается. Постановление № 892-п, кроме наименований разделов 1, 2, 3, 5, 6, 7 и 10, меняет одно число — в таблице раздела 3 (нормы для детей) в графе 5 строки 34 «5» заменено на «3». Таблицы разделов 1 и 2 (нормы для взрослых) ни одна из поправок не затрагивает. Поэтому числа раздела 1 выше, данные по редакции 2021 г. и совпадающие с публичной редакцией 2016 г., действуют и в 2026 г., если после 892-п не было других изменений [45, 84].</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на пищеблоке четыре повара и четыре официанта, меню на день вывешивается на стенде у входа в столовую [45]. Так учреждение само раскрывает минимум сведений о питании; о выборе блюд в них ничего нет.</w:t>
      </w:r>
    </w:p>
    <w:bookmarkEnd w:id="67"/>
    <w:bookmarkStart w:id="68" w:name="ленинградская-область"/>
    <w:p>
      <w:pPr>
        <w:pStyle w:val="Heading2"/>
      </w:pPr>
      <w:r>
        <w:rPr>
          <w:rStyle w:val="SectionNumber"/>
        </w:rPr>
        <w:t xml:space="preserve">3.10</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[46, 85]. Официальный текст приказа № 04-81 меняет три вещи: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Приложение 3 — нормы совершеннолетних, о которых идёт речь ниже, — приказ № 04-81 не затрагивает [85]. Расхождение реквизитов вынесено в гл. 9 (противоречие 31).</w:t>
      </w:r>
    </w:p>
    <w:p>
      <w:pPr>
        <w:pStyle w:val="BodyText"/>
      </w:pPr>
      <w:r>
        <w:t xml:space="preserve">Ленинградская норма даёт каждую позицию одновременно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[46]. СБКС (27 г) и витаминно-минеральные комплексы (50–100 %) включены в норму стационарного обслуживания без оговорки о медицинских показаниях [46]. Значения нетто почти совпадают с приказом № 520н (говядина 90, птица 22,2, рыба 32,5, творог 20, кисломолочные 121 г), хотя ленинградский приказ издан раньше, 30.12.2021, а № 520н — 13.09.2022 [32, 46]. Вероятное объяснение — общий источник обоих актов в более ранней федеральной рекомендации; это предположение, текст предшествующего федерального акта для доклада не сверялся.</w:t>
      </w:r>
    </w:p>
    <w:bookmarkEnd w:id="68"/>
    <w:bookmarkStart w:id="69" w:name="ханты-мансийский-автономный-округ-югра"/>
    <w:p>
      <w:pPr>
        <w:pStyle w:val="Heading2"/>
      </w:pPr>
      <w:r>
        <w:rPr>
          <w:rStyle w:val="SectionNumber"/>
        </w:rPr>
        <w:t xml:space="preserve">3.11</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была прочитана редакция постановления от 06.09.2014 № 327-п [71]. В ней нормы для совершеннолетних даны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[71]. После 2014 г. постановление № 306-п изменялось постановлениями от 27.03.2015 № 85-п, 30.12.2016 № 569-п, 09.06.2017 № 231-п, 01.10.2021 № 406-п и 12.08.2024 № 306-п [86]. Приложение 1 (нормы в стационарной форме) затронуто только изменениями от 06.09.2014 и 09.06.2017: постановлением № 231-п оно изложено в новой редакции, которая действует и сейчас [86].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[86]. Строки СБКС и витаминно-минеральных комплексов в приложении есть, но их значения в публичной версии справочной системы не отображаются; значения 27 г и 50–100 % выше подтверждены только для редакции 2014 г. [71, 86].</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[46, 86]. То,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Отличие — фрукты: 200 г в ХМАО против 150 г в Ленинградской области и в № 520н [32, 46, 71].</w:t>
      </w:r>
    </w:p>
    <w:bookmarkEnd w:id="69"/>
    <w:bookmarkStart w:id="70" w:name="X00d3de5e234226ca574f6e2fd93a9ea259eabf5"/>
    <w:p>
      <w:pPr>
        <w:pStyle w:val="Heading2"/>
      </w:pPr>
      <w:r>
        <w:rPr>
          <w:rStyle w:val="SectionNumber"/>
        </w:rPr>
        <w:t xml:space="preserve">3.12</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один (Нижегородская область) — в нетто, три (Санкт-Петербург, Ленинградская область, ХМАО — Югра в действующей редакции 2017 г.) — в обеих величинах [34, 45–47, 70, 86]. Прежние редакции обзора относили Санкт-Петербург к нетто; это неточно: и редакция 2022 г., и действующая редакция 2026 г. дают для взрослых пары брутто и нетто, а сопоставления в обзоре велись по нетто [33, 34]. Московский приказ № 1068 выражен в брутто [79], но его действие после принятия приказа № 228 не установлено, и в этот подсчёт он не входит. Прямое сопоставление «говядина 110 г в Новосибирской области против 90 г по № 520н» ошибочно: первая цифра — масса закладки до очистки и обвалки, вторая — масса после. Ленинградская норма даёт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Продукт</w:t>
            </w:r>
          </w:p>
        </w:tc>
        <w:tc>
          <w:tcPr/>
          <w:p>
            <w:pPr>
              <w:pStyle w:val="Compact"/>
            </w:pPr>
            <w:r>
              <w:t xml:space="preserve">Коэффициент нетто/брутто по ЛО [46]</w:t>
            </w:r>
          </w:p>
        </w:tc>
        <w:tc>
          <w:tcPr/>
          <w:p>
            <w:pPr>
              <w:pStyle w:val="Compact"/>
            </w:pPr>
            <w:r>
              <w:t xml:space="preserve">НСО, брутто [47]</w:t>
            </w:r>
          </w:p>
        </w:tc>
        <w:tc>
          <w:tcPr/>
          <w:p>
            <w:pPr>
              <w:pStyle w:val="Compact"/>
            </w:pPr>
            <w:r>
              <w:t xml:space="preserve">НСО, ≈ нетто</w:t>
            </w:r>
          </w:p>
        </w:tc>
        <w:tc>
          <w:tcPr/>
          <w:p>
            <w:pPr>
              <w:pStyle w:val="Compact"/>
            </w:pPr>
            <w:r>
              <w:t xml:space="preserve">Красноярский край, брутто [45]</w:t>
            </w:r>
          </w:p>
        </w:tc>
        <w:tc>
          <w:tcPr/>
          <w:p>
            <w:pPr>
              <w:pStyle w:val="Compact"/>
            </w:pPr>
            <w:r>
              <w:t xml:space="preserve">Красноярский край, ≈ нетто</w:t>
            </w:r>
          </w:p>
        </w:tc>
        <w:tc>
          <w:tcPr/>
          <w:p>
            <w:pPr>
              <w:pStyle w:val="Compact"/>
            </w:pPr>
            <w:r>
              <w:t xml:space="preserve">СПб, кроме ПНИ, нетто, ред. 2022 г. [33]</w:t>
            </w:r>
          </w:p>
        </w:tc>
        <w:tc>
          <w:tcPr/>
          <w:p>
            <w:pPr>
              <w:pStyle w:val="Compact"/>
            </w:pPr>
            <w:r>
              <w:t xml:space="preserve">СПб, кроме ПНИ и ДСО, нетто, с 2026 г. [34]</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c>
          <w:tcPr/>
          <w:p>
            <w:pPr>
              <w:pStyle w:val="Compact"/>
            </w:pPr>
            <w:r>
              <w:t xml:space="preserve">121</w:t>
            </w:r>
          </w:p>
        </w:tc>
      </w:tr>
    </w:tbl>
    <w:p>
      <w:pPr>
        <w:pStyle w:val="BodyText"/>
      </w:pPr>
      <w:r>
        <w:t xml:space="preserve">¹ В редакции 2022 г. — все группы овощей одной строкой (п. 3.2.2).</w:t>
      </w:r>
    </w:p>
    <w:p>
      <w:pPr>
        <w:pStyle w:val="BodyText"/>
      </w:pPr>
      <w:r>
        <w:t xml:space="preserve">Пересчёт — иллюстративная арифметика автора: коэффициенты ленинградского приказа зависят от вида сырья и способа обработки, и другой нормотворец мог закладывать другие. С этой оговоркой таблица даёт три наблюдения. Во-первых, красноярская норма после пересчёта почти совпадает с петербургской редакции 2022 г. по рыбе (41,8 г), птице (40 г), картофелю (≈167 и 168 г), творогу и кисломолочным продуктам, но существенно уступает ей по мясу (≈56 против 90 г); действующая петербургская норма для домов-интернатов общего типа совпадает с № 520н. Во-вторых, новосибирская норма после пересчёта близка к № 520н по рыбе, картофелю и молочным продуктам, по мясу ниже (≈78 против 90 г), по птице выше. В-третьих, «запас в белковых позициях», который облегчает пары «мясо — птица — рыба» (п. 3.2.2), в разных регионах распределён по-разному: в Красноярском крае он в рыбе и птице, в Санкт-Петербурге с 2026 г. — только в норме ПНИ и ДСО (птица, рыба, творог), в Новосибирской области — в птице. Учреждению, которое переносит чужой опыт выбора, отсюда простой совет: проверять пары по своей региональной норме и в тех же единицах (брутто или нетто), в которых она выражена.</w:t>
      </w:r>
    </w:p>
    <w:bookmarkEnd w:id="70"/>
    <w:bookmarkStart w:id="71" w:name="X8eb27cf166f18a127646fce9d4ebaa9d6eac609"/>
    <w:p>
      <w:pPr>
        <w:pStyle w:val="Heading2"/>
      </w:pPr>
      <w:r>
        <w:rPr>
          <w:rStyle w:val="SectionNumber"/>
        </w:rPr>
        <w:t xml:space="preserve">3.13</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были занижены против рекомендуемых норм [1, 87]. Это учреждение здравоохранения, и его цифры на стоимость питания в социальном обслуживании прямо не переносятся. Ценен методический вывод аудита: наличие норм не гарантирует их исполнения, и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1"/>
    <w:bookmarkStart w:id="72" w:name="сравнение"/>
    <w:p>
      <w:pPr>
        <w:pStyle w:val="Heading2"/>
      </w:pPr>
      <w:r>
        <w:rPr>
          <w:rStyle w:val="SectionNumber"/>
        </w:rPr>
        <w:t xml:space="preserve">3.14</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(прил. в ред. № 507 от 18.07.2025, с 01.01.2026)</w:t>
            </w:r>
          </w:p>
        </w:tc>
        <w:tc>
          <w:tcPr/>
          <w:p>
            <w:pPr>
              <w:pStyle w:val="Compact"/>
            </w:pPr>
            <w:r>
              <w:t xml:space="preserve">Брутто и нетто</w:t>
            </w:r>
          </w:p>
        </w:tc>
        <w:tc>
          <w:tcPr/>
          <w:p>
            <w:pPr>
              <w:pStyle w:val="Compact"/>
            </w:pPr>
            <w:r>
              <w:t xml:space="preserve">По типу учреждения (кроме ПНИ и ДСО; ПНИ и ДСО) и состоянию здоровья; нормы с СБКС и без</w:t>
            </w:r>
          </w:p>
        </w:tc>
        <w:tc>
          <w:tcPr/>
          <w:p>
            <w:pPr>
              <w:pStyle w:val="Compact"/>
            </w:pPr>
            <w:r>
              <w:t xml:space="preserve">Нет (с 2026 г. СБКС и ВМК — по медицинским показаниям; в ред. 2022 г. — да)</w:t>
            </w:r>
          </w:p>
        </w:tc>
        <w:tc>
          <w:tcPr/>
          <w:p>
            <w:pPr>
              <w:pStyle w:val="Compact"/>
            </w:pPr>
            <w:r>
              <w:t xml:space="preserve">Для взрослых не предусмотрена; для детей — по прил. 11 СанПиН 2.3/2.4.3590-20</w:t>
            </w:r>
          </w:p>
        </w:tc>
        <w:tc>
          <w:tcPr/>
          <w:p>
            <w:pPr>
              <w:pStyle w:val="Compact"/>
            </w:pPr>
            <w:r>
              <w:t xml:space="preserve">Проверено по тексту [34]; ред. 2022 г. —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[69]</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[48]</w:t>
            </w:r>
          </w:p>
        </w:tc>
        <w:tc>
          <w:tcPr/>
          <w:p>
            <w:pPr>
              <w:pStyle w:val="Compact"/>
            </w:pPr>
            <w:r>
              <w:t xml:space="preserve">Нормы в ред. № 617 проверены по тексту [70];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[47]</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[45]; официальные тексты изменений 2024–2025 гг. прочитаны: граммы взрослых норм не менялись [84]</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 № 04-81 от 04.08.2025 прочитан — приложение 3 не затронуто; изменения 2022–2023 гг. не прочитаны [46, 85]</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[71, 86]</w:t>
            </w:r>
          </w:p>
        </w:tc>
      </w:tr>
    </w:tbl>
    <w:bookmarkEnd w:id="72"/>
    <w:bookmarkStart w:id="73" w:name="что-региональные-нормы-дают-выбору"/>
    <w:p>
      <w:pPr>
        <w:pStyle w:val="Heading2"/>
      </w:pPr>
      <w:r>
        <w:rPr>
          <w:rStyle w:val="SectionNumber"/>
        </w:rPr>
        <w:t xml:space="preserve">3.15</w:t>
      </w:r>
      <w:r>
        <w:tab/>
      </w:r>
      <w:r>
        <w:t xml:space="preserve">Что региональные нормы дают выбору</w:t>
      </w:r>
    </w:p>
    <w:p>
      <w:pPr>
        <w:pStyle w:val="FirstParagraph"/>
      </w:pPr>
      <w:r>
        <w:t xml:space="preserve">Региональная норма отвечает на вопрос «сколько», а не «что и как». Она задаёт суточное количество продуктов по группам и почти никогда — набор блюд, число вариантов, время и место подачи. Остаётся широкое поле организационной свободы, и на практике его занимает привычка: одно меню на всех, потому что так проще считать раскладку (толкование).</w:t>
      </w:r>
    </w:p>
    <w:p>
      <w:pPr>
        <w:pStyle w:val="BodyText"/>
      </w:pPr>
      <w:r>
        <w:t xml:space="preserve">Учреждению, вводящему выбор, региональная норма ставит четыре практических условия. Первое: суммарная закладка за отчётный период (неделя, декада, месяц) соответствует норме по каждой группе. Второе: варианты внутри группы продуктов норму не затрагивают, а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которая разрешала бы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[69].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нужен собственный порядок учёта замен.</w:t>
      </w:r>
    </w:p>
    <w:p>
      <w:pPr>
        <w:pStyle w:val="BodyText"/>
      </w:pPr>
      <w:r>
        <w:t xml:space="preserve">Четвёртое условие следует из п. 3.12: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сравнимую по величине с самим эффектом замены (иллюстративная оценка по коэффициентам ленинградского приказа: для мяса 0,705, для рыбы 0,550 [46]).</w:t>
      </w:r>
    </w:p>
    <w:bookmarkEnd w:id="73"/>
    <w:bookmarkEnd w:id="74"/>
    <w:bookmarkStart w:id="86"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75"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этом разделе собраны публичные сообщения о вариативном питании в российских стационарных организациях социального обслуживания, найденные к 05.10.2026. Каждое сообщение прочитано в два слоя: что источник говорит и о чём молчит. Новость учреждения или органа власти удостоверяет только то, что так было сказано на дату публикации; проверкой она не является. Ни к одному из кейсов ниже не приложены данные о весе, потреблении, отходах или затратах, поэтому кейсы показывают организационные решения, но не доказывают эффекта.</w:t>
      </w:r>
    </w:p>
    <w:p>
      <w:pPr>
        <w:pStyle w:val="BodyText"/>
      </w:pPr>
      <w:r>
        <w:t xml:space="preserve">По сравнению с первой редакцией, где был описан один российский кейс (Болотнинский ПНИ) [1], здесь рассмотрены восемь учреждений и одно региональное сообщение; к ним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она уточняет и первую редакцию, и рабочую базу знаний проекта [23].</w:t>
      </w:r>
    </w:p>
    <w:p>
      <w:pPr>
        <w:pStyle w:val="BodyText"/>
      </w:pPr>
      <w:r>
        <w:t xml:space="preserve">Место каждого кейса на шкале раздачи (М0–М5, п. 1.4) определено автором по тексту сообщений; это толкование.</w:t>
      </w:r>
    </w:p>
    <w:bookmarkEnd w:id="75"/>
    <w:bookmarkStart w:id="76"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включены несколько вариантов блюд; на завтрак — чай, какао или кофейный напиток, молочная каша либо суп; в обед — «разнообразие салатов и вторых блюд, а также десерт, фрукты и творог»; перечень блюд определяет медицинская сестра диетическая; учреждение планирует расширить вечернее меню [5]. Повторная публикация от 03.09.2026 описывает обед с выбором между курицей (жареной или отварной) с гречкой и салатами; суп указан один [6].</w:t>
      </w:r>
    </w:p>
    <w:p>
      <w:pPr>
        <w:pStyle w:val="BodyText"/>
      </w:pPr>
      <w:r>
        <w:rPr>
          <w:b/>
          <w:bCs/>
        </w:rPr>
        <w:t xml:space="preserve">Чего источник не сообщает.</w:t>
      </w:r>
      <w:r>
        <w:t xml:space="preserve"> </w:t>
      </w:r>
      <w:r>
        <w:t xml:space="preserve">Доли жителей, участвующих в выборе; способа выбора для неговорящих жителей; изменений в закупках и штате; данных о потреблении. Первая редакция обзора утверждала, что выбор в Болотнинском ПНИ делается накануне и «без изменения норм питания» [1]; в тексте сообщения 2024 г. ни того, ни другого нет.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диетсестрой, — М1 по шкале раздачи (несколько дней в неделю). Публикация 2026 г. показывает, что через два года практика жива.</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 первый документированный российский кейс [1, 23]. Точнее — первый кейс, вошедший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Болотнинский ПНИ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76"/>
    <w:bookmarkStart w:id="77"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в марте 2024 г. «все отделения перешли на вариативное меню»; жители выбирают из двух видов вторых блюд, салатов и напитков, «составляя свой обед или ужин»; например, два рыбных или два мясных блюда, салаты из свежих или отварных овощей (винегрет, салат из свёклы). Перед внедрением проведены опрос жителей и анкетирование, по результатам которого блюда «расставлены по балльной системе в зависимости от степени спроса». Сотрудники опасались, что части жителей трудно будет подойти к линии раздачи и выбрать блюдо; опасения не оправдались. Заодно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но его текст от 20.06.2025 с пометкой «Источник: Правительство Новосибирской области» перепечатан региональной лентой новостей [12]. По нему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среди основных особенностей названы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против падений, температура горячей пищи против ожогов,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найденное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салат из 5–6 ингредиентов, из которых житель берёт 2–3 в своих пропорциях; оба источника сообщают, что жители «стали более аккуратными и самостоятельными» [10, 11].</w:t>
      </w:r>
    </w:p>
    <w:p>
      <w:pPr>
        <w:pStyle w:val="BodyText"/>
      </w:pPr>
      <w:r>
        <w:rPr>
          <w:b/>
          <w:bCs/>
        </w:rPr>
        <w:t xml:space="preserve">Чего источники не сообщают.</w:t>
      </w:r>
      <w:r>
        <w:t xml:space="preserve"> </w:t>
      </w:r>
      <w:r>
        <w:t xml:space="preserve">Сведений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Как измеряли сокращение времени приёма пищи (что считали началом и концом, для скольких смен), не сказано; это остаётся утверждением учреждения. Стоимость названа только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не подкреплено данными измерений.</w:t>
      </w:r>
    </w:p>
    <w:p>
      <w:pPr>
        <w:pStyle w:val="BodyText"/>
      </w:pPr>
      <w:r>
        <w:rPr>
          <w:b/>
          <w:bCs/>
        </w:rPr>
        <w:t xml:space="preserve">Модель и противоречие слоёв.</w:t>
      </w:r>
      <w:r>
        <w:t xml:space="preserve"> </w:t>
      </w:r>
      <w:r>
        <w:t xml:space="preserve">В 2024 г. — М2 (два варианта нескольких блюд на линии раздачи во всех отделениях). В 2025 г. в части отделений — формат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друг другу не противоречат, если дату называть.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названы одновременно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как норматив нельзя, но порядок величин для сценария 14 гл. 7 они задают: самообслуживание может сокращать раздачу, а не удлинять её, если жители способны подойти к линии. Для тех, кто к линии не подходит, вопрос открыт (п. 7.16).</w:t>
      </w:r>
    </w:p>
    <w:bookmarkEnd w:id="77"/>
    <w:bookmarkStart w:id="78"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dyText"/>
      </w:pPr>
      <w:r>
        <w:rPr>
          <w:b/>
          <w:bCs/>
        </w:rPr>
        <w:t xml:space="preserve">Чего источник не сообщает.</w:t>
      </w:r>
      <w:r>
        <w:t xml:space="preserve"> </w:t>
      </w:r>
      <w:r>
        <w:t xml:space="preserve">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 М1 по шкале раздачи (толкование). Лучший аппетит — слова одного жителя, а не измерение. Каменский интернат — третье учреждение Новосибирской области, сообщившее о вариативном питании летом 2024 г. (вместе с Болотнинским и Успенским); близость дат публикаций (13, 16 и 19 августа 2024 г.) наводит на мысль об общем региональном импульсе, но документа регионального органа, который бы это подтверждал, найти не удалось [5, 7, 9]. Сообщение министерства 2025 г. о шведском столе в Успенском ПНИ [12] относится к следующему этапу и о 2024 г. не говорит.</w:t>
      </w:r>
    </w:p>
    <w:bookmarkEnd w:id="78"/>
    <w:bookmarkStart w:id="79"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[13]:</w:t>
      </w:r>
    </w:p>
    <w:p>
      <w:pPr>
        <w:pStyle w:val="Compact"/>
        <w:numPr>
          <w:ilvl w:val="0"/>
          <w:numId w:val="1010"/>
        </w:numPr>
      </w:pPr>
      <w:r>
        <w:t xml:space="preserve">27.09.2024: с сентября «постепенное введение вариативного меню»; на начальном этапе —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w:t>
      </w:r>
    </w:p>
    <w:p>
      <w:pPr>
        <w:pStyle w:val="Compact"/>
        <w:numPr>
          <w:ilvl w:val="0"/>
          <w:numId w:val="1010"/>
        </w:numPr>
      </w:pPr>
      <w:r>
        <w:t xml:space="preserve">17.12.2024: пример обеда — выбор гарнира (рис или гречка) и второго блюда (гуляш мясной или печень по-строгановски); в учреждении работает экспертная комиссия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w:t>
      </w:r>
    </w:p>
    <w:p>
      <w:pPr>
        <w:pStyle w:val="Compact"/>
        <w:numPr>
          <w:ilvl w:val="0"/>
          <w:numId w:val="1010"/>
        </w:numPr>
      </w:pPr>
      <w:r>
        <w:t xml:space="preserve">13.02.2025: пищеблок ежедневно готовит на 220 человек «по восьми видам меню с правом выбора в обед»; меню цикличное 14-дневное, питание шестиразовое;</w:t>
      </w:r>
    </w:p>
    <w:p>
      <w:pPr>
        <w:pStyle w:val="Compact"/>
        <w:numPr>
          <w:ilvl w:val="0"/>
          <w:numId w:val="1010"/>
        </w:numPr>
      </w:pPr>
      <w:r>
        <w:t xml:space="preserve">09.02.2026: заседание совета по питанию;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поставлена задача скорректировать меню для граждан 60+.</w:t>
      </w:r>
    </w:p>
    <w:p>
      <w:pPr>
        <w:pStyle w:val="FirstParagraph"/>
      </w:pPr>
      <w:r>
        <w:rPr>
          <w:b/>
          <w:bCs/>
        </w:rPr>
        <w:t xml:space="preserve">Чего источники не сообщают.</w:t>
      </w:r>
      <w:r>
        <w:t xml:space="preserve"> </w:t>
      </w:r>
      <w:r>
        <w:t xml:space="preserve">Как выбирают жители, не посещающие столовую; есть ли выбор вне обеда; затраты; данные о потреблении.</w:t>
      </w:r>
    </w:p>
    <w:p>
      <w:pPr>
        <w:pStyle w:val="BodyText"/>
      </w:pPr>
      <w:r>
        <w:rPr>
          <w:b/>
          <w:bCs/>
        </w:rPr>
        <w:t xml:space="preserve">Значение кейса.</w:t>
      </w:r>
      <w:r>
        <w:t xml:space="preserve"> </w:t>
      </w:r>
      <w:r>
        <w:t xml:space="preserve">Только здесь из найденных российских практик публично описаны все четыре стадии: исследование предпочтений до запуска, поэтапный старт с наиболее мобильной группы, коллегиальный орган, который пересматривает меню, и внешняя экспертиза через полтора года. Сочетание «цикличного 14-дневного меню» и «права выбора в обед» наглядно показывает: цикличность и вариативность — разные свойства одного меню (п. 1.2). Совет нутрициолога о текстуре хлеба — пример клинического вопроса, который возникает при расширении выбора и решается не кухней, а специалистом (рекомендация учреждения, не норма).</w:t>
      </w:r>
    </w:p>
    <w:p>
      <w:pPr>
        <w:pStyle w:val="BodyText"/>
      </w:pPr>
      <w:r>
        <w:t xml:space="preserve">Учреждение — бывший дом-интернат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79"/>
    <w:bookmarkStart w:id="80"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найдено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устами должностного лица факт и год запуска (2025), но не формат «два первых, два вторых и гарниры» — он держится только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о числе блюд на выбор в нём ничего нет. Повторный поиск оригинала сообщения министерства от 14.02.2025 в октябре 2026 г. (поисковые системы, веб-архив — с бокса недоступен, агрегатор — закрыт защитой от автоматического доступа) результата не дал; формат «два первых, два вторых и гарниры» по-прежнему держится только на пересказе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говорят.</w:t>
      </w:r>
    </w:p>
    <w:p>
      <w:pPr>
        <w:pStyle w:val="BodyText"/>
      </w:pPr>
      <w:r>
        <w:rPr>
          <w:b/>
          <w:bCs/>
        </w:rPr>
        <w:t xml:space="preserve">Чего источники не сообщают.</w:t>
      </w:r>
      <w:r>
        <w:t xml:space="preserve"> </w:t>
      </w:r>
      <w:r>
        <w:t xml:space="preserve">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только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В открытом доступе не найден региональный правовой акт Иркутской области, который предписывал бы вариативное питание;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0"/>
    <w:bookmarkStart w:id="81"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Сообщение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организатор —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dyText"/>
      </w:pPr>
      <w:r>
        <w:rPr>
          <w:b/>
          <w:bCs/>
        </w:rPr>
        <w:t xml:space="preserve">Чего источник не сообщает.</w:t>
      </w:r>
      <w:r>
        <w:t xml:space="preserve"> </w:t>
      </w:r>
      <w:r>
        <w:t xml:space="preserve">Модели выбора, охвата, затрат.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Межрегиональная площадка показывает, что к 2026 г. практика вышла за стены отдельных учреждений и стала предметом методической работы региональных ведомств. Упоминание инфоматов для сбора предпочтений — первое в найденных российских источниках указание на технический канал выбора, кроме устного [17].</w:t>
      </w:r>
    </w:p>
    <w:bookmarkEnd w:id="81"/>
    <w:bookmarkStart w:id="82"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 директор этого учреждения; конфликт интересов раскрыт. Ниже —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Сообщение Комитета по социальной политике Санкт-Петербурга от 22.07.2025 о заседании рабочей группы по реформированию психоневрологических интернатов Санкт-Петербурга: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«крайне затруднителен с точки зрения соблюдения всех норм питания по сбалансированности и учёта особенностей здоровья проживающих»;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жителей [28]. Это не положение о питании и не акт Комитета по социальной политике: документ оформлен на бланке, где над наименованием учреждения указан учредитель, но подписан директором учреждения и утверждает правила для его жителей. О питании в правилах — несколько пунктов. Жители обеспечиваются «питанием согласно утвержденным нормативам» (п. 3.6). Время приёмов пищи: завтрак 8:00, второй завтрак 11:00, обед 13:00, полдник 16:00, ужин 18:00, второй ужин 20:00 (п. 3.9). Диетическое, в том числе индивидуальное, питание назначает врач (там же). «Прием пищи осуществляется в помещении столовой, а также в зале заказного питания (вариативное меню)»; маломобильные жители едят в жилых комнатах, при необходимости с помощью в кормлении (там же). Жители могут готовить пищу самостоятельно в бытовой комнате (п. 3.13) [28]. Вариативное меню в правилах упомянуто одной фразой — как место приёма пищи; порядок заказа, круг жителей и число вариантов правила не определяют. Сайт учреждения работает по новому адресу sdso-spb.ru; приказ опубликован там в разделе «Документы учреждения» (в первой и второй редакциях доклада правила цитировались по веб-архиву старого сайта). По данным архивной копии сайта (февраль 2026 г.), учреждение обслуживало 1 004 человека [23].</w:t>
      </w:r>
    </w:p>
    <w:p>
      <w:pPr>
        <w:pStyle w:val="BodyText"/>
      </w:pPr>
      <w:r>
        <w:rPr>
          <w:b/>
          <w:bCs/>
        </w:rPr>
        <w:t xml:space="preserve">Что в открытом доступе есть и чего нет.</w:t>
      </w:r>
      <w:r>
        <w:t xml:space="preserve"> </w:t>
      </w:r>
      <w:r>
        <w:t xml:space="preserve">В разделе «Документы учреждения» на сайте нет отдельного положения об организации питания, журнала заказа блюд и журнала замен (проверено 05.10.2026) [28]. Там же опубликована «Информация об организации социального питания» учреждения (тогда ПНИ № 9) за 2022 г. [88]. Учреждение руководствуется в ней постановлением Правительства Санкт-Петербурга № 873 о социальном питании, распоряжением Комитета по социальной политике от 18.09.2020 № 2054-р о выборе формы социального питания, постановлением № 1284, СанПиН 2.3/2.4.3590-20 и федеральными методическими рекомендациями 2002–2003 гг. Питание в 2022 г. организовано «в соответствии с утвержденным цикличным меню» — приложением № 2 к техническому заданию договора (шесть приёмов пищи; цикличное семидневное меню) [88]. Вариативного меню в документе 2022 г. ещё нет.</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[89] (конфликт интересов раскрыт выше). Учреждение закупает услугу по 223-ФЗ («оказание услуг по организации питания», ОКПД2 56.29.19.000). Цепочка 2026 г. по данным закупочных реестров [90, 91]:</w:t>
      </w:r>
    </w:p>
    <w:p>
      <w:pPr>
        <w:pStyle w:val="Compact"/>
        <w:numPr>
          <w:ilvl w:val="0"/>
          <w:numId w:val="1011"/>
        </w:numPr>
      </w:pPr>
      <w:r>
        <w:t xml:space="preserve">договор на 2026 г. № 32515363453-01 от 02.12.2025 с ООО «АгроФуд» на 219 945 788 руб.;</w:t>
      </w:r>
    </w:p>
    <w:p>
      <w:pPr>
        <w:pStyle w:val="Compact"/>
        <w:numPr>
          <w:ilvl w:val="0"/>
          <w:numId w:val="1011"/>
        </w:numPr>
      </w:pPr>
      <w:r>
        <w:t xml:space="preserve">в июне — июле 2026 г. — серия закупок у единственного поставщика по 591 326 руб. (в том числе извещение № 32616171821 от 02.07.2026) и закупка «…в июле 2026 года» с начальной ценой 18 663 001,30 руб. (извещение № 32616169674);</w:t>
      </w:r>
    </w:p>
    <w:p>
      <w:pPr>
        <w:pStyle w:val="Compact"/>
        <w:numPr>
          <w:ilvl w:val="0"/>
          <w:numId w:val="1011"/>
        </w:numPr>
      </w:pPr>
      <w:r>
        <w:t xml:space="preserve">конкурс на август — декабрь 2026 г. с начальной ценой 92 110 941,90 руб. (извещение № 32616197209);</w:t>
      </w:r>
    </w:p>
    <w:p>
      <w:pPr>
        <w:pStyle w:val="Compact"/>
        <w:numPr>
          <w:ilvl w:val="0"/>
          <w:numId w:val="1011"/>
        </w:numPr>
      </w:pPr>
      <w:r>
        <w:t xml:space="preserve">по его итогам — договор № 32616197209-01 от 17.08.2026 с ООО «Мастерская Гурмана».</w:t>
      </w:r>
    </w:p>
    <w:p>
      <w:pPr>
        <w:pStyle w:val="FirstParagraph"/>
      </w:pPr>
      <w:r>
        <w:t xml:space="preserve">Таким образом, исполнитель услуги питания сменился в середине года. Причины смены доклад не обсуждает. Карточки извещений и начальные цены сверены по агрегаторам закупок; номера, даты и исполнители договоров взяты из реестра договоров Единой информационной системы, которая с бокса автора недоступна, а агрегаторы этих договоров не показывают, поэтому они в докладе</w:t>
      </w:r>
      <w:r>
        <w:t xml:space="preserve"> </w:t>
      </w:r>
      <w:r>
        <w:rPr>
          <w:b/>
          <w:bCs/>
        </w:rPr>
        <w:t xml:space="preserve">не сверены независимо</w:t>
      </w:r>
      <w:r>
        <w:t xml:space="preserve"> </w:t>
      </w:r>
      <w:r>
        <w:t xml:space="preserve">[91].</w:t>
      </w:r>
    </w:p>
    <w:p>
      <w:pPr>
        <w:pStyle w:val="BodyText"/>
      </w:pPr>
      <w:r>
        <w:rPr>
          <w:b/>
          <w:bCs/>
        </w:rPr>
        <w:t xml:space="preserve">Как выглядит меню в техническом задании.</w:t>
      </w:r>
      <w:r>
        <w:t xml:space="preserve"> </w:t>
      </w:r>
      <w:r>
        <w:t xml:space="preserve">К извещению № 32616171821 приложены четыре части цикличного меню: «ЦМ ОВД», «ЦМ ИП», «ЦМ ОВД2» и «ЦМ лето» [90]. Их содержание доклад прочитал по копиям тех же файлов, предоставленным учреждением автора. Каждая часть — четырнадцатидневный цикл на шесть приёмов пищи (завтрак, второй завтрак, обед, полдник, ужин, второй ужин). В каждой строке указаны блюдо, масса порции, белки, жиры, углеводы, энергетическая ценность, номер рецептуры и сборник рецептур. Рационы разделены по вариантам диеты:</w:t>
      </w:r>
    </w:p>
    <w:p>
      <w:pPr>
        <w:pStyle w:val="Compact"/>
        <w:numPr>
          <w:ilvl w:val="0"/>
          <w:numId w:val="1012"/>
        </w:numPr>
      </w:pPr>
      <w:r>
        <w:t xml:space="preserve">основной вариант стандартной диеты (ОВД; в среднем за цикл 3 470,2 ккал в сутки);</w:t>
      </w:r>
    </w:p>
    <w:p>
      <w:pPr>
        <w:pStyle w:val="Compact"/>
        <w:numPr>
          <w:ilvl w:val="0"/>
          <w:numId w:val="1012"/>
        </w:numPr>
      </w:pPr>
      <w:r>
        <w:t xml:space="preserve">варианты для жителей с целиакией (ИП) и с множественной пищевой непереносимостью (ИП2);</w:t>
      </w:r>
    </w:p>
    <w:p>
      <w:pPr>
        <w:pStyle w:val="Compact"/>
        <w:numPr>
          <w:ilvl w:val="0"/>
          <w:numId w:val="1012"/>
        </w:numPr>
      </w:pPr>
      <w:r>
        <w:t xml:space="preserve">вариант для жителей с сахарным диабетом (ОВД2; 2 868,5 ккал);</w:t>
      </w:r>
    </w:p>
    <w:p>
      <w:pPr>
        <w:pStyle w:val="Compact"/>
        <w:numPr>
          <w:ilvl w:val="0"/>
          <w:numId w:val="1012"/>
        </w:numPr>
      </w:pPr>
      <w:r>
        <w:t xml:space="preserve">летние ОВД и ОВД2.</w:t>
      </w:r>
    </w:p>
    <w:p>
      <w:pPr>
        <w:pStyle w:val="FirstParagraph"/>
      </w:pPr>
      <w:r>
        <w:t xml:space="preserve">В каждом приёме пищи — одно блюдо на позицию; альтернатив «на выбор» в таблицах нет. Это</w:t>
      </w:r>
      <w:r>
        <w:t xml:space="preserve"> </w:t>
      </w:r>
      <w:r>
        <w:rPr>
          <w:b/>
          <w:bCs/>
        </w:rPr>
        <w:t xml:space="preserve">цикличное, а не вариативное</w:t>
      </w:r>
      <w:r>
        <w:t xml:space="preserve"> </w:t>
      </w:r>
      <w:r>
        <w:t xml:space="preserve">меню в смысле словаря доклада (п. 1.2). Варианты здесь — диеты, которые назначает врач, а не блюда, которые выбирает житель. Каких-либо назначений диет доклад не делает и по этим таблицам не оценивает.</w:t>
      </w:r>
    </w:p>
    <w:p>
      <w:pPr>
        <w:pStyle w:val="BodyText"/>
      </w:pPr>
      <w:r>
        <w:t xml:space="preserve">Выбор в учреждении в 2025–2026 гг. существовал рядом с этим циклом: в правилах внутреннего распорядка — как «зал заказного питания» [28], в сообщении Комитета — как заказ накануне [21]. В опубликованной закупочной документации он не виден. Записан ли выбор в техническом задании договора на август — декабрь 2026 г., доклад не проверял (документация конкурса с бокса недоступна). Доли жителей и меню-пары здесь не приводятся.</w:t>
      </w:r>
    </w:p>
    <w:p>
      <w:pPr>
        <w:pStyle w:val="BodyText"/>
      </w:pPr>
      <w:r>
        <w:t xml:space="preserve">Так ДСО «Серафимовский» становится единственным найденным российским кейсом вариативного меню (заказ накануне, М1) при аутсорсинге питания. Оговорка двойная: кейс — учреждение самого автора, и подтверждён он словами автора, правилами внутреннего распорядка и вторичными карточками закупок, а не опубликованными условиями договора. Смена исполнителя в середине 2026 г. показывает практический риск такой модели. Если выбор держится на договорённости с конкретным исполнителем, а не на тексте технического задания, при смене исполнителя его приходится заново согласовывать. Поэтому в сценарии 8 гл. 7 рекомендовано записывать выбор в техническое задание договора (толкование).</w:t>
      </w:r>
    </w:p>
    <w:p>
      <w:pPr>
        <w:pStyle w:val="BodyText"/>
      </w:pPr>
      <w:r>
        <w:rPr>
          <w:b/>
          <w:bCs/>
        </w:rPr>
        <w:t xml:space="preserve">Чего источники не сообщают.</w:t>
      </w:r>
      <w:r>
        <w:t xml:space="preserve"> </w:t>
      </w:r>
      <w:r>
        <w:t xml:space="preserve">Доли жителей, пользующихся заказом; числа добавленных ставок и стоимости оборудования; данных о потреблении и отходах; текстов технического задания и договора с организатором питания, в том числе условий о вариантах блюд.</w:t>
      </w:r>
    </w:p>
    <w:p>
      <w:pPr>
        <w:pStyle w:val="BodyText"/>
      </w:pPr>
      <w:r>
        <w:t xml:space="preserve">Независимое упоминание петербургской практики есть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уделом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 М1 по шкале раздачи: выбор есть, но сделан не в момент еды (п. 1.4). Приказ № 124 —</w:t>
      </w:r>
      <w:r>
        <w:t xml:space="preserve"> </w:t>
      </w:r>
      <w:r>
        <w:rPr>
          <w:b/>
          <w:bCs/>
        </w:rPr>
        <w:t xml:space="preserve">локальная форма</w:t>
      </w:r>
      <w:r>
        <w:t xml:space="preserve">: правила внутреннего распорядка учреждения, где вариативное меню упомянуто одной фразой как место приёма пищи. Он показывает, что учреждение может упомянуть заказное питание в правилах. Порядок выбора он не устанавливает, а нормой ни для других учреждений, ни для проверяющего не служит.</w:t>
      </w:r>
    </w:p>
    <w:p>
      <w:pPr>
        <w:pStyle w:val="BodyText"/>
      </w:pPr>
      <w:r>
        <w:t xml:space="preserve">В сообщении Комитета две оценки, которые часто цитируют порознь: жители приняли выбор с энтузиазмом, и полный переход затруднителен. Вторая оценка — суждение руководителя учреждения, а не результат измерения; данные о влиянии выбора на состав фактического потребления в сообщении не приводятся. Научные данные здесь противоречивы (п. 5.3): в исследовании Wheeler и соавт. переход к выбору в момент еды сопровождался чуть большим потреблением белковых продуктов и овощей и меньшим — углеводных в расчёте на приём пищи [92].</w:t>
      </w:r>
    </w:p>
    <w:bookmarkEnd w:id="82"/>
    <w:bookmarkStart w:id="83"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утверждены «зимнее» и «летнее» 14-дневное меню с пяти- и шестиразовым лечебным и профилактическим питанием; меню разработано с учётом норм питания в ПНИ, утверждённых распоряжением министерства социального развития Московской области от 13.04.2017 № 19РВ-32; работает совет по питанию со ссылкой на приказ Минздрава России № 330; «по желанию получателей социальных услуг и по согласованию с лечащим врачом» совет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dyText"/>
      </w:pPr>
      <w:r>
        <w:rPr>
          <w:b/>
          <w:bCs/>
        </w:rPr>
        <w:t xml:space="preserve">Чего источник не сообщает.</w:t>
      </w:r>
      <w:r>
        <w:t xml:space="preserve"> </w:t>
      </w:r>
      <w:r>
        <w:t xml:space="preserve">Есть ли ежедневный выбор между блюдами при каждом приёме пищи;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 это персонализация меню, а не выбор в момент еды (п. 1.2). Самообслуживание на линии само по себе не означает выбора между вариантами: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 Вторая редакция это уточняет.</w:t>
      </w:r>
    </w:p>
    <w:bookmarkEnd w:id="83"/>
    <w:bookmarkStart w:id="84" w:name="сводная-таблица"/>
    <w:p>
      <w:pPr>
        <w:pStyle w:val="Heading2"/>
      </w:pPr>
      <w:r>
        <w:rPr>
          <w:rStyle w:val="SectionNumber"/>
        </w:rPr>
        <w:t xml:space="preserve">4.10</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[89]</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84"/>
    <w:bookmarkStart w:id="85" w:name="что-следует-из-совокупности-кейсов"/>
    <w:p>
      <w:pPr>
        <w:pStyle w:val="Heading2"/>
      </w:pPr>
      <w:r>
        <w:rPr>
          <w:rStyle w:val="SectionNumber"/>
        </w:rPr>
        <w:t xml:space="preserve">4.11</w:t>
      </w:r>
      <w:r>
        <w:tab/>
      </w:r>
      <w:r>
        <w:t xml:space="preserve">Что следует из совокупности кейсов</w:t>
      </w:r>
    </w:p>
    <w:p>
      <w:pPr>
        <w:pStyle w:val="FirstParagraph"/>
      </w:pPr>
      <w:r>
        <w:t xml:space="preserve">В сообщениях разных учреждений повторяются четыре элемента. Первое: изучение предпочтений до запуска (опрос и балльное ранжирование в Успенском ПНИ, опрос и группировка по популярности в Усть-Илимске). Второе: ограниченный старт — по дням недели (Болотнинский, Каменский), по группе жителей (Усть-Илимск, Серафимовский), по отделениям (Успенский в 2025 г.). Третье: выбор ограничен одним-двумя блюдами приёма пищи, остальное подаётся по общему меню. Четвёртое: коллегиальный орган — совет или комиссия по питанию — появляется в Усть-Илимске и в «Солнечногорском».</w:t>
      </w:r>
    </w:p>
    <w:p>
      <w:pPr>
        <w:pStyle w:val="BodyText"/>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Честный вывод скромнее: стартовый формат (выбор из двух блюд в момент еды в одном приёме пищи) в ряде учреждений был введён без публично названных дополнительных ресурсов; заказ накануне и обслуживание маломобильных в комнатах потребовали ресурсов в учреждении, сообщившем о них (толкование).</w:t>
      </w:r>
    </w:p>
    <w:p>
      <w:pPr>
        <w:pStyle w:val="BodyText"/>
      </w:pPr>
      <w:r>
        <w:t xml:space="preserve">Кейс вариативного меню при аутсорсинге питания найден один — ДСО «Серафимовский», учреждение автора доклада: аутсорсинг подтверждён автором [89] и карточками закупок по 223-ФЗ [90], но условия договора о выборе не проверены.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 проектные решения, которые российская практика пока не подтверждает опубликованными договорами [22, 23].</w:t>
      </w:r>
    </w:p>
    <w:p>
      <w:pPr>
        <w:pStyle w:val="BodyText"/>
      </w:pPr>
      <w:r>
        <w:t xml:space="preserve">Ни одно учреждение не опубликовало данных о весе жителей, потреблении или отходах до и после внедрения. Это главный пробел российской практики: без таких данных спор о пользе и вреде выбора остаётся спором мнений, а довод «популярное не самое полезное» нельзя ни подтвердить, ни опровергнуть.</w:t>
      </w:r>
    </w:p>
    <w:bookmarkEnd w:id="85"/>
    <w:bookmarkEnd w:id="86"/>
    <w:bookmarkStart w:id="102" w:name="научные-данные"/>
    <w:p>
      <w:pPr>
        <w:pStyle w:val="Heading1"/>
      </w:pPr>
      <w:r>
        <w:rPr>
          <w:rStyle w:val="SectionNumber"/>
        </w:rPr>
        <w:t xml:space="preserve">5</w:t>
      </w:r>
      <w:r>
        <w:tab/>
      </w:r>
      <w:r>
        <w:t xml:space="preserve">Научные данные</w:t>
      </w:r>
    </w:p>
    <w:bookmarkStart w:id="87"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ведут в основном двумя доводами: «выбор улучшает качество жизни» и «выбор ухудшит питание, потому что жители предпочтут вкусное вредное полезному». Оба довода эмпирические, и оба можно проверить. Раздел излагает, что о них известно из рецензируемой литературы. Поиск вёлся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вошли только работы, библиографические данные и основные числа которых сверены по аннотации или полному тексту.</w:t>
      </w:r>
    </w:p>
    <w:bookmarkEnd w:id="87"/>
    <w:bookmarkStart w:id="88"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Самая полная оценка распространённости недостаточности питания у пожилых по инструменту MNA (Mini Nutritional Assessment) — метаанализ Cereda и соавт. 2016 г.: 240 исследований,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[93]. Доля лиц в зоне риска в учреждениях выше доли лиц с установленной недостаточностью в несколько раз.</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 исследование Горелика С. Г.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[42]. Ограничения велики: одно учреждение, средний возраст 64,7 года, нет контрольной группы, и «улучшение у 73,5 %» нельзя приписать конкретному вмешательству. Для нашей темы ценна цифра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[53].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88"/>
    <w:bookmarkStart w:id="89"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Самая известная работа о выборе в институциональном питании — исследование Wright, Connelly, Capra и Hendrikz (2013, Brisbane). Обследованы 103 пациента больницы и 210 жителей девяти домов престарелых. Удовлетворённость питанием была связана с количеством предлагаемых вариантов и с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[94]. Две цифры из этой работы часто цитируют без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вторая относится к способу раздачи, а не к выбору [94]. Выборка удобная, данные собраны в 2003–2004 гг. Это одна из немногих работ, где самостоятельным фактором выделено время выбора, а не только число вариантов; отсюда довод в пользу того, чтобы различать на шкале раздачи М1 (выбор накануне) и М2 (выбор в момент еды).</w:t>
      </w:r>
    </w:p>
    <w:p>
      <w:pPr>
        <w:pStyle w:val="BodyText"/>
      </w:pPr>
      <w:r>
        <w:t xml:space="preserve">Abbey, Wright и Capra (2015) описали, как выбор на деле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у жителей на протёртой пище; меню редко планировали с расчётом на альтернативы. Авторы предложили усилить регулирование и мониторинг выбора в рамках национальных стандартов аккредитации [95]. Вывод прямо касается российских ПНИ и домов-интернатов: два блюда на линии раздачи ещё не значат,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традиционную (меню, выбираемое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чуть больше белковых продуктов (+5 г) и овощей (+11 г) и меньше углеводных (−38 г). Производственные отходы выросли с 55 до 90 г на жителя в день. Стоимость питания выросла с 9,20–11,14 до 11,01–12,15 австралийского доллара на жителя в день [92]. Качественное исследование той же группы, основанное на интервью с 20 жителями до и 18 после перехода, показало, что жители связывали возможность выбора в момент еды с ощущением контроля и самостоятельности [96].</w:t>
      </w:r>
    </w:p>
    <w:p>
      <w:pPr>
        <w:pStyle w:val="BodyText"/>
      </w:pPr>
      <w:r>
        <w:t xml:space="preserve">Для российского спора эти данные важны дважды. Во-первых, они не подтверждают опасения, что выбор неизбежно портит состав потребления: в исследовании съеденные блюда из нового меню содержали чуть больше белковых продуктов и овощей. Во-вторых, они называют цену: выбор в момент еды увеличил производственные отходы и стоимость. Вывод о росте стоимости не переносится на российские условия напрямую (другие структура затрат, уровень цен, штат), но направление эффекта надо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 пациент заказывает блюда из ресторанного меню по телефону и получает их приготовленными под заказ —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[97]. Больничный контекст отличается от учреждения долговременного проживания (короткое пребывание, другой состав пациентов), поэтому результат приведён как аналогия, а не как доказательство для ДСО и ПНИ.</w:t>
      </w:r>
    </w:p>
    <w:bookmarkEnd w:id="89"/>
    <w:bookmarkStart w:id="90"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Количественные работы отвечают на вопрос «сколько», качественные — на вопрос «почему выбор не случается, даже когда его хотят». Три работы разных лет и стран описывают барьеры сходно.</w:t>
      </w:r>
    </w:p>
    <w:p>
      <w:pPr>
        <w:pStyle w:val="BodyText"/>
      </w:pPr>
      <w:r>
        <w:t xml:space="preserve">Wang и соавт. (2020) провели углублённые интервью с семью жителями и семью сотрудниками двух австралийских учреждений; анализ строился на теории самодетерминации. Выделены три темы: «питание на массу» (catering for the masses), организационные барьеры для выбора и влияние еды на благополучие [98]. Авторы называют недостаточный выбор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хотели сами принимать решения; их рассказы о еде в учреждении были противоречивыми,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[99].</w:t>
      </w:r>
    </w:p>
    <w:p>
      <w:pPr>
        <w:pStyle w:val="BodyText"/>
      </w:pPr>
      <w:r>
        <w:t xml:space="preserve">Mondkar и соавт. (2025) опросили 17 человек (жители, руководители, сотрудники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старался их поддерживать «где возможно» [100]. Но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[100]. Здесь прямо назван механизм неравенства, который вариативное меню может не устранить, а закрепить: выбор, построенный на вопросе «что вы хотите?», достаётся тем, кто способен ответить и настоять (толкование; ср. п. 7.16).</w:t>
      </w:r>
    </w:p>
    <w:p>
      <w:pPr>
        <w:pStyle w:val="BodyText"/>
      </w:pPr>
      <w:r>
        <w:t xml:space="preserve">Для российского учреждения эти работы ценны как список проверочных вопросов, а не как доказательство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что меняется, если у жителя нет денег и родственников.</w:t>
      </w:r>
    </w:p>
    <w:bookmarkEnd w:id="90"/>
    <w:bookmarkStart w:id="91"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сравнило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 это М4 по шкале раздачи, и исследование показывает эффект целого комплекса перемен, а не одного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[101]. Дизайн пилотный, без рандомизации;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того, что съедается (разнообразие на тарелке, приправы на столе); названия блюд и декор эффекта не дали [102]. Авторы исходят из того, что во французских домах престарелых меню, время, место приёма пищи и место за столом обычно навязаны жителю. Работа полезна как перечень дешёвых мер — с подтверждённым эффектом и без него.</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больший выбор блюд, удлинённые часы работы «ресторана», доступные закуски и автоматы с напитками — в трёх домах, при трёх контрольных [103].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[103]. Авторы признают, что рутинные данные удалось использовать лишь частично, а потери наблюдения и пропуски были велики. Работа поучительна как пример: учреждение может оценивать изменение питания по данным, которые оно и так собирает (падения, масса тела, обращения), но без строгого дизайна и при малой выборке такой анализ даёт лишь направление, а не доказательство.</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был статистически незначим, а изменения среды приёма пищи были связаны с увеличением потребления энергии на 181 ккал/сут (95 % ДИ от −5 до 367; p = 0,06) [104].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[105]. Общий итог: перемены в организации питания, включающие выбор, скорее улучшают удовлетворённость и потребление, чем ухудшают, но эффект на пищевой статус невелик и плохо измерен.</w:t>
      </w:r>
    </w:p>
    <w:bookmarkEnd w:id="91"/>
    <w:bookmarkStart w:id="92"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Самые крупные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[106]. Более высокие шансы быть удовлетворённым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[106]. Обстановка приёма пищи в этом исследовании измерялась вместе с другими элементами среды, поэтому вклад именно питания не выделяется; дизайн ретроспективный и наблюдательный. И всё же это первое из найденных национальных исследований, где среда приёма пищи вошла в число изменяемых факторов, связанных с достоинством жителя, — в одну модель с отношением персонала.</w:t>
      </w:r>
    </w:p>
    <w:p>
      <w:pPr>
        <w:pStyle w:val="BodyText"/>
      </w:pPr>
      <w:r>
        <w:t xml:space="preserve">Вывод для доклада ограниченный, но существенный (толкование): довод «выбор — вопрос достоинства», которым обосновывают вариативное меню, имеет эмпирическую опору на популяционном уровне, но опора касается среды приёма пищи в целом, а не числа вариантов блюд.</w:t>
      </w:r>
    </w:p>
    <w:bookmarkEnd w:id="92"/>
    <w:bookmarkStart w:id="93"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опирается на данные, но не на те, что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более высокое потребление энергии и натрия было связано с худшим качеством рациона [107].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которые составлены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другой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мешали нехватка знаний, времени и разнобой в подходах [108].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[109]. Оба исследования заключают: ответ на риск нездорового выбора —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ограничивать выбор всем жителям из-за риска части из них — непропорциональная мера, не основанная на данных.</w:t>
      </w:r>
    </w:p>
    <w:bookmarkEnd w:id="93"/>
    <w:bookmarkStart w:id="94"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нашей темы в них важны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[110]. Рекомендации ESPEN по питанию при деменции (Volkert и соавт., 2024) содержат 40 рекомендаций, из них семь посвящены условиям в учреждениях: подготовка персонала, привлекательная еда с возможностью выбора, приятная среда приёма пищи [111].</w:t>
      </w:r>
    </w:p>
    <w:p>
      <w:pPr>
        <w:pStyle w:val="BodyText"/>
      </w:pPr>
      <w:r>
        <w:t xml:space="preserve">Юридически это рекомендации профессионального общества для клиницистов, а не нормы; в российском праве они не действуют. Ценны они тем, что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94"/>
    <w:bookmarkStart w:id="95"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 отходы с тарелки (14 источников), обычно взвешиванием (10) или визуальной оценкой (6); интервенционных исследований по снижению отходов нашлось только три [112]. Для сравнения обзор приводит больничные данные: по нарративному обзору Williams и Walton (2011), медиана отходов с тарелки в 32 исследованиях составила 30 % [113]; в больничной литературе допустимым называют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[112].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 не только для оценки меню, но и для расчёта фактически съеденного. Японское исследование CLEVER (Nishida и соавт., 2020) проверило этот расчёт на 46 жителях учреждений долговременного ухода, сравнив потребление энергии, вычисленное по рецептурам и отходам с тарелки за 14–15 дней, с потреблением, определённым методом дважды меченой воды [114].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[114]. Вывод авторов: потеря массы возможна, даже если расчёт по меню и отходам показывает положительный баланс. Для доклада отсюда двойное предупреждение: выполнение норм по раскладке не гарантирует, что житель съел положенное, а снижение отходов после введения выбора — ещё не доказательство роста потребления (толкование).</w:t>
      </w:r>
    </w:p>
    <w:p>
      <w:pPr>
        <w:pStyle w:val="BodyText"/>
      </w:pPr>
      <w:r>
        <w:t xml:space="preserve">Отходы с тарелки — самый доступный российскому учреждению показатель результата: их можно измерять визуальной шкалой или взвешиванием без лабораторных исследований и без медицинской лицензии. Сопоставление отходов до и после введения выбора — минимальная доказательная база, которую учреждение может собрать само (рекомендация, см. п. 7.9).</w:t>
      </w:r>
    </w:p>
    <w:bookmarkEnd w:id="95"/>
    <w:bookmarkStart w:id="96"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[115]. Число дано как контекст, а не как оценка для России: публично долю таких жителей в российском ПНИ или доме-интернате никто не измерял. Вместе с работой Abbey и соавт. [95] оно показывает, что вариативное меню, придуманное для ходячих и говорящих жителей, может не дойти до половины дома. Решения о консистенции — клинические и в этом докладе не рассматриваются.</w:t>
      </w:r>
    </w:p>
    <w:bookmarkEnd w:id="96"/>
    <w:bookmarkStart w:id="97"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доказательства его эффекта на потребление оказались неоднородными [116].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[117]. Связь наблюдательная и причинности не доказывает, но согласуется с мыслью, что качество питания зависит от кадров не меньше, чем от норм.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делают вывод, что без государственного финансирования, политики и стандартов улучшение питания в учреждениях ограничено [118].</w:t>
      </w:r>
    </w:p>
    <w:bookmarkEnd w:id="97"/>
    <w:bookmarkStart w:id="98"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много жителей не едят самостоятельно, судьба вариативного меню решается персоналом. Самые подробные данные о нужном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[119]</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[120]</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[121]</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[122]</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Для российского учреждения из этих работ следуют три наблюдения. Первое: жителю, которому нужна только словесная подсказка и присутствие сотрудника, требовалось столько же времени (35–40 минут на приём пищи), сколько физически зависимому [121]; авторы заключают, что американская система оплаты ухода, учитывающая главным образом физическую зависимость, недооценивает это время. Второе: разрыв между временем, которое реально тратилось (5–9 минут), и временем, которое давало эффект (35–42 минуты), составлял четыре-восемь раз [119, 120, 122]. Третье: перекус между приёмами пищи с выбором требовал втрое-вчетверо меньше времени, чем помощь во время еды, и помогал почти половине тех, кому не помогла помощь во время еды [120, 122]; авторы считают его более осуществимым в повседневной практике.</w:t>
      </w:r>
    </w:p>
    <w:p>
      <w:pPr>
        <w:pStyle w:val="BodyText"/>
      </w:pPr>
      <w:r>
        <w:t xml:space="preserve">Перенос на российские условия ограничен (толкование): другие штатные нормативы, другой состав жителей, исследования проведены 18–25 лет назад. Но порядок величин помогает проверить реализм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а уже потом — на выбор (п. 7.15).</w:t>
      </w:r>
    </w:p>
    <w:bookmarkEnd w:id="98"/>
    <w:bookmarkStart w:id="99"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[123]. В докладе «Не просто накормить» 8 долларов названы стоимостью сырья [22]; по тексту статьи это стоимость всего кейтеринга. Вторая редакция это уточняет.</w:t>
      </w:r>
    </w:p>
    <w:p>
      <w:pPr>
        <w:pStyle w:val="BodyText"/>
      </w:pPr>
      <w:r>
        <w:t xml:space="preserve">Прямо пересчитывать австралийские цифры в рубли нельзя: различаются цены, состав затрат и устройство учреждений. Значимо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[92]). Российских опубликованных расчётов стоимости вариативного меню не найдено.</w:t>
      </w:r>
    </w:p>
    <w:bookmarkEnd w:id="99"/>
    <w:bookmarkStart w:id="100"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 экстраполяция.</w:t>
      </w:r>
    </w:p>
    <w:p>
      <w:pPr>
        <w:pStyle w:val="BodyText"/>
      </w:pPr>
      <w:r>
        <w:t xml:space="preserve">Нет исследований, сравнивающих разные числа вариантов (два, три, семь) в одном дизайне. Нет данных о том, как выбор влияет на пищевое поведение людей с интеллектуальными нарушениями в учреждениях;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которые измеряли бы, получает ли выбор житель, не способный его выразить, — качественные работы лишь описывают, что такие жители выбором пользуются реже [100].</w:t>
      </w:r>
    </w:p>
    <w:bookmarkEnd w:id="100"/>
    <w:bookmarkStart w:id="101"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[93]</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[42]</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[94]</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[95]</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[101]</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[102]</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[104]</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[105]</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[92]</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[112]</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[117]</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[107]</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[97]</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[103]</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[98]</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[99]</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[100]</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[106]</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[114]</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[119–122]</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1"/>
    <w:bookmarkEnd w:id="102"/>
    <w:bookmarkStart w:id="116" w:name="зарубежное-регулирование"/>
    <w:p>
      <w:pPr>
        <w:pStyle w:val="Heading1"/>
      </w:pPr>
      <w:r>
        <w:rPr>
          <w:rStyle w:val="SectionNumber"/>
        </w:rPr>
        <w:t xml:space="preserve">6</w:t>
      </w:r>
      <w:r>
        <w:tab/>
      </w:r>
      <w:r>
        <w:t xml:space="preserve">Зарубежное регулирование</w:t>
      </w:r>
    </w:p>
    <w:bookmarkStart w:id="103"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ссылкой на них нельзя заменить российское основание для решения учреждения. Ценны они другим: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ставят другие правопорядки и где эти требования упираются в те же противоречия, что и у нас. Первая редакция обзора упоминала зарубежный опыт кратко и включала раздел о «практике стран СНГ» без источников [1]; вторая редакция этот раздел не повторяет, а зарубежный блок строит по первоисточникам.</w:t>
      </w:r>
    </w:p>
    <w:bookmarkEnd w:id="103"/>
    <w:bookmarkStart w:id="104"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нужна [124].</w:t>
      </w:r>
    </w:p>
    <w:p>
      <w:pPr>
        <w:pStyle w:val="BodyText"/>
      </w:pPr>
      <w:r>
        <w:t xml:space="preserve">Конструкция поучительна тремя чертами. Предпочтения названы частью «потребности в питании», а не дополнительной услугой. Требования ограничены критерием разумности. Регламент 14(3) ставит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[124]. Коллизию «выбор против здоровья» английское право 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должны быть удовлетворены,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чтобы учитывать предпочтения, в том числе о времени, месте подачи и количестве еды [125]. Там же —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[125].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[125].</w:t>
      </w:r>
    </w:p>
    <w:p>
      <w:pPr>
        <w:pStyle w:val="BodyText"/>
      </w:pPr>
      <w:r>
        <w:t xml:space="preserve">Российскому читателю здесь важно соотношение уровней: выбор закреплён не в отдельном «стандарте меню», а в определении потребности в питании, нарушение которой может иметь уголовные последствия. Российский аналог по месту в системе — стандарт социальной услуги по обеспечению питанием в региональном порядке, но его содержание в проанализированных регионах ограничивается нормами продуктов (п. 3.15) (толкование).</w:t>
      </w:r>
    </w:p>
    <w:bookmarkEnd w:id="104"/>
    <w:bookmarkStart w:id="105"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[126].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[126].</w:t>
      </w:r>
    </w:p>
    <w:p>
      <w:pPr>
        <w:pStyle w:val="BodyText"/>
      </w:pPr>
      <w:r>
        <w:t xml:space="preserve">Шотландские стандарты — прецедент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05"/>
    <w:bookmarkStart w:id="106" w:name="X86c4f599a5690b867b41745bfec1bfe6bd7b60d"/>
    <w:p>
      <w:pPr>
        <w:pStyle w:val="Heading2"/>
      </w:pPr>
      <w:r>
        <w:rPr>
          <w:rStyle w:val="SectionNumber"/>
        </w:rPr>
        <w:t xml:space="preserve">6.4</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[127]. Меню должны составляться заранее и соблюдаться, отражать религиозные, культурные и этнические потребности и мнения жителей и их объединений, пересматриваться диетологом; при этом прямо сказано,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если перед сном подаётся питательный перекус и группа жителей согласна, — до 16 часов. Жителям, желающим есть вне установленного времени, должны предоставляться подходящие альтернативные блюда и перекусы [127].</w:t>
      </w:r>
    </w:p>
    <w:p>
      <w:pPr>
        <w:pStyle w:val="BodyText"/>
      </w:pPr>
      <w:r>
        <w:t xml:space="preserve">Американская норма — самый точный зарубежный аналог российского «вариативного меню»: она требует не выбора из двух блюд на каждый приём пищи, а гарантированной альтернативы «сходной пищевой ценности» по запросу. Вопрос о соблюдении норм тем самым снят: альтернатива по определению равноценна основному блюду.</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[128]. Замена должна соответствовать «обычному ассортименту» учреждения: пример руководства — вместо грейпфрутового сока предложить другой цитрусовый или богатый витамином C сок, который житель любит [128]. Процедура проверки: наблюдать за раздачей и, если житель отказывается от блюда или напитка, установить, предложили ли ему замену; опросные вопросы — как еда соответствует предпочтениям жителя, предлагают ли замену при отказе, как жителям сообщают об альтернативах, как сведения о предпочтениях доходят до персонала [128]. При выявлении нарушения инспектору предлагается проверить смежные требования: учтены ли предпочтения при комплексной оценке жителя, включены ли в план ухода, пересматривался ли план с участием жителя или его представителя [128]. Форма наблюдения за приёмом пищи (CMS-20053) отдельно предписывает начинать наблюдение с первого приёма пищи после прибытия проверяющих, в первую очередь в залах, где больше всего жителей, нуждающихся в помощи, и в разделе «Выбор» — выяснять реакцию персонала на отказ идти в столовую, отказ от блюда или просьбу о замене [129].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за столом не доели все; помогающий сидит рядом, а не стоит над жителем, и разговаривает с ним, а не с коллегами; жителю дают столько времени, сколько ему нужно [129].</w:t>
      </w:r>
    </w:p>
    <w:p>
      <w:pPr>
        <w:pStyle w:val="BodyText"/>
      </w:pPr>
      <w:r>
        <w:t xml:space="preserve">Американская процедура показывает, что выбор можно проверить, не считая блюд в меню: предмет проверки — ответ учреждения на отказ конкретного жителя, наблюдаемый в реальном приёме пищи и подтверждаемый опросом.</w:t>
      </w:r>
    </w:p>
    <w:bookmarkEnd w:id="106"/>
    <w:bookmarkStart w:id="107" w:name="X63ed27c1725770a12e9503c231298d2b2ea6706"/>
    <w:p>
      <w:pPr>
        <w:pStyle w:val="Heading2"/>
      </w:pPr>
      <w:r>
        <w:rPr>
          <w:rStyle w:val="SectionNumber"/>
        </w:rPr>
        <w:t xml:space="preserve">6.5</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[130].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выбор перекусов днём и вечером.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[130].</w:t>
      </w:r>
    </w:p>
    <w:p>
      <w:pPr>
        <w:pStyle w:val="BodyText"/>
      </w:pPr>
      <w:r>
        <w:t xml:space="preserve">Онтарийская норма показывает, что выбор и цикличность совместимы: цикл в 21 день сам предусматривает альтернативы на каждом приёме пищи. Видно в ней и разграничение, которого нет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только когда помогающий свободен; рассматривал ли совет жителей время приёмов пищи и перекусов; сообщаются ли все замены в меню жителям и персоналу [131].</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07"/>
    <w:bookmarkStart w:id="108" w:name="австралия-усиленные-стандарты-качества"/>
    <w:p>
      <w:pPr>
        <w:pStyle w:val="Heading2"/>
      </w:pPr>
      <w:r>
        <w:rPr>
          <w:rStyle w:val="SectionNumber"/>
        </w:rPr>
        <w:t xml:space="preserve">6.6</w:t>
      </w:r>
      <w:r>
        <w:tab/>
      </w:r>
      <w:r>
        <w:t xml:space="preserve">Австралия: усиленные стандарты качества</w:t>
      </w:r>
    </w:p>
    <w:p>
      <w:pPr>
        <w:pStyle w:val="FirstParagraph"/>
      </w:pPr>
      <w:r>
        <w:t xml:space="preserve">С 01.11.2025, с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[132].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[132]. В Австралии выбор в питании стал предметом государственного стандарта после серии исследований, показавших, как мало его на деле [95].</w:t>
      </w:r>
    </w:p>
    <w:bookmarkEnd w:id="108"/>
    <w:bookmarkStart w:id="109" w:name="Xb8dfc2f5e7342633de66101e6d70d2c5d40554b"/>
    <w:p>
      <w:pPr>
        <w:pStyle w:val="Heading2"/>
      </w:pPr>
      <w:r>
        <w:rPr>
          <w:rStyle w:val="SectionNumber"/>
        </w:rPr>
        <w:t xml:space="preserve">6.7</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 рекомендация профессионального общества, а не закон [133]. Для российской дискуссии он ценен тем, что описывает выбор не как принцип, а как набор проверяемых операционных требований:</w:t>
      </w:r>
    </w:p>
    <w:p>
      <w:pPr>
        <w:pStyle w:val="Compact"/>
        <w:numPr>
          <w:ilvl w:val="0"/>
          <w:numId w:val="1013"/>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[133]. На плане меню несколько линий должны быть представлены наглядно, а рекомендуемая — выделена (первой строкой, цветом или символом) [133];</w:t>
      </w:r>
    </w:p>
    <w:p>
      <w:pPr>
        <w:pStyle w:val="Compact"/>
        <w:numPr>
          <w:ilvl w:val="0"/>
          <w:numId w:val="1013"/>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[133];</w:t>
      </w:r>
    </w:p>
    <w:p>
      <w:pPr>
        <w:pStyle w:val="Compact"/>
        <w:numPr>
          <w:ilvl w:val="0"/>
          <w:numId w:val="1013"/>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[133]. В предыдущей версии второй редакции доклада для учреждений было указано «не менее четырёх недель»; по тексту стандарта это значение относится к доставке на дом (исправлено, см. Приложение В);</w:t>
      </w:r>
    </w:p>
    <w:p>
      <w:pPr>
        <w:pStyle w:val="Compact"/>
        <w:numPr>
          <w:ilvl w:val="0"/>
          <w:numId w:val="1013"/>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[133];</w:t>
      </w:r>
    </w:p>
    <w:p>
      <w:pPr>
        <w:pStyle w:val="Compact"/>
        <w:numPr>
          <w:ilvl w:val="0"/>
          <w:numId w:val="1013"/>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[133];</w:t>
      </w:r>
    </w:p>
    <w:p>
      <w:pPr>
        <w:pStyle w:val="Compact"/>
        <w:numPr>
          <w:ilvl w:val="0"/>
          <w:numId w:val="1013"/>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[133];</w:t>
      </w:r>
    </w:p>
    <w:p>
      <w:pPr>
        <w:pStyle w:val="Compact"/>
        <w:numPr>
          <w:ilvl w:val="0"/>
          <w:numId w:val="1013"/>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[133];</w:t>
      </w:r>
    </w:p>
    <w:p>
      <w:pPr>
        <w:pStyle w:val="Compact"/>
        <w:numPr>
          <w:ilvl w:val="0"/>
          <w:numId w:val="1013"/>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[133];</w:t>
      </w:r>
    </w:p>
    <w:p>
      <w:pPr>
        <w:pStyle w:val="Compact"/>
        <w:numPr>
          <w:ilvl w:val="0"/>
          <w:numId w:val="1013"/>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[133];</w:t>
      </w:r>
    </w:p>
    <w:p>
      <w:pPr>
        <w:pStyle w:val="Compact"/>
        <w:numPr>
          <w:ilvl w:val="0"/>
          <w:numId w:val="1013"/>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[133], то есть то же ограничение, что в п. 32 СанПиН 4282-26 [3].</w:t>
      </w:r>
    </w:p>
    <w:p>
      <w:pPr>
        <w:pStyle w:val="FirstParagraph"/>
      </w:pPr>
      <w:r>
        <w:t xml:space="preserve">Из этого перечня российскому учреждению легче всего перенести четыре элемента (рекомендация): план меню с указанием основных компонентов и, где это нужно, с изображениями; пищевая биография при поступлении как основа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других вариантов. Последний приём — «подталкивание» (nudging) — стандарт DGE прямо рассматривает как альтернативу ограничению выбора [133].</w:t>
      </w:r>
    </w:p>
    <w:p>
      <w:pPr>
        <w:pStyle w:val="BodyText"/>
      </w:pPr>
      <w:r>
        <w:t xml:space="preserve">Австрийские стандарты качества питания в учреждениях ухода (2022) по аналогии рекомендуют учитывать предпочтения и избегать необоснованных ограничений рациона [134].</w:t>
      </w:r>
    </w:p>
    <w:bookmarkEnd w:id="109"/>
    <w:bookmarkStart w:id="110" w:name="Xd0ab6093744630a5e65ce6ff3bb0fc2b7982e9b"/>
    <w:p>
      <w:pPr>
        <w:pStyle w:val="Heading2"/>
      </w:pPr>
      <w:r>
        <w:rPr>
          <w:rStyle w:val="SectionNumber"/>
        </w:rPr>
        <w:t xml:space="preserve">6.8</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[135].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 не более 11 часов; приёмы пищи должны быть многочисленными, небольшими, насыщенными энергией и белком и распределёнными по суткам [135].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только если съедена, «важнее, чтобы еда была вкусной и возбуждала аппетит, чем чтобы она точно соответствовала нормам питания» [135]. Тезис обращён к планированию рациона для групп с плохим аппетитом и норм не отменяет, но задаёт иерархию, обратную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похожа на домашнюю [135]. Здесь «выбор» переведён в формулировки, пригодные для договора и проверки, причём первым критерием стоит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могут предлагать, каким должно быть меню и как сделать приём пищи спокойным [135].</w:t>
      </w:r>
    </w:p>
    <w:p>
      <w:pPr>
        <w:pStyle w:val="BodyText"/>
      </w:pPr>
      <w:r>
        <w:rPr>
          <w:b/>
          <w:bCs/>
        </w:rPr>
        <w:t xml:space="preserve">Базовое меню и закупка.</w:t>
      </w:r>
      <w:r>
        <w:t xml:space="preserve"> </w:t>
      </w:r>
      <w:r>
        <w:t xml:space="preserve">Первый из пяти шагов планирования — создать «базовое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[135]. Базовое меню служит одновременно для расчёта пищевой ценности на уровне группы, для учёта потребления, для внутренних расчётов и для закупки [135]. Второй шаг — готовить в объёме, который реально съедается, и строить систему заказа так, чтобы минимизировать отходы [135]. Так снимается российский вопрос о совместимости выбора с нормами (п. 3.15) и с закупкой (п. 7.13): нормы проверяют по базовому меню на уровне группы, а выбор живёт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более длинное время подачи, больше вариантов, возможность выбрать соседей по столу;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[135].</w:t>
      </w:r>
    </w:p>
    <w:bookmarkEnd w:id="110"/>
    <w:bookmarkStart w:id="111" w:name="X075230f8727df5dd6afc65a950c119f1082648d"/>
    <w:p>
      <w:pPr>
        <w:pStyle w:val="Heading2"/>
      </w:pPr>
      <w:r>
        <w:rPr>
          <w:rStyle w:val="SectionNumber"/>
        </w:rPr>
        <w:t xml:space="preserve">6.9</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[136].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когда позволяет жителям дома престарелых отказываться от питания только целыми днями (с уведомлением до 12 часов предыдущего дня) и не позволяет отказываться от отдельных приёмов пищи [136].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[136].</w:t>
      </w:r>
    </w:p>
    <w:p>
      <w:pPr>
        <w:pStyle w:val="BodyText"/>
      </w:pPr>
      <w:r>
        <w:t xml:space="preserve">Здесь выбор понят не как выбор блюда, а как право не участвовать в общем питании в конкретный приём. В российском праве ближайшая конструкция — отказ от социальной услуги (ст. 18 442-ФЗ) [24], но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решают на уровне платы и договора, а не только меню.</w:t>
      </w:r>
    </w:p>
    <w:bookmarkEnd w:id="111"/>
    <w:bookmarkStart w:id="112" w:name="X516cbe5cf56d1ad5b032841e37269dca628e41a"/>
    <w:p>
      <w:pPr>
        <w:pStyle w:val="Heading2"/>
      </w:pPr>
      <w:r>
        <w:rPr>
          <w:rStyle w:val="SectionNumber"/>
        </w:rPr>
        <w:t xml:space="preserve">6.10</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[137]. Это путь финансового стимула: платят за измерение и управление питанием.</w:t>
      </w:r>
    </w:p>
    <w:p>
      <w:pPr>
        <w:pStyle w:val="BodyText"/>
      </w:pPr>
      <w:r>
        <w:t xml:space="preserve">Второй японский механизм прямо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должна взиматься отдельно и чётко отделяться от обычной платы [138]. Критерии такого питания установлены приказом-уведомлением № 123 [139]:</w:t>
      </w:r>
    </w:p>
    <w:p>
      <w:pPr>
        <w:pStyle w:val="Compact"/>
        <w:numPr>
          <w:ilvl w:val="0"/>
          <w:numId w:val="1014"/>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14"/>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14"/>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14"/>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14"/>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14"/>
        </w:numPr>
      </w:pPr>
      <w:r>
        <w:t xml:space="preserve">договор заключается после ясного объяснения, что это дополнительная плата сверх обычной [139].</w:t>
      </w:r>
    </w:p>
    <w:p>
      <w:pPr>
        <w:pStyle w:val="FirstParagraph"/>
      </w:pPr>
      <w:r>
        <w:t xml:space="preserve">Японская конструкция разводит два вопроса, которые в российской дискуссии часто смешивают: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Для российского учреждения прямой аналогии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Ценен сам перечень гарантий: запрет ухудшения базового меню, информирование, согласие, медицинский фильтр и публичная цена.</w:t>
      </w:r>
    </w:p>
    <w:bookmarkEnd w:id="112"/>
    <w:bookmarkStart w:id="113" w:name="X335a4f457402e0cee31dd52e726a999b64c151d"/>
    <w:p>
      <w:pPr>
        <w:pStyle w:val="Heading2"/>
      </w:pPr>
      <w:r>
        <w:rPr>
          <w:rStyle w:val="SectionNumber"/>
        </w:rPr>
        <w:t xml:space="preserve">6.11</w:t>
      </w:r>
      <w:r>
        <w:tab/>
      </w: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старых докладов считает верифицированными IDDSI, регламент 14 CQC и ст. 12 Конвенции о правах инвалидов, а каркас международного доклада на ту же дату пишет «проверено источников 0» [23]. Ниже — только то, что сверено с первоисточником для этой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[140]</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[140]</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[124]</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[124]</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[37]</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[37]</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Каркас международного доклада проекта остаётся каркасом: проверка трёх опор не превращает его в обзор опыта стран (рабочая база знаний, wiki/gaps.md, п. 11) [23].</w:t>
      </w:r>
    </w:p>
    <w:bookmarkEnd w:id="113"/>
    <w:bookmarkStart w:id="114" w:name="сводная-таблица-2"/>
    <w:p>
      <w:pPr>
        <w:pStyle w:val="Heading2"/>
      </w:pPr>
      <w:r>
        <w:rPr>
          <w:rStyle w:val="SectionNumber"/>
        </w:rPr>
        <w:t xml:space="preserve">6.12</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[124]</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[126]</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США</w:t>
            </w:r>
          </w:p>
        </w:tc>
        <w:tc>
          <w:tcPr/>
          <w:p>
            <w:pPr>
              <w:pStyle w:val="Compact"/>
            </w:pPr>
            <w:r>
              <w:t xml:space="preserve">42 CFR § 483.60 [127]</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[130]</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[132]</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[133]</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[135]</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[136]</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[137]; приказы-уведомления № 419 и № 123 [138, 139]</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14"/>
    <w:bookmarkStart w:id="115" w:name="выводы-для-российской-дискуссии"/>
    <w:p>
      <w:pPr>
        <w:pStyle w:val="Heading2"/>
      </w:pPr>
      <w:r>
        <w:rPr>
          <w:rStyle w:val="SectionNumber"/>
        </w:rPr>
        <w:t xml:space="preserve">6.13</w:t>
      </w:r>
      <w:r>
        <w:tab/>
      </w:r>
      <w:r>
        <w:t xml:space="preserve">Выводы для российской дискуссии</w:t>
      </w:r>
    </w:p>
    <w:p>
      <w:pPr>
        <w:pStyle w:val="FirstParagraph"/>
      </w:pPr>
      <w:r>
        <w:t xml:space="preserve">Ни одна из рассмотренных систем, кроме Онтарио, не требует выбора на каждом приёме пищи; онтарийская норма при этом не фиксирует число вариантов. Общий знаменатель другой: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а питание измеряется и оплачивается как управляемый процесс (Япония). Расширенный обзор этой редакции добавляет три операционных приёма, для которых не нужно менять законы: несколько «линий меню» с выделением рекомендуемой вместо запрета остальных (Германия); базовое меню, по которому проверяются нормы на уровне группы, с вариантами внутри него (Швеция); и критерии влияния жителя на приём пищи, сформулированные для договора и проверки, где первым стоит субъективное ощущение самого жителя (Швеция). Датский и японский примеры показывают другой уровень вопроса — плату: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w:t>
      </w:r>
    </w:p>
    <w:bookmarkEnd w:id="115"/>
    <w:bookmarkEnd w:id="116"/>
    <w:bookmarkStart w:id="135"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17"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ниже описывают решения, которые учреждение вправе принять само, не выходя за действующие нормы. В конце каждого сказано, что в нём норма, что толкование, что рекомендация. Числовые примеры — иллюстративная арифметика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где такой вопрос возникает, сказано, что решает врач.</w:t>
      </w:r>
    </w:p>
    <w:bookmarkEnd w:id="117"/>
    <w:bookmarkStart w:id="118"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(столбец «кроме ПНИ и ДСО») в действующей с 01.01.2026 редакции мясо — 90 г нетто, рыба — 32,5 г нетто, птица — 22,2 г нетто [34]. В редакции 2022 г. рыба составляла 41,8 г, птица — 40 г [33]; для ПНИ и ДСО действуют 70,5, 46,7 и 36,5 г. Норма суточная, но учреждения обычно контролируют её по среднему за период (неделя, декада, месяц) через накопительную ведомость. Способ контроля в постановлении не определён (п. 3.15).</w:t>
      </w:r>
    </w:p>
    <w:p>
      <w:pPr>
        <w:pStyle w:val="BodyText"/>
      </w:pPr>
      <w:r>
        <w:rPr>
          <w:b/>
          <w:bCs/>
        </w:rPr>
        <w:t xml:space="preserve">Иллюстрация.</w:t>
      </w:r>
      <w:r>
        <w:t xml:space="preserve"> </w:t>
      </w:r>
      <w:r>
        <w:t xml:space="preserve">Учреждение на 100 жителей. Недельная потребность по норме: мясо 90 × 7 × 100 = 63,0 кг нетто, рыба 32,5 × 7 × 100 = 22,75 кг нетто. Пусть в базовом меню все три дня на обед подают мясное второе с закладкой 75 г нетто мяса на порцию, а альтернативой вводят рыбу (треску).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расход рыбы увеличится на 0,4 × 100 × 94 г × 3 ≈ 11,3 кг. Итог недели: мясо 54,0 кг (85,7 % нормы), рыба 34,0 кг (149,6 % нормы). По редакции 2022 г. (рыба 41,8 г) рыба составила бы 138,6 % нормы: снижение рыбной нормы с 2026 г. делает перекос заметнее.</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50 %. Проверяющий, который сверяет нормы по группам, это расхождение увидит. Снять его можно тремя способами:</w:t>
      </w:r>
    </w:p>
    <w:p>
      <w:pPr>
        <w:pStyle w:val="Compact"/>
        <w:numPr>
          <w:ilvl w:val="0"/>
          <w:numId w:val="1015"/>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в накопительной ведомости показывать пересчёт заменённых количеств в базовый продукт.</w:t>
      </w:r>
    </w:p>
    <w:p>
      <w:pPr>
        <w:pStyle w:val="Compact"/>
        <w:numPr>
          <w:ilvl w:val="0"/>
          <w:numId w:val="1015"/>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15"/>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для взрослых её применение — решение учреждения. Ближайший федеральный документ для взрослых — приложения № 7 и № 8 к рекомендациям, утверждённым постановлением № 12 [31]. Источник таблицы нужно назвать в самом локальном акте.</w:t>
      </w:r>
    </w:p>
    <w:p>
      <w:pPr>
        <w:pStyle w:val="BodyText"/>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18"/>
    <w:bookmarkStart w:id="119"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Строка № 1284 (ред. с 01.01.2026)</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Мясо (в ред. 2022 г. — «говядина,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свежие (в ред. 2022 г. — все виды овощей одной строкой)</w:t>
            </w:r>
          </w:p>
        </w:tc>
        <w:tc>
          <w:tcPr/>
          <w:p>
            <w:pPr>
              <w:pStyle w:val="Compact"/>
            </w:pPr>
            <w:r>
              <w:t xml:space="preserve">Салат из свёклы / салат из свежих овощей / винегрет (с оговоркой о солёных огурцах — отдельная строка)</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 между группами: печень в постановлении № 1284 отдельно не названа: в редакции 2022 г. строка называлась «говядина, свинина», в действующей — «мясо», и относит ли нормотворец субпродукты к этой строке, текст не уточняет [33, 34]. Для неё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dyText"/>
      </w:pPr>
      <w:r>
        <w:rPr>
          <w:b/>
          <w:bCs/>
        </w:rPr>
        <w:t xml:space="preserve">Классы.</w:t>
      </w:r>
      <w:r>
        <w:t xml:space="preserve"> </w:t>
      </w:r>
      <w:r>
        <w:t xml:space="preserve">Норма — группы продуктов № 1284. Рекомендация — подбор пар внутри группы и потока.</w:t>
      </w:r>
    </w:p>
    <w:bookmarkEnd w:id="119"/>
    <w:bookmarkStart w:id="120"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кухня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кухня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[94]. По Wheeler и соавт., переход к выбору в момент еды увеличил производственные отходы с 55 до 90 г на жителя в день [92].</w:t>
      </w:r>
    </w:p>
    <w:p>
      <w:pPr>
        <w:pStyle w:val="BodyText"/>
      </w:pPr>
      <w:r>
        <w:rPr>
          <w:b/>
          <w:bCs/>
        </w:rPr>
        <w:t xml:space="preserve">Санитарное ограничение.</w:t>
      </w:r>
      <w:r>
        <w:t xml:space="preserve"> </w:t>
      </w:r>
      <w:r>
        <w:t xml:space="preserve">СанПиН 4282-26 запрещает реализовать готовые блюда на следующий день и замораживать нереализованные (п. 32) [3]. Всё, что приготовлено под прогноз и не роздано, уходит в отходы, поэтому выбор в момент еды требует прогноза объёмов.</w:t>
      </w:r>
    </w:p>
    <w:p>
      <w:pPr>
        <w:pStyle w:val="BodyText"/>
      </w:pPr>
      <w:r>
        <w:rPr>
          <w:b/>
          <w:bCs/>
        </w:rPr>
        <w:t xml:space="preserve">Иллюстрация прогноза.</w:t>
      </w:r>
      <w:r>
        <w:t xml:space="preserve"> </w:t>
      </w:r>
      <w:r>
        <w:t xml:space="preserve">Старт — 50/50 с небольшим резервом на каждый вариант. Каждый день фиксируется фактическое распределение выбора и число жителей, которым не хватило выбранного варианта. Через две-три недели пропорции поправляют по статистике. Качество прогноза показывает доля жителей, не получивших выбранного варианта; она должна стремиться к нулю. Потери показывает масса нерозданных порций.</w:t>
      </w:r>
    </w:p>
    <w:p>
      <w:pPr>
        <w:pStyle w:val="BodyText"/>
      </w:pPr>
      <w:r>
        <w:rPr>
          <w:b/>
          <w:bCs/>
        </w:rPr>
        <w:t xml:space="preserve">Компромисс.</w:t>
      </w:r>
      <w:r>
        <w:t xml:space="preserve"> </w:t>
      </w:r>
      <w:r>
        <w:t xml:space="preserve">Заказ накануне для маломобильных жителей, получающих пищу в комнатах (правила внутреннего распорядка ДСО «Серафимовский» разводят столовую, «зал заказного питания (вариативное меню)» и приём пищи маломобильных жителей в комнатах, но порядок заказа для последних не определяют [28]), и выбор в момент еды в столовой.</w:t>
      </w:r>
    </w:p>
    <w:p>
      <w:pPr>
        <w:pStyle w:val="BodyText"/>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20"/>
    <w:bookmarkStart w:id="121"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то санитары или младшие медицинские сёстры, которые порционируют второй вариант, должны иметь раздачу в должностных обязанностях и пройти гигиеническую подготовку. Проблема частая и незаметная: при едином меню в отделение привозят готовые порции, а с выбором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Работают два решения: лист заказа накануне (сценарий 3) или поднос с обоими вариантами малыми порциями и выбор на месте; во втором случае надо решить, что делать с остатком. Доклад «Не просто накормить» формулирует правило «два варианта на подносе, а не вторая линия в коридоре» [22] — это рекомендация.</w:t>
      </w:r>
    </w:p>
    <w:p>
      <w:pPr>
        <w:pStyle w:val="BodyText"/>
      </w:pPr>
      <w:r>
        <w:rPr>
          <w:b/>
          <w:bCs/>
        </w:rPr>
        <w:t xml:space="preserve">Время.</w:t>
      </w:r>
      <w:r>
        <w:t xml:space="preserve"> </w:t>
      </w:r>
      <w:r>
        <w:t xml:space="preserve">Если выбор в момент еды растягивает раздачу, надо проверить, укладывается ли последняя порция в три часа с момента изготовления; если нет — готовить партиями.</w:t>
      </w:r>
    </w:p>
    <w:p>
      <w:pPr>
        <w:pStyle w:val="BodyText"/>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21"/>
    <w:bookmarkStart w:id="122"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 самостоятельный объект санитарного контроля. Для каждого варианта учреждение должно иметь:</w:t>
      </w:r>
    </w:p>
    <w:p>
      <w:pPr>
        <w:pStyle w:val="Compact"/>
        <w:numPr>
          <w:ilvl w:val="0"/>
          <w:numId w:val="1016"/>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16"/>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16"/>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разумно отбирать пробу каждого (рекомендация): без пробы одного из вариантов при пищевом отравлении источник не установить;</w:t>
      </w:r>
    </w:p>
    <w:p>
      <w:pPr>
        <w:pStyle w:val="Compact"/>
        <w:numPr>
          <w:ilvl w:val="0"/>
          <w:numId w:val="1016"/>
        </w:numPr>
      </w:pPr>
      <w:r>
        <w:t xml:space="preserve">сведения об аллергенах, если блюдо содержит ингредиенты с аллергенными свойствами (п. 43) [3].</w:t>
      </w:r>
    </w:p>
    <w:p>
      <w:pPr>
        <w:pStyle w:val="FirstParagraph"/>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22"/>
    <w:bookmarkStart w:id="123"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учреждение — по 223-ФЗ и своему положению о закупке, за исключением случаев, когда закупка финансируется субсидией на капитальные вложения (ч. 4 ст. 15 44-ФЗ) [55, 56]. В Санкт-Петербурге ДСО «Серафимовский» (автономное учреждение) закупает по 223-ФЗ, а ДСО «Тесовый берег» (бюджетное) — по 44-ФЗ: извещение № 0372200070825000244 от 24.11.2025 о поставке продуктов питания размещено как открытый конкурс [63].</w:t>
      </w:r>
    </w:p>
    <w:p>
      <w:pPr>
        <w:pStyle w:val="BodyText"/>
      </w:pPr>
      <w:r>
        <w:rPr>
          <w:b/>
          <w:bCs/>
        </w:rPr>
        <w:t xml:space="preserve">Выбор и контракт.</w:t>
      </w:r>
      <w:r>
        <w:t xml:space="preserve"> </w:t>
      </w:r>
      <w:r>
        <w:t xml:space="preserve">С выбором объёмы отдельных продуктов колеблются: если 40 % жителей выбирают рыбу, рыбы нужно больше, мяса меньше (сценарий 1). Контракт с жёстко зафиксированными количествами по позициям этого не выдержит.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[55].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[55]. Для вариативного меню удобнее первый инструмент: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[56]. Автономное учреждение может предусмотреть рамочные договоры с ценой единицы и заявочной поставкой. Поэтому 223-ФЗ для выбора гибче, но гибкость задаёт текст положения, а не закон.</w:t>
      </w:r>
    </w:p>
    <w:p>
      <w:pPr>
        <w:pStyle w:val="BodyText"/>
      </w:pPr>
      <w:r>
        <w:rPr>
          <w:b/>
          <w:bCs/>
        </w:rPr>
        <w:t xml:space="preserve">Спецификация.</w:t>
      </w:r>
      <w:r>
        <w:t xml:space="preserve"> </w:t>
      </w:r>
      <w:r>
        <w:t xml:space="preserve">Для обоих контуров выбор живёт в спецификации: группы взаимозаменяемых продуктов, пропорции по статистике выбора, допустимые замены. Избыточная детализация (конкретная торговая марка, необоснованные характеристики) может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тогда, когда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w:t>
      </w:r>
    </w:p>
    <w:p>
      <w:pPr>
        <w:pStyle w:val="BodyText"/>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23"/>
    <w:bookmarkStart w:id="124"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Проверяющий оценивает документы и факты, а не намерения. До начала пилота разумно собрать следующий комплект (рекомендация):</w:t>
      </w:r>
    </w:p>
    <w:p>
      <w:pPr>
        <w:pStyle w:val="Compact"/>
        <w:numPr>
          <w:ilvl w:val="0"/>
          <w:numId w:val="1017"/>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Правила внутреннего распорядка ДСО «Серафимовский», утверждённые приказом № 124 [28], таким актом не являются. Они упоминают «зал заказного питания (вариативное меню)» одной фразой о месте приёма пищи. Отдельного положения об организации вариативного питания учреждение в открытом доступе не публикует (п. 4.8). Пример показывает минимум, а не образец.</w:t>
      </w:r>
    </w:p>
    <w:p>
      <w:pPr>
        <w:pStyle w:val="Compact"/>
        <w:numPr>
          <w:ilvl w:val="0"/>
          <w:numId w:val="1017"/>
        </w:numPr>
      </w:pPr>
      <w:r>
        <w:t xml:space="preserve">Утверждённое цикличное меню с указанием вариантов.</w:t>
      </w:r>
    </w:p>
    <w:p>
      <w:pPr>
        <w:pStyle w:val="Compact"/>
        <w:numPr>
          <w:ilvl w:val="0"/>
          <w:numId w:val="1017"/>
        </w:numPr>
      </w:pPr>
      <w:r>
        <w:t xml:space="preserve">Таблица замен с указанием источника и расчёт выполнения норм за период с учётом замен.</w:t>
      </w:r>
    </w:p>
    <w:p>
      <w:pPr>
        <w:pStyle w:val="Compact"/>
        <w:numPr>
          <w:ilvl w:val="0"/>
          <w:numId w:val="1017"/>
        </w:numPr>
      </w:pPr>
      <w:r>
        <w:t xml:space="preserve">Технологические документы на каждый вариант.</w:t>
      </w:r>
    </w:p>
    <w:p>
      <w:pPr>
        <w:pStyle w:val="Compact"/>
        <w:numPr>
          <w:ilvl w:val="0"/>
          <w:numId w:val="1017"/>
        </w:numPr>
      </w:pPr>
      <w:r>
        <w:t xml:space="preserve">Журналы бракеража и суточных проб с записями по каждому варианту.</w:t>
      </w:r>
    </w:p>
    <w:p>
      <w:pPr>
        <w:pStyle w:val="Compact"/>
        <w:numPr>
          <w:ilvl w:val="0"/>
          <w:numId w:val="1017"/>
        </w:numPr>
      </w:pPr>
      <w:r>
        <w:t xml:space="preserve">Учёт выбора: лист заказа (при заказе накануне) или ежедневная статистика распределения выбора.</w:t>
      </w:r>
    </w:p>
    <w:p>
      <w:pPr>
        <w:pStyle w:val="Compact"/>
        <w:numPr>
          <w:ilvl w:val="0"/>
          <w:numId w:val="1017"/>
        </w:numPr>
      </w:pPr>
      <w:r>
        <w:t xml:space="preserve">Протоколы совета (комиссии) по питанию, если такой создан.</w:t>
      </w:r>
    </w:p>
    <w:p>
      <w:pPr>
        <w:pStyle w:val="Compact"/>
        <w:numPr>
          <w:ilvl w:val="0"/>
          <w:numId w:val="1017"/>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Типовые вопросы и ответы. «Почему подают не по меню?» — Варианты включены в утверждённое меню. «Где выполнение норм?» — Накопительная ведомость с пересчётом замен.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а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24"/>
    <w:bookmarkStart w:id="125"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4.11). Зарубежные данные: в исследовании Wheeler и соавт. стоимость выросла с 9,20–11,14 до 11,01–12,15 австралийского доллара на жителя в день, производственные отходы — с 55 до 90 г [92]. Средняя стоимость кейтеринга в австралийских учреждениях — 8,00 доллара в день, из них сырьё — 6,08 доллара [123].</w:t>
      </w:r>
    </w:p>
    <w:p>
      <w:pPr>
        <w:pStyle w:val="BodyText"/>
      </w:pPr>
      <w:r>
        <w:rPr>
          <w:b/>
          <w:bCs/>
        </w:rPr>
        <w:t xml:space="preserve">Где возникают затраты (толкование).</w:t>
      </w:r>
      <w:r>
        <w:t xml:space="preserve"> </w:t>
      </w:r>
      <w:r>
        <w:t xml:space="preserve">Сырьё при парах внутри группы перераспределяется, а не растёт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стоит проверить собственным замером [92].</w:t>
      </w:r>
    </w:p>
    <w:p>
      <w:pPr>
        <w:pStyle w:val="BodyText"/>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 581,33 руб. в день (кроме ПНИ и ДСО) и 574,43 руб. в день (ПНИ и ДСО) [75]. Если допустить, что организация выбора увеличит расходы на питание на 10–20 % — допущение, близкое к результату Wheeler и соавт. [92], —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4.11) показывают, что стартовый формат вводился и без публично названных дополнительных расходов. Для сравнения порядка величин: годовой рост тарифа ПНИ и ДСО с 2025 по 2026 г. составил 2,80 руб. в день (571,63 → 574,43) [74, 75], то есть допущенный прирост в 20–40 раз больше годовой индексации. Арифметика показывает лишь одно: полный переход крупного учреждения — вопрос учредителя, а не только кухни.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dyText"/>
      </w:pPr>
      <w:r>
        <w:rPr>
          <w:b/>
          <w:bCs/>
        </w:rPr>
        <w:t xml:space="preserve">Чего доклад не утверждает.</w:t>
      </w:r>
      <w:r>
        <w:t xml:space="preserve"> </w:t>
      </w:r>
      <w:r>
        <w:t xml:space="preserve">Формулу «вариативность почти бесплатна» канон из своего текста удалил: стоимость зависит от модели раздачи и измеряется замером; утверждать без данных нельзя ни экономию, ни невозможность [22, гл. 29.1]. Доклад держится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живёт в штатном расписании, а не в продуктовом бюджете,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«отсутствие новой сметы означает отсутствие капитальных затрат на сырьё, но не отсутствие затрат на помощь и оборудование: это отдельные строки». Петербургское сообщение называет именно оборудование и сотрудников [21].</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выводы делаются по повторяемости замеров, а не по одному. Снижение остатков после введения выбора — гипотеза, которую подтверждает только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планировал цикл. ДСО «Серафимовский» как автономное учреждение закупает по 223-ФЗ и своему положению о закупке, причём предмет закупки — не продукты, а услуга по организации питания (аутсорсинг подтверждён автором [89]; в 2026 г. — договор на год с одним исполнителем, затем краткосрочные закупки в июне — июле, конкурс № 32616197209 на август — декабрь с начальной ценой 92 110 941,90 руб. и договор с другим исполнителем от 17.08.2026 [90, 91]; п. 4.8). Цикличное меню, приложенное к закупочной документации, расписано по вариантам диеты (ОВД, ИП, ОВД2, летний вариант) с одним блюдом на позицию [90]. Варианты диеты — не выбор блюд (п. 1.2). При закупке услуги перераспределение между мясом и рыбой — забота исполнителя, но только если варианты и порядок их учёта записаны в техническом задании; для продуктовой закупки по рамочному договору с ценой единицы — заявки без изменения договора (сценарии 6 и 12) [56]. Как выбор закреплён в договоре «Серафимовского», доклад не проверял.</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держится на доброй воле исполнителя и исчезает при смене контрагента. Смена контрагента — не гипотеза: в ДСО «Серафимовский» исполнитель услуги питания сменился в середине 2026 г. (договор от 02.12.2025 на год, новый договор от 17.08.2026 по итогам конкурса на август — декабрь) [91]. Всё, что не записано в ТЗ, при такой смене приходится договаривать заново, а цикл по вариантам диеты из документации без отдельного раздела о выборе блюд выбора не гарантирует (толкование). ДСО «Тесовый берег» как бюджетное учреждение закупает по 44-ФЗ открытым конкурсом [63]: та же задача решается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[55].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25"/>
    <w:bookmarkStart w:id="126"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Эта редакция раскладывает 90 дней по месяцам так, чтобы первый месяц ушёл на цифры «до», второй — на документы и обучение, а сам выбор начался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Вспомогательные показатели —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выдумкой.</w:t>
      </w:r>
    </w:p>
    <w:p>
      <w:pPr>
        <w:pStyle w:val="BodyText"/>
      </w:pPr>
      <w:r>
        <w:rPr>
          <w:b/>
          <w:bCs/>
        </w:rPr>
        <w:t xml:space="preserve">Что доказывает пилот.</w:t>
      </w:r>
      <w:r>
        <w:t xml:space="preserve"> </w:t>
      </w:r>
      <w:r>
        <w:t xml:space="preserve">Что выбор исполним и безопасен в конкретном учреждении, но не то, как он влияет на пищевой статус: для этого нет контрольной группы и мало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Это разные масштабы задачи — перестройка всего дома против пилота, — а не ошибка одной из работ.</w:t>
      </w:r>
    </w:p>
    <w:bookmarkEnd w:id="126"/>
    <w:bookmarkStart w:id="127"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Исследование Abbey и соавт. показало, что реальный выбор особенно низок у жителей на протёртой пище [95].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докладе был внутренний разнобой о порядке этих каналов: в гл. 15.4 первым назван зафиксированный в биографии выбор, в гл. 15.9 — текущее выраженное предпочтение [22]. В этой редакции он снят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Сначала о том, чего в праве нет. 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говорит иначе и точнее: кормление против воли недопустимо, опираясь на ч. 2 ст. 5 Закона № 3185-1 [22]. Разложение по классам:</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[141]</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канон заимствует из зарубежной (онтарийской) практики, российской нормой они не являются</w:t>
            </w:r>
          </w:p>
        </w:tc>
      </w:tr>
    </w:tbl>
    <w:p>
      <w:pPr>
        <w:pStyle w:val="BodyText"/>
      </w:pPr>
      <w:r>
        <w:t xml:space="preserve">Отсюда граница для кухни и персонала: персонал не кормит силой и не оставляет без помощи; при отказе он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18"/>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18"/>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отдельной кухни.</w:t>
      </w:r>
    </w:p>
    <w:p>
      <w:pPr>
        <w:pStyle w:val="Compact"/>
        <w:numPr>
          <w:ilvl w:val="0"/>
          <w:numId w:val="1018"/>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18"/>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18"/>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18"/>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Чего протокол не делает: не назначает диету, текстуру, обогащение, лекарства и не решает вопрос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Для ПНИ право соблюдать религиозные каноны, включая пост, если это не нарушает внутреннего распорядка, закреплено ч. 2 ст. 37 Закона № 3185-1 в силу ст. 43 [26]. С 01.09.2025 обязанность обеспечивать условия для соблюдения постов возложена на все организации социального обслуживания подп. 15 п. 20 Правил, утверждённых приказом № 305н [27]. Организационно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только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не более 14 часов (16 часов при перекусе) в США [127], не более 11 часов в шведских рекомендациях [135]. Доклад «Не просто накормить» использует рабочий ориентир не более 13 часов [22] — это ориентир, а не норма. Выбор блюда не возмещает долгого ночного перерыва: если ужин подаётся в 17:30, а завтрак в 8:30, интервал составляет 15 часов, и это проблема организации режима, а не меню.</w:t>
      </w:r>
    </w:p>
    <w:bookmarkEnd w:id="127"/>
    <w:bookmarkStart w:id="128"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одном дне, как учреждение (кроме ПНИ и ДСО,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 по постановлению № 1284 в редакции, действующей с 01.01.2026 [34],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32,5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(суточная норма птицы с 2026 г. — 22,2 г). В пересчёте на базовый продукт 2,91 кг птицы эквивалентны 2,91 / 0,97 = 3,0 кг говядины, и «мясо с учётом замен» составляет 6,0 + 3,0 = 9,0 кг — ровно план дня (100 × 90 г).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ходовая пара гарниров — «картофель или каша» — таблицей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или учитывать гарнирные группы раздельно и выравнивать их в остальные дни недели (сценарий 1, способ 2). Первый путь легче всего защитить при проверке (толкование).</w:t>
      </w:r>
    </w:p>
    <w:p>
      <w:pPr>
        <w:pStyle w:val="BodyText"/>
      </w:pPr>
      <w:r>
        <w:rPr>
          <w:b/>
          <w:bCs/>
        </w:rPr>
        <w:t xml:space="preserve">Неделя, а не день.</w:t>
      </w:r>
      <w:r>
        <w:t xml:space="preserve"> </w:t>
      </w:r>
      <w:r>
        <w:t xml:space="preserve">Проверять вариативное меню по одному дню бессмысленно: в день, когда птицы нет в плане, любой выбор птицы выглядит «перерасходом». Контроль ведётся по накопительной ведомости за неделю или декаду (п. 3.15). Если учреждение хочет, чтобы недельная ведомость сходилась без пересчёта, пары между группами (мясо — птица) должны чередоваться с днями, где птица и так заложена, а их доли — подтверждаться статистикой выбора за предыдущие недели (сценарий 3).</w:t>
      </w:r>
    </w:p>
    <w:p>
      <w:pPr>
        <w:pStyle w:val="BodyText"/>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28"/>
    <w:bookmarkStart w:id="129"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[56]. Закупка продуктов для питания проживающих — закупка для оказания услуги конкретным получателям, то есть для нужд самого учреждения; по логике постановления АС Дальневосточного округа № Ф03-3556/25 она остаётся в контуре 223-ФЗ (толкование; текст определения ВС № 303-ЭС25-15393 не проверен) [58, 62].</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 норма × число жителей × число дней. Для 100 жителей на 91 день: мясо 90 г × 100 × 91 = 819 кг нетто, рыба 32,5 г × 100 × 91 ≈ 296 кг нетто (иллюстративная арифметика по нормам № 1284 в ред. с 01.01.2026 для учреждений, кроме ПНИ и ДСО [34]). Если поставщик продаёт брутто, объём закупки пересчитывается учреждением по его собственным коэффициентам отходов; для иллюстрации по коэффициентам ленинградского приказа (мясо 0,705, рыба 0,550 [46]) это около 1 162 кг мяса и 538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рыбы — увеличится примерно на 147 кг (+49,7 %) (иллюстративная арифметика: 13 × 9,0 кг и 13 × 11,3 кг). Такой сдвиг не помещается в 10-процентный коридор изменения количества по 44-ФЗ (подп. «б» п. 1 ч. 1 ст. 95) [55]; это главный довод за то,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Разумная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строке «мясо» № 1284 [34]), и устанавливаются цена единицы и максимальная сумма договора;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Та же логика — в шведских национальных рекомендациях: «базовое меню» с несколькими блюдами на выбор служит одновременно основой расчёта пищевой ценности на уровне группы и основой закупки [135].</w:t>
      </w:r>
    </w:p>
    <w:p>
      <w:pPr>
        <w:pStyle w:val="BodyText"/>
      </w:pPr>
      <w:r>
        <w:rPr>
          <w:b/>
          <w:bCs/>
        </w:rPr>
        <w:t xml:space="preserve">Шаг 4. Что записать в положение о закупке.</w:t>
      </w:r>
      <w:r>
        <w:t xml:space="preserve"> </w:t>
      </w:r>
      <w:r>
        <w:t xml:space="preserve">Возможность рамочного договора с ценой единицы и заявочной поставкой; порядок изменения количества по отдельным позициям в пределах цены договора; основание для закупки у единственного поставщика при срыве поставки (если положение это допускает). Без этих пунктов гибкость 223-ФЗ остаётся на бумаге: её задаёт текст положения, а не закон [56].</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[67, 68]. Связь размера лота с риском сговора — толкование, но дробление лотов по группам продуктов служит сразу и вариативному меню, и конкуренции. Обратный риск — искусственное дробление для ухода от конкурентных процедур; критерии допустимого дробления устанавливает положение о закупке и практика контролирующих органов, в докладе не анализировавшаяся.</w:t>
      </w:r>
    </w:p>
    <w:p>
      <w:pPr>
        <w:pStyle w:val="BodyText"/>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29"/>
    <w:bookmarkStart w:id="130"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[48]. Ниже показано,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[48]</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технологические документы на каждый вариант (п. 11), бракераж (подп. 13 п. 56), время с момента изготовления до раздачи (п. 32), отсутствие реализации остатков (п. 32) [3]. Роструд — для государственной организации субъекта, орган субъекта — для негосударственного поставщика (п. 8.3–8.4): выполнение норм питания по ведомости, условия для соблюдения поста (подп. 15 п. 20 Правил, утверждённых приказом № 305н), соответствие организации питания порядку предоставления услуг (вопросы 64, 75, 65 проверочного листа) [27, 39]. Учредитель: обоснование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находят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только в ходе проверки, на омлет существовали две карты с разной рецептурой; при закладке не докладывали продукты (маргарин в омлет, сахар в какао) и заменяли их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Вывод для вариативного меню прост: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dyText"/>
      </w:pPr>
      <w:r>
        <w:rPr>
          <w:b/>
          <w:bCs/>
        </w:rPr>
        <w:t xml:space="preserve">Открытый вопрос для автора и РГ.</w:t>
      </w:r>
      <w:r>
        <w:t xml:space="preserve"> </w:t>
      </w:r>
      <w:r>
        <w:t xml:space="preserve">Отбирать ли суточную пробу каждого варианта на собственном пищеблоке организации социального обслуживания, при том что прямой нормы об этом для таких организаций в разделе VII СанПиН 4282-26 нет (п. 2.7, сценарий 5), — оставлено открытым по решению автора. Нижегородское положение отвечает на него положительно для единого меню («от каждой партии… отдельно каждое блюдо») [48]; если вариант рассматривается как самостоятельное блюдо, тот же локальный принцип распространяется на него без новой нормы.</w:t>
      </w:r>
    </w:p>
    <w:p>
      <w:pPr>
        <w:pStyle w:val="BodyText"/>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30"/>
    <w:bookmarkStart w:id="131"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FirstParagraph"/>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 в стандарте DGE [133]. Порционирование в отделении допускается только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[48].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 35–42 минуты на жителя за приём пищи против 5–9 минут при обычном уходе; перекус между приёмами — 12–13 минут [119–122].</w:t>
      </w:r>
    </w:p>
    <w:p>
      <w:pPr>
        <w:pStyle w:val="BodyText"/>
      </w:pPr>
      <w:r>
        <w:rPr>
          <w:b/>
          <w:bCs/>
        </w:rPr>
        <w:t xml:space="preserve">Иллюстрация (условное отделение на 60 жителей).</w:t>
      </w:r>
      <w:r>
        <w:t xml:space="preserve"> </w:t>
      </w:r>
      <w:r>
        <w:t xml:space="preserve">40 жителей едят самостоятельно и подходят к линии; 14 нуждаются в подсказке и присутствии сотрудника; 6 нуждаются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может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[119–122]). В трёхчасовое окно п. 32 при этом укладываются 4–5 сотрудников, занятых только помощью при еде (иллюстративная арифметика: 700–840 мин / 180 мин). Это не норматив, а проверка реализма: если у отделения такого ресурса нет, выбор для этих 20 жителей сведётся к выбору, сделанному за них.</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 меньше половины нижней границы времени помощи (35 минут), при которой в американских исследованиях рос объём съеденного [119–122]. Сопоставление условно: исследования измеряли иное вмешательство и иную группу жителей (толкование). Но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Разделить приём пищи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переносить в момент, когда на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[120, 122]. Штатные нормативы российских учреждений доклад не анализировал; расчёт показывает лишь, что выбор для зависимых жителей — вопрос кадров, а не кулинарии.</w:t>
      </w:r>
    </w:p>
    <w:p>
      <w:pPr>
        <w:pStyle w:val="BodyText"/>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31"/>
    <w:bookmarkStart w:id="132"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Почему это отдельный сценарий.</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[100]; в австралийских — выбор был особенно низок у жителей на протёртой пище [95]. Для ПНИ и ДСО, где многие жители не говорят или говорят с трудом, это вопрос не второстепенный.</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[133]; лондонские дома — сбор предпочтений при поступлении [100];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[133]</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[135]</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источник сведений и дата (биография — родственник, 03.2026); наблюдение (за 10 обедов с показом двух вариантов — выбор рыбного блюда 7 раз, отказ от второго блюда 1 раз); вывод на ближайший месяц; дата пересмотра. Карта прикладывается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только в их пределах.</w:t>
      </w:r>
    </w:p>
    <w:p>
      <w:pPr>
        <w:pStyle w:val="BodyTex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[139]. Наблюдаемый отказ (отодвинутая порция, сжатые губы) — тоже выражение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Канон называет четыре канала воли — показ двух порций, наблюдение за съеденным, пищевую биографию, сведения близких [22] — но в двух местах ставит их в разном порядке. Противоречие снимается, если различить, может ли житель выразить предпочтение сейчас.</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Правовая опора этого порядка — не норма о питании (её нет), а общие положения: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(п. 2 ст. 29 ГК РФ) [142] — норма о сделках, которую для бытового выбора доклад применяет как ориентир порядка (толкование); меры, связанные с реализацией правоспособности, должны ориентироваться на «уважение прав, воли и предпочтений лица» (п. 4 ст. 12 Конвенции о правах инвалидов) [37]. Выбор блюда на раздаче — не сделка и не медицинское вмешательство;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для неговорящего жителя — сотрудник, законный представитель или комиссия — и как часто его пересматривают; порядок каналов выше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кухня не решает сама.</w:t>
      </w:r>
    </w:p>
    <w:p>
      <w:pPr>
        <w:pStyle w:val="Compact"/>
        <w:numPr>
          <w:ilvl w:val="0"/>
          <w:numId w:val="1019"/>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значит: подавать компоненты раздельно, если житель так ест; показывать оба варианта рядом и в одной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9"/>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Для ПНИ — право по ч. 2 ст. 37 в силу ст. 43 Закона № 3185-1 [26], для всех организаций — обязанность по подп. 15 п. 20 Правил № 305н обеспечивать условия для соблюдения постов [27] (</w:t>
      </w:r>
      <w:r>
        <w:rPr>
          <w:b/>
          <w:bCs/>
        </w:rPr>
        <w:t xml:space="preserve">норма</w:t>
      </w:r>
      <w:r>
        <w:t xml:space="preserve">). Логистика — маркировка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9"/>
        </w:numPr>
      </w:pPr>
      <w:r>
        <w:rPr>
          <w:i/>
          <w:iCs/>
        </w:rPr>
        <w:t xml:space="preserve">Текстура по шкале IDDSI</w:t>
      </w:r>
      <w:r>
        <w:t xml:space="preserve"> </w:t>
      </w:r>
      <w:r>
        <w:t xml:space="preserve">(уровни 0–7, п. 6.11) [140]: если врач назначил жителю определённый уровень, кухня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перепутал. Уровень назначает не кухня и не доклад; шкала здесь — общий язык маркировки между врачом, кухней и раздачей (рекомендация).</w:t>
      </w:r>
    </w:p>
    <w:p>
      <w:pPr>
        <w:pStyle w:val="FirstParagraph"/>
      </w:pPr>
      <w:r>
        <w:t xml:space="preserve">Граница «кухня ≠ клиника» не сдвигается: ни один из пунктов выше не является медицинской рекомендацией.</w:t>
      </w:r>
    </w:p>
    <w:p>
      <w:pPr>
        <w:pStyle w:val="BodyText"/>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32"/>
    <w:bookmarkStart w:id="133"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С 01.09.2025 организации социального обслуживания обязаны обеспечивать условия для соблюдения постов (подп. 15 п. 20 Правил, утверждённых приказом № 305н) [27]; для ПНИ право соблюдать религиозные каноны, включая пост, если это не нарушает внутреннего распорядка, закреплено ч. 2 ст. 37 Закона № 3185-1 [26]. Какие ограничения соблюдать, решает сам житель; учреждение не решает за него, какой пост и как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20"/>
        </w:numPr>
      </w:pPr>
      <w:r>
        <w:rPr>
          <w:b/>
          <w:bCs/>
        </w:rPr>
        <w:t xml:space="preserve">Рыбные дни.</w:t>
      </w:r>
      <w:r>
        <w:t xml:space="preserve"> </w:t>
      </w:r>
      <w:r>
        <w:t xml:space="preserve">По приложению № 11 100 г говядины заменяются 125 г трески [3]; порция трески — 75 × 1,25 ≈ 94 г. За неделю: −1,8 кг мяса, +2,25 кг рыбы (12 × 75 г × 2 и 12 × 94 г × 2). Это замена, предусмотренная таблицей, и она отражается в ведомости строкой «с учётом замен» (сценарий 11).</w:t>
      </w:r>
    </w:p>
    <w:p>
      <w:pPr>
        <w:pStyle w:val="Compact"/>
        <w:numPr>
          <w:ilvl w:val="0"/>
          <w:numId w:val="1020"/>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то есть увеличивает её расход, а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20"/>
        </w:numPr>
      </w:pPr>
      <w:r>
        <w:rPr>
          <w:b/>
          <w:bCs/>
        </w:rPr>
        <w:t xml:space="preserve">Масштаб.</w:t>
      </w:r>
      <w:r>
        <w:t xml:space="preserve"> </w:t>
      </w:r>
      <w:r>
        <w:t xml:space="preserve">Всего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его придётся объяснить.</w:t>
      </w:r>
    </w:p>
    <w:p>
      <w:pPr>
        <w:pStyle w:val="FirstParagraph"/>
      </w:pPr>
      <w:r>
        <w:rPr>
          <w:b/>
          <w:bCs/>
        </w:rPr>
        <w:t xml:space="preserve">Как оформить (рекомендация).</w:t>
      </w:r>
      <w:r>
        <w:t xml:space="preserve"> </w:t>
      </w:r>
      <w:r>
        <w:t xml:space="preserve">В локальном акте о питании — пункт о порядке заявления жителем о соблюдении поста и о перечне постных вариантов; в меню периода — постные блюда как варианты, а не как отдельная «постная кухня» (сценарий 10); в ведомости — отдельная строка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Пробел, который вскрывает сценарий.</w:t>
      </w:r>
      <w:r>
        <w:t xml:space="preserve"> </w:t>
      </w:r>
      <w:r>
        <w:t xml:space="preserve">Федеральной таблицей замен, на которую ссылаются учреждения, нельзя сбалансировать обязанность по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а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w:t>
      </w:r>
    </w:p>
    <w:p>
      <w:pPr>
        <w:pStyle w:val="BodyText"/>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33"/>
    <w:bookmarkStart w:id="134"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требуют измерений, а российские кейсы (п. 4.11) их не публикуют. Отчасти потому, что в отечественном социальном обслуживании нет общепринятых инструментов, оценивающих питание глазами жителя. В зарубежной литературе они есть; ниже — те, чьи свойства проверены по публикациям, с оценкой применимости. Валидированных русскоязычных версий этих инструментов найти не удалось, поэтому их использование в российском учреждении — адаптация, а не готовая методика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разных предмета, и путать их нельзя: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которое измеряет только первое, знает, что популярно, но не знает, что съедено; учреждение, которое измеряет только удовлетворённость, не увидит, если жители довольны, но недоедают.</w:t>
      </w:r>
    </w:p>
    <w:p>
      <w:pPr>
        <w:pStyle w:val="BodyText"/>
      </w:pPr>
      <w:r>
        <w:rPr>
          <w:b/>
          <w:bCs/>
        </w:rPr>
        <w:t xml:space="preserve">Отходы с тарелки.</w:t>
      </w:r>
      <w:r>
        <w:t xml:space="preserve"> </w:t>
      </w:r>
      <w:r>
        <w:t xml:space="preserve">Это самый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[112].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сам цвет посуды был связан с разной долей несъеденного: от 26 % на белой тарелке до 9 % на белой тарелке с жёлтым ободком и красным кольцом [112]. Результат приведён не как совет покупать цветную посуду, а как напоминание: при сравнении «до» и «после» внедрения выбора посуда, порция и способ подачи должны оставаться прежними,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[143]. Вариативное меню затрагивает сразу три из этих групп, поэтому эффект его внедрения нельзя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Это масса блюд, приготовленных, но не розданных. В исследовании Wheeler и соавт. именно этот показатель вырос при переходе к выбору в момент еды (с 55 до 90 г на жителя в день) [92]. Российскому учреждению его измерить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невозможно отличить «вариант Б непопулярен» от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[144]. Wright и соавт. использовали Resident Foodservice Satisfaction Questionnaire и связали удовлетворённость с числом вариантов и со временем между выбором и подачей [94]. Wheeler и соавт. обошлись пятибалльной шкалой Лайкерта [92]. Для российского учреждения, где значительная часть жителей не может заполнить многостраничную анкету, реалистичны короткая шкала по нескольким вопросам, которую заполняет сам житель или сотрудник со слов жителя,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 пример упрощённого инструмента изучения предпочтений;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[145]. Опросник дополняет анкеты для жителей и для персонала, разработанные той же университетской группой [145]. Русскоязычной версии нет; для учреждения ценна сама идея — спрашивать родственников отдельно и отдельно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предлагают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[135].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[133]. При этом расчёт фактически съеденного по меню и отходам систематически завышает потребление: в японском исследовании CLEVER — в среднем на 232 ккал в сутки (15,3 %) по сравнению с методом дважды меченой воды [114]. Снижение возвратов после введения выбора — довод в пользу выбора, но не доказательство того,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который заполняет обученный наблюдатель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более ориентированными на отношения практиками в общих отделениях, но не в отделениях для людей с деменцией; авторы предполагают, что там решающую роль играет подготовка персонала [146].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[147]. Вывод для российского ДСО простой: изменения среды приёма пищи поддаются наблюдению по чек-листу, и его можно вести силами учреждения,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потому, что учреждение её уже ведёт; толкует её врач. Научного исследования эти показатели не составляют: без контрольной группы и при малой выборке они показывают направление изменений и позволяют заметить вред, но не доказывают эффект выбора.</w:t>
      </w:r>
    </w:p>
    <w:bookmarkEnd w:id="134"/>
    <w:bookmarkEnd w:id="135"/>
    <w:bookmarkStart w:id="153" w:name="контроль-кто-и-что-проверяет"/>
    <w:p>
      <w:pPr>
        <w:pStyle w:val="Heading1"/>
      </w:pPr>
      <w:r>
        <w:rPr>
          <w:rStyle w:val="SectionNumber"/>
        </w:rPr>
        <w:t xml:space="preserve">8</w:t>
      </w:r>
      <w:r>
        <w:tab/>
      </w:r>
      <w:r>
        <w:t xml:space="preserve">Контроль: кто и что проверяет</w:t>
      </w:r>
    </w:p>
    <w:bookmarkStart w:id="136"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и каждый смотрит на своё. Большинство конфликтов при проверках рождается из путаницы предметов: учреждение отвечает санитарному инспектору о качестве социальной услуги, а ведомственному контролёру — о санитарных нормах.</w:t>
      </w:r>
    </w:p>
    <w:bookmarkEnd w:id="136"/>
    <w:bookmarkStart w:id="137"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 — соблюдение обязательных требований СанПиН 4282-26 и других санитарных правил: приём продукции, условия хранения, поточность, температуры,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но каждое блюдо проверяется по общим правилам (сценарий 5). Ответственность — ст. 6.6 КоАП (п. 2.11).</w:t>
      </w:r>
    </w:p>
    <w:bookmarkEnd w:id="137"/>
    <w:bookmarkStart w:id="138"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которое вступило в силу 01.07.2021 [148]. Предмет контроля в обоих случаях один: соблюдение требований 442-ФЗ, иных федеральных актов и актов субъекта, регулирующих социальное обслуживание, — то есть и региональных норм питания (ч. 2 ст. 33 442-ФЗ; п. 2 Положения) [24, 148].</w:t>
      </w:r>
    </w:p>
    <w:p>
      <w:pPr>
        <w:pStyle w:val="BodyText"/>
      </w:pPr>
      <w:r>
        <w:rPr>
          <w:b/>
          <w:bCs/>
        </w:rPr>
        <w:t xml:space="preserve">Исправление.</w:t>
      </w:r>
      <w:r>
        <w:t xml:space="preserve"> </w:t>
      </w:r>
      <w:r>
        <w:t xml:space="preserve">В предыдущей версии этой главы региональный государственный контроль был описан как надзор за государственными домами-интернатами субъекта. Для государственных учреждений это неверно с 01.07.2021: проверяющий орган — Роструд, а орган субъекта выступает учредителем (п. 8.5). Для Санкт-Петербурга то же следует из постановления Правительства Санкт-Петербурга от 14.12.2021 № 985: предмет регионального контроля Комитета по социальной политике —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[149]. Расхождение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[39].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[39]. Косвенно к питанию относятся вопросы 65 (соблюдение порядка предоставления социальных услуг) и 70 (услуги в объёмах не менее установленных стандартом) [39].</w:t>
      </w:r>
    </w:p>
    <w:p>
      <w:pPr>
        <w:pStyle w:val="BodyText"/>
      </w:pPr>
      <w:r>
        <w:t xml:space="preserve">Выводы для вариативного меню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один раз — в вопросе 46, применительно к размещению по спальням [39]; это та же асимметрия, что в самих Правилах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ограничивает проверку: приказ прямо оговаривает, что выездные проверки не сводятся к вопросам листа [39].</w:t>
      </w:r>
    </w:p>
    <w:bookmarkEnd w:id="138"/>
    <w:bookmarkStart w:id="139"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 — те же обязательные требования, включая региональные нормы питания, но в отношении негосударственных организаций и индивидуальных предпринимателей [24, 149]. Для вариативного меню это различие важно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39"/>
    <w:bookmarkStart w:id="140"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меняет структуру расходов на питание, штат или оборудование. Для государственного дома-интерната субъекта учредитель — тот же орган, который в отношении негосударственных поставщиков осуществляет региональный контроль: в Санкт-Петербурге — Комитет по социальной политике (п. 1.3 Положения по постановлению № 985) [149]. Петербургское сообщение о вариативном меню прозвучало на заседании рабочей группы при Комитете по социальной политике [21]; такой формат — учредителя извещают и с ним обсуждают — снижает риск, что практику примут за самовольное отступление от порядка.</w:t>
      </w:r>
    </w:p>
    <w:bookmarkEnd w:id="140"/>
    <w:bookmarkStart w:id="141"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В Санкт-Петербурге после отмены полномочия Управления социального питания по региональному контролю за соблюдением норм питания (п. 8.3) [149] у Управления осталась другая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[150]. Это не государственный контроль (надзор) по 248-ФЗ, а оценка с рекомендациями и мониторингом их исполнения (толкование по тексту отчёта).</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[150]. Учреждению присваивается категория: высшая (100 баллов), 1-я (85–99), 2-я (60–84), 3-я (30–59), 4-я (менее 30) [150].</w:t>
      </w:r>
    </w:p>
    <w:p>
      <w:pPr>
        <w:pStyle w:val="BodyText"/>
      </w:pPr>
      <w:r>
        <w:rPr>
          <w:b/>
          <w:bCs/>
        </w:rPr>
        <w:t xml:space="preserve">Результаты.</w:t>
      </w:r>
      <w:r>
        <w:t xml:space="preserve"> </w:t>
      </w:r>
      <w:r>
        <w:t xml:space="preserve">За первое полугодие 2025 г. проведено 418 оценок; в учреждениях социального обслуживания населения — 15, из них 7 получили 1-ю категорию и 8 — 2-ю; средний балл учреждений социального обслуживания (83,83) — самый низкий среди всех типов учреждений при общем среднем 88,02 [150]. По всем учреждениям выдано 1 564 рекомендации; 232 из них связаны с технологией приготовления, и среди оснований названы ошибки в технологической документации и бракеражном журнале и «факты несоответствия ежедневных меню цикличному меню» [150]. Учреждения по итогам претензионной работы выставили поставщикам штрафы на 1 754 034,89 руб. за полугодие [150].</w:t>
      </w:r>
    </w:p>
    <w:p>
      <w:pPr>
        <w:pStyle w:val="BodyText"/>
      </w:pPr>
      <w:r>
        <w:t xml:space="preserve">Для вариативного меню из этой процедуры следуют два вывода (толкование). Первый: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а аналогичного механизма участия жителей учреждений социального обслуживания отчёт не описывает [150]. Второй: несоответствие ежедневного меню цикличному фиксируется как недочёт. Поэтому учреждению, вводящему выбор, надо оформить варианты внутри утверждённого цикличного меню (оба — позициями цикла), а не как отступление от него, иначе в отчёте вариативность предстанет нарушением (рекомендация; противоречие внесено в гл. 9).</w:t>
      </w:r>
    </w:p>
    <w:bookmarkEnd w:id="141"/>
    <w:bookmarkStart w:id="142"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 —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 такой проверки —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ещё один контролёр, перед которым у каждой замены должно быть документальное основание (сценарий 13).</w:t>
      </w:r>
    </w:p>
    <w:bookmarkEnd w:id="142"/>
    <w:bookmarkStart w:id="144"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[65]. Прокурорский контроль может работать в обе стороны: проверить качество питания и проверить, соблюдаются ли права жителей, предусмотренные ст. 9 442-ФЗ и (для ПНИ) ст. 37 Закона № 3185-1.</w:t>
      </w:r>
    </w:p>
    <w:bookmarkStart w:id="143" w:name="X8cd7eede49bea8b984be4bc4b58613bfb01ee1e"/>
    <w:p>
      <w:pPr>
        <w:pStyle w:val="Heading3"/>
      </w:pPr>
      <w:r>
        <w:rPr>
          <w:rStyle w:val="SectionNumber"/>
        </w:rPr>
        <w:t xml:space="preserve">8.8.1</w:t>
      </w:r>
      <w:r>
        <w:tab/>
      </w:r>
      <w:r>
        <w:t xml:space="preserve">Правовой «чемоданчик»: как отвечать на запрос прокурора</w:t>
      </w:r>
    </w:p>
    <w:p>
      <w:pPr>
        <w:pStyle w:val="FirstParagraph"/>
      </w:pPr>
      <w:r>
        <w:rPr>
          <w:b/>
          <w:bCs/>
        </w:rPr>
        <w:t xml:space="preserve">Какие составы могут прозвучать (норма).</w:t>
      </w:r>
      <w:r>
        <w:t xml:space="preserve"> </w:t>
      </w:r>
      <w:r>
        <w:t xml:space="preserve">Ст. 6.6 КоАП — специальная: нарушение санитарно-эпидемиологических требований к организации питания населения; ст. 6.3 КоАП — общая: нарушение законодательства о санитарно-эпидемиологическом благополучии (п. 2.11) [64]. Для претензий к питанию в стационаре применяется ст. 6.6 [65]. Ни один из этих составов не наказывает за наличие второго варианта блюда; оба — за нарушение санитарных требований к тому, что подано. Отдельно — нарушение региональных норм питания (количество и состав рациона): это предмет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найдено; реестр судебной практики проекта (case_law_registry.csv) содержит две незаполненные строки со статусом «не верифицировано» [23]. Ссылаться на «сложившуюся практику» в любую сторону нельзя.</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dyText"/>
      </w:pPr>
      <w:r>
        <w:rPr>
          <w:b/>
          <w:bCs/>
        </w:rPr>
        <w:t xml:space="preserve">Чего не говорить</w:t>
      </w:r>
      <w:r>
        <w:t xml:space="preserve"> </w:t>
      </w:r>
      <w:r>
        <w:t xml:space="preserve">(по [22, гл. 32.4]): «так теперь везде» — неправда и не довод; «нам разрешил диетолог» — должности может не быть в штате; «жители сами захотели» без документа — устная воля непроверяема; «принудительное кормление запрещено законом» —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согласия на него не требуется ни от жителя как юридического акта, ни от опекуна [22, гл. 16.3]. Поэтому в документах учреждения не пишут:</w:t>
      </w:r>
    </w:p>
    <w:p>
      <w:pPr>
        <w:pStyle w:val="Compact"/>
        <w:numPr>
          <w:ilvl w:val="0"/>
          <w:numId w:val="1021"/>
        </w:numPr>
      </w:pPr>
      <w:r>
        <w:t xml:space="preserve">«с согласия недееспособного» — как юридическое основание чего бы то ни было: сделки за недееспособного совершает опекун с учётом его мнения (п. 2 ст. 29 ГК РФ) [142];</w:t>
      </w:r>
    </w:p>
    <w:p>
      <w:pPr>
        <w:pStyle w:val="Compact"/>
        <w:numPr>
          <w:ilvl w:val="0"/>
          <w:numId w:val="1021"/>
        </w:numPr>
      </w:pPr>
      <w:r>
        <w:t xml:space="preserve">«недееспособный дал согласие на диету / зондовое питание / ограничение рациона» —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[141]; подменять его записью о «согласии» жителя нельзя;</w:t>
      </w:r>
    </w:p>
    <w:p>
      <w:pPr>
        <w:pStyle w:val="Compact"/>
        <w:numPr>
          <w:ilvl w:val="0"/>
          <w:numId w:val="1021"/>
        </w:numPr>
      </w:pPr>
      <w:r>
        <w:t xml:space="preserve">«согласие недееспособного на участие в вариативном меню» — согласие не требуется, а такая строка создаёт видимость, что без неё выбор незаконен.</w:t>
      </w:r>
    </w:p>
    <w:p>
      <w:pPr>
        <w:pStyle w:val="FirstParagraph"/>
      </w:pPr>
      <w:r>
        <w:t xml:space="preserve">Корректная формула локального акта: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43"/>
    <w:bookmarkEnd w:id="144"/>
    <w:bookmarkStart w:id="145"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территориальные органы контролируют закупки и выявляют картели на торгах продуктами (п. 2.11) [67, 68]. Для вариативного меню риск в том, что спецификацию, составленную под конкретный вариант блюда, сочтут ограничивающей конкуренцию.</w:t>
      </w:r>
    </w:p>
    <w:bookmarkEnd w:id="145"/>
    <w:bookmarkStart w:id="146"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но создают учреждению публичную репутацию,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[77], а не в организациях социального обслуживания взрослых (п. 3.2).</w:t>
      </w:r>
    </w:p>
    <w:bookmarkEnd w:id="146"/>
    <w:bookmarkStart w:id="147"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который видит вариативное меню каждый день. Опыт Усть-Илимска и «Доброго дома „Солнечногорский“» показывает, что коллегиальный орган по питанию берёт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проверка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суточная проба от каждой партии; раздача не позднее двух часов после приготовления [48]. Все эти процедуры переходят на вариативное меню без изменения сути, только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только каши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[133]. Для внутреннего контроля вариативного меню это естественный показатель: возвраты по каждому варианту показывают, что выбирают и не доедают. Предел показателю ставит японское исследование CLEVER: расчёт потребления по рецептурам и отходам завышал фактическое потребление в среднем на 15,3 % [114], поэтому низкие возвраты не доказывают достаточности питания конкретного жителя (п. 5.9).</w:t>
      </w:r>
    </w:p>
    <w:bookmarkEnd w:id="147"/>
    <w:bookmarkStart w:id="148"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не строгостью, а предметом: проверяют, как учреждение отвечает на волю жителя, — и смотрят это в реальном приёме пищи.</w:t>
      </w:r>
    </w:p>
    <w:p>
      <w:pPr>
        <w:pStyle w:val="Compact"/>
        <w:numPr>
          <w:ilvl w:val="0"/>
          <w:numId w:val="1022"/>
        </w:numPr>
      </w:pPr>
      <w:r>
        <w:rPr>
          <w:b/>
          <w:bCs/>
        </w:rPr>
        <w:t xml:space="preserve">США.</w:t>
      </w:r>
      <w:r>
        <w:t xml:space="preserve"> </w:t>
      </w:r>
      <w:r>
        <w:t xml:space="preserve">Инспектор наблюдает раздачу с первого приёма пищи после прибытия и при отказе жителя от блюда устанавливает, предложена ли замена; опрашивает жителей о соответствии еды их предпочтениям и персонал — о том, как сведения о предпочтениях доходят до кухни; при выявлении нарушения проверяет, учтены ли предпочтения в оценке и плане ухода [128, 129].</w:t>
      </w:r>
    </w:p>
    <w:p>
      <w:pPr>
        <w:pStyle w:val="Compact"/>
        <w:numPr>
          <w:ilvl w:val="0"/>
          <w:numId w:val="1022"/>
        </w:numPr>
      </w:pPr>
      <w:r>
        <w:rPr>
          <w:b/>
          <w:bCs/>
        </w:rPr>
        <w:t xml:space="preserve">Онтарио.</w:t>
      </w:r>
      <w:r>
        <w:t xml:space="preserve"> </w:t>
      </w:r>
      <w:r>
        <w:t xml:space="preserve">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[131].</w:t>
      </w:r>
    </w:p>
    <w:p>
      <w:pPr>
        <w:pStyle w:val="Compact"/>
        <w:numPr>
          <w:ilvl w:val="0"/>
          <w:numId w:val="1022"/>
        </w:numPr>
      </w:pPr>
      <w:r>
        <w:rPr>
          <w:b/>
          <w:bCs/>
        </w:rPr>
        <w:t xml:space="preserve">Англия.</w:t>
      </w:r>
      <w:r>
        <w:t xml:space="preserve"> </w:t>
      </w:r>
      <w:r>
        <w:t xml:space="preserve">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[125].</w:t>
      </w:r>
    </w:p>
    <w:p>
      <w:pPr>
        <w:pStyle w:val="Compact"/>
        <w:numPr>
          <w:ilvl w:val="0"/>
          <w:numId w:val="1022"/>
        </w:numPr>
      </w:pPr>
      <w:r>
        <w:rPr>
          <w:b/>
          <w:bCs/>
        </w:rPr>
        <w:t xml:space="preserve">Швеция.</w:t>
      </w:r>
      <w:r>
        <w:t xml:space="preserve"> </w:t>
      </w:r>
      <w:r>
        <w:t xml:space="preserve">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[135].</w:t>
      </w:r>
    </w:p>
    <w:p>
      <w:pPr>
        <w:pStyle w:val="Compact"/>
        <w:numPr>
          <w:ilvl w:val="0"/>
          <w:numId w:val="1022"/>
        </w:numPr>
      </w:pPr>
      <w:r>
        <w:rPr>
          <w:b/>
          <w:bCs/>
        </w:rPr>
        <w:t xml:space="preserve">Дания.</w:t>
      </w:r>
      <w:r>
        <w:t xml:space="preserve"> </w:t>
      </w:r>
      <w:r>
        <w:t xml:space="preserve">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[136].</w:t>
      </w:r>
    </w:p>
    <w:p>
      <w:pPr>
        <w:pStyle w:val="Compact"/>
        <w:numPr>
          <w:ilvl w:val="0"/>
          <w:numId w:val="1022"/>
        </w:numPr>
      </w:pPr>
      <w:r>
        <w:rPr>
          <w:b/>
          <w:bCs/>
        </w:rPr>
        <w:t xml:space="preserve">Япония.</w:t>
      </w:r>
      <w:r>
        <w:t xml:space="preserve"> </w:t>
      </w:r>
      <w:r>
        <w:t xml:space="preserve">Для «особого питания» по выбору проверяемы формальные гарантии: публичное объявление содержания и цены, согласие, подтверждение врача, отсутствие ухудшения обычного питания [139].</w:t>
      </w:r>
    </w:p>
    <w:p>
      <w:pPr>
        <w:pStyle w:val="FirstParagraph"/>
      </w:pPr>
      <w:r>
        <w:t xml:space="preserve">Ни одна из этих процедур не требует определённого числа блюд. Общий знаменатель — наблюдение приёма пищи, опрос жителя и проверка связи между записанным предпочтением и тем, что подали (толкование).</w:t>
      </w:r>
    </w:p>
    <w:bookmarkEnd w:id="148"/>
    <w:bookmarkStart w:id="149"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придётся сделать самому. Ниже — вопросы, составленные по образцу американской формы CMS-20053 и онтарийского протокола [129, 131] и привязанные к российским основаниям там, где они есть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[131]</w:t>
            </w:r>
          </w:p>
        </w:tc>
        <w:tc>
          <w:tcPr/>
          <w:p>
            <w:pPr>
              <w:pStyle w:val="Compact"/>
            </w:pPr>
            <w:r>
              <w:t xml:space="preserve">Вопрос 17 проверочного листа Роструда — открытость информации об условиях питания [39]</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[129, 131]</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[128, 129]</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[129, 131]</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[131]</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[129]</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[131]</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[128]</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39]</w:t>
            </w:r>
          </w:p>
        </w:tc>
      </w:tr>
    </w:tbl>
    <w:p>
      <w:pPr>
        <w:pStyle w:val="BodyText"/>
      </w:pPr>
      <w:r>
        <w:t xml:space="preserve">Ответы фиксируются по одному наблюдению на отделение в неделю (рекомендация). Чек-лист дополняет, а не заменяет бракераж, взвешивание порций и суточную пробу.</w:t>
      </w:r>
    </w:p>
    <w:bookmarkEnd w:id="149"/>
    <w:bookmarkStart w:id="150"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разным контролёрам. Ниже — какое звено на чей вопрос отвечает (толкование; формы — по нижегородскому положению [48]).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[39]</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[48]</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[133]</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[39]</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[39]</w:t>
            </w:r>
          </w:p>
        </w:tc>
        <w:tc>
          <w:tcPr/>
          <w:p>
            <w:pPr>
              <w:pStyle w:val="Compact"/>
            </w:pPr>
            <w:r>
              <w:t xml:space="preserve">—</w:t>
            </w:r>
          </w:p>
        </w:tc>
        <w:tc>
          <w:tcPr/>
          <w:p>
            <w:pPr>
              <w:pStyle w:val="Compact"/>
            </w:pPr>
            <w:r>
              <w:t xml:space="preserve">Пересмотр меню</w:t>
            </w:r>
          </w:p>
        </w:tc>
      </w:tr>
    </w:tbl>
    <w:bookmarkEnd w:id="150"/>
    <w:bookmarkStart w:id="151"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С 01.09.2025 обязанность обеспечивать условия для соблюдения постов закреплена в подп. 15 п. 20 Правил по приказу № 305н [27], а с 24.02.2026 она прямо включена в проверочный лист Роструда как вопрос 75 [39]. Проверяющий вправе спросить, как житель, соблюдающий пост, получает питание; учреждение без вариативного или индивидуального постного варианта должно показать иной способ (толкование). Одновременно вопрос 64 того же листа проверяет выполнение региональных норм питания [39],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Выходит, что два вопроса одного проверочного листа могут требовать от учреждения трудно совместимого: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список жителей, заявивших о соблюдении поста (с датой и подписью или отметкой о способе выражения воли); постный вариант в утверждённом меню; накопительная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51"/>
    <w:bookmarkStart w:id="152" w:name="сводка"/>
    <w:p>
      <w:pPr>
        <w:pStyle w:val="Heading2"/>
      </w:pPr>
      <w:r>
        <w:rPr>
          <w:rStyle w:val="SectionNumber"/>
        </w:rPr>
        <w:t xml:space="preserve">8.16</w:t>
      </w:r>
      <w:r>
        <w:tab/>
      </w:r>
      <w:r>
        <w:t xml:space="preserve">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52"/>
    <w:bookmarkEnd w:id="153"/>
    <w:bookmarkStart w:id="157"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54"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предшествующие аналитические записки и рабочая база знаний проекта — писались в разное время, разными методами и при разном доступе к источникам, и расхождения между ними неизбежны. Ниже они перечислены без сглаживания: в чём расхождение, как его разрешает первоисточник и что остаётся открытым. Номера в скобках — пункты перечня противоречий рабочей базы знаний [23], где он есть.</w:t>
      </w:r>
    </w:p>
    <w:bookmarkEnd w:id="154"/>
    <w:bookmarkStart w:id="155"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канон,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(канон) (15)</w:t>
            </w:r>
          </w:p>
        </w:tc>
        <w:tc>
          <w:tcPr/>
          <w:p>
            <w:pPr>
              <w:pStyle w:val="Compact"/>
            </w:pPr>
            <w:r>
              <w:t xml:space="preserve">Общая и специальная нормы; для организации питания — ст. 6.6 [64]</w:t>
            </w:r>
          </w:p>
        </w:tc>
        <w:tc>
          <w:tcPr/>
          <w:p>
            <w:pPr>
              <w:pStyle w:val="Compact"/>
            </w:pPr>
            <w:r>
              <w:t xml:space="preserve">Снято</w:t>
            </w:r>
          </w:p>
        </w:tc>
      </w:tr>
      <w:tr>
        <w:tc>
          <w:tcPr/>
          <w:p>
            <w:pPr>
              <w:pStyle w:val="Compact"/>
            </w:pPr>
            <w:r>
              <w:t xml:space="preserve">6</w:t>
            </w:r>
          </w:p>
        </w:tc>
        <w:tc>
          <w:tcPr/>
          <w:p>
            <w:pPr>
              <w:pStyle w:val="Compact"/>
            </w:pPr>
            <w:r>
              <w:t xml:space="preserve">Плата не более 75 %: ч. 4 ст. 32 442-ФЗ (канон)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[35]</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v2</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[92];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[77]</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(канон [22])</w:t>
            </w:r>
          </w:p>
        </w:tc>
        <w:tc>
          <w:tcPr/>
          <w:p>
            <w:pPr>
              <w:pStyle w:val="Compact"/>
            </w:pPr>
            <w:r>
              <w:t xml:space="preserve">8,00 — весь кейтеринг; сырьё — 6,08 [123]</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[55]</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(канон,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[142] и п. 4 ст. 12 КПИ («воля и предпочтения») [37].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(канон,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[141];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(канон)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(канон) / на приём или заказ заранее (первая редакция) / на период (предшествующая записка) (6)</w:t>
            </w:r>
          </w:p>
        </w:tc>
        <w:tc>
          <w:tcPr/>
          <w:p>
            <w:pPr>
              <w:pStyle w:val="Compact"/>
            </w:pPr>
            <w:r>
              <w:t xml:space="preserve">Определения разных слоёв; v2 использует каноническое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канона)</w:t>
            </w:r>
          </w:p>
        </w:tc>
        <w:tc>
          <w:tcPr/>
          <w:p>
            <w:pPr>
              <w:pStyle w:val="Compact"/>
            </w:pPr>
            <w:r>
              <w:t xml:space="preserve">№ 1068 — приказ Департамента социальной защиты населения Москвы от 24.12.2014, а не постановление «-ПП» [78]; в приказе № 228 прочитаны п. 1–2.1, в том числе допуск ±5 % калорийности по приёмам пищи при соблюдении среднего за неделю [69]; текст № 1068 прочитан: брутто, три графы, в том числе психоневрологические организации [79]. Оба приказа — акты одного ведомства, иерархии между ними нет; № 228 утверждает нормы для тех же адресатов позднее [69, 79]</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канона)</w:t>
            </w:r>
          </w:p>
        </w:tc>
        <w:tc>
          <w:tcPr/>
          <w:p>
            <w:pPr>
              <w:pStyle w:val="Compact"/>
            </w:pPr>
            <w:r>
              <w:t xml:space="preserve">Реквизиты по первой редакции и международной базе FAOLEX — приказ [83]</w:t>
            </w:r>
          </w:p>
        </w:tc>
        <w:tc>
          <w:tcPr/>
          <w:p>
            <w:pPr>
              <w:pStyle w:val="Compact"/>
            </w:pPr>
            <w:r>
              <w:t xml:space="preserve">Вероятно снято; требует сверки</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[46]</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148]; в Санкт-Петербурге полномочие Управления социального питания по контролю норм питания отменено с 01.01.2022 [149]</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[59])</w:t>
            </w:r>
          </w:p>
        </w:tc>
        <w:tc>
          <w:tcPr/>
          <w:p>
            <w:pPr>
              <w:pStyle w:val="Compact"/>
            </w:pPr>
            <w:r>
              <w:t xml:space="preserve">Постановление округа ставит критерием цель закупки, а не источник денег [58]; комментарий ГАРАНТ.РУ делает более узкий вывод [62]; блог неверно излагает предмет договора и позицию апелляции; под этим номером в открытой базе найдено только определение об отсрочке госпошлины [60]; дата (28.01.2026) и итог подтверждены вторым вторичным источником, который излагает позицию через цель закупки [61]</w:t>
            </w:r>
          </w:p>
        </w:tc>
        <w:tc>
          <w:tcPr/>
          <w:p>
            <w:pPr>
              <w:pStyle w:val="Compact"/>
            </w:pPr>
            <w:r>
              <w:t xml:space="preserve">Частично снято: отказ подтверждён вторично; текст определения по существу не найден; вывод п. 2.10 — толкование</w:t>
            </w:r>
          </w:p>
        </w:tc>
      </w:tr>
      <w:tr>
        <w:tc>
          <w:tcPr/>
          <w:p>
            <w:pPr>
              <w:pStyle w:val="Compact"/>
            </w:pPr>
            <w:r>
              <w:t xml:space="preserve">34</w:t>
            </w:r>
          </w:p>
        </w:tc>
        <w:tc>
          <w:tcPr/>
          <w:p>
            <w:pPr>
              <w:pStyle w:val="Compact"/>
            </w:pPr>
            <w:r>
              <w:t xml:space="preserve">Тарифы на питание в Санкт-Петербурге: разница «с СБКС / без СБКС» в ПНИ 90,77 руб. (2025) и 43,21 руб. (2026); тариф ПНИ выше общего в 2025 г. и ниже в 2026 г. (вторая редакция писала «при неизменных нормах»)</w:t>
            </w:r>
          </w:p>
        </w:tc>
        <w:tc>
          <w:tcPr/>
          <w:p>
            <w:pPr>
              <w:pStyle w:val="Compact"/>
            </w:pPr>
            <w:r>
              <w:t xml:space="preserve">Нормы изменены постановлением № 507 с 01.01.2026: общая норма пересобрана по № 520н, ПНИ-норма почти не изменилась, СБКС — по медицинским показаниям [33, 34]; тарифы — [74, 75]; методика расчёта не опубликована</w:t>
            </w:r>
          </w:p>
        </w:tc>
        <w:tc>
          <w:tcPr/>
          <w:p>
            <w:pPr>
              <w:pStyle w:val="Compact"/>
            </w:pPr>
            <w:r>
              <w:t xml:space="preserve">Частично снято в шестом проходе: смена знака разницы совпадает со сменой общей нормы; сокращение разницы «с СБКС / без СБКС» не объяснено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[133]</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Санкт-Петербург с 01.01.2026) против включения в общую норму (Ленинградская обл., ХМАО — Югра по ред. 2014 г.; Санкт-Петербург до 31.12.2025)</w:t>
            </w:r>
          </w:p>
        </w:tc>
        <w:tc>
          <w:tcPr/>
          <w:p>
            <w:pPr>
              <w:pStyle w:val="Compact"/>
            </w:pPr>
            <w:r>
              <w:t xml:space="preserve">Разные региональные модели [34, 46, 47, 71]; вторая редакция относила Санкт-Петербург ко второй модели по редакции 2022 г. [33]; в действующей редакции ХМАО (2017) строка СБКС есть, значение в публичной версии не видно [86]</w:t>
            </w:r>
          </w:p>
        </w:tc>
        <w:tc>
          <w:tcPr/>
          <w:p>
            <w:pPr>
              <w:pStyle w:val="Compact"/>
            </w:pPr>
            <w:r>
              <w:t xml:space="preserve">Не противоречие; препятствие для прямого сравнения норм (п. 3.14)</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39]</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[150]</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Нижегородской области — в нетто, Санкт-Петербурга (и в ред. 2022 г., и в ред. 2026 г.), Ленинградской области и ХМАО (ред. 2017 г.) — в обеих величинах [33, 34, 45–47, 70, 86]; прежние редакции ошибочно относили Санкт-Петербург к нетто</w:t>
            </w:r>
          </w:p>
        </w:tc>
        <w:tc>
          <w:tcPr/>
          <w:p>
            <w:pPr>
              <w:pStyle w:val="Compact"/>
            </w:pPr>
            <w:r>
              <w:t xml:space="preserve">Снято методически: прямое сравнение без пересчёта некорректно (п. 3.12)</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[58, 60]</w:t>
            </w:r>
          </w:p>
        </w:tc>
        <w:tc>
          <w:tcPr/>
          <w:p>
            <w:pPr>
              <w:pStyle w:val="Compact"/>
            </w:pPr>
            <w:r>
              <w:t xml:space="preserve">Техническое расхождение</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49]</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[89]; закупки по 223-ФЗ — по карточкам агрегатора [90, 91]; цикличные меню из закупочной документации — по вариантам диеты, без выбора блюд; исполнитель сменился в середине 2026 г. [91]. Один кейс — учреждение автора; ТЗ конкурса на август — декабрь 2026 г. и договор не прочитаны, условия о выборе не проверены</w:t>
            </w:r>
          </w:p>
        </w:tc>
        <w:tc>
          <w:tcPr/>
          <w:p>
            <w:pPr>
              <w:pStyle w:val="Compact"/>
            </w:pPr>
            <w:r>
              <w:t xml:space="preserve">Снято: кейс внесён (п. 4.8) с оговоркой о непроверенных условиях договора</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[37, 124, 140]</w:t>
            </w:r>
          </w:p>
        </w:tc>
        <w:tc>
          <w:tcPr/>
          <w:p>
            <w:pPr>
              <w:pStyle w:val="Compact"/>
            </w:pPr>
            <w:r>
              <w:t xml:space="preserve">Снято для трёх опор (п. 6.11); каркас остаётся каркасом</w:t>
            </w:r>
          </w:p>
        </w:tc>
      </w:tr>
      <w:tr>
        <w:tc>
          <w:tcPr/>
          <w:p>
            <w:pPr>
              <w:pStyle w:val="Compact"/>
            </w:pPr>
            <w:r>
              <w:t xml:space="preserve">46</w:t>
            </w:r>
          </w:p>
        </w:tc>
        <w:tc>
          <w:tcPr/>
          <w:p>
            <w:pPr>
              <w:pStyle w:val="Compact"/>
            </w:pPr>
            <w:r>
              <w:t xml:space="preserve">Нормы Санкт-Петербурга в первой и второй редакциях обзора — по редакции № 1284 от 27.06.2022: птица 40 г, рыба 41,8 г, творог 40 г в общей норме; СБКС и ВМК в общей норме; «нормы не менялись»</w:t>
            </w:r>
          </w:p>
        </w:tc>
        <w:tc>
          <w:tcPr/>
          <w:p>
            <w:pPr>
              <w:pStyle w:val="Compact"/>
            </w:pPr>
            <w:r>
              <w:t xml:space="preserve">Приложение изложено заново постановлением № 507 от 18.07.2025 с 01.01.2026 [34]</w:t>
            </w:r>
          </w:p>
        </w:tc>
        <w:tc>
          <w:tcPr/>
          <w:p>
            <w:pPr>
              <w:pStyle w:val="Compact"/>
            </w:pPr>
            <w:r>
              <w:t xml:space="preserve">Снято в шестом проходе: п. 3.2, сценарии 1, 2, 11 и 12 гл. 7, прил. Б пересчитаны по действующей редакции</w:t>
            </w:r>
          </w:p>
        </w:tc>
      </w:tr>
      <w:tr>
        <w:tc>
          <w:tcPr/>
          <w:p>
            <w:pPr>
              <w:pStyle w:val="Compact"/>
            </w:pPr>
            <w:r>
              <w:t xml:space="preserve">47</w:t>
            </w:r>
          </w:p>
        </w:tc>
        <w:tc>
          <w:tcPr/>
          <w:p>
            <w:pPr>
              <w:pStyle w:val="Compact"/>
            </w:pPr>
            <w:r>
              <w:t xml:space="preserve">Приказ ДСО «Серафимовский» № 124 в докладе — «закреплено заказное питание, в том числе для маломобильных» (вторая редакция)</w:t>
            </w:r>
          </w:p>
        </w:tc>
        <w:tc>
          <w:tcPr/>
          <w:p>
            <w:pPr>
              <w:pStyle w:val="Compact"/>
            </w:pPr>
            <w:r>
              <w:t xml:space="preserve">Правила внутреннего распорядка учреждения: «зал заказного питания (вариативное меню)» упомянут одной фразой о месте приёма пищи; маломобильные едят в комнатах; порядок заказа не определён [28]</w:t>
            </w:r>
          </w:p>
        </w:tc>
        <w:tc>
          <w:tcPr/>
          <w:p>
            <w:pPr>
              <w:pStyle w:val="Compact"/>
            </w:pPr>
            <w:r>
              <w:t xml:space="preserve">Снято в шестом проходе: формулировки уточнены (п. 4.8, сценарии 3 и 7 гл. 7, прил. А)</w:t>
            </w:r>
          </w:p>
        </w:tc>
      </w:tr>
    </w:tbl>
    <w:bookmarkEnd w:id="155"/>
    <w:bookmarkStart w:id="156" w:name="что-из-этого-следует-для-читателя"/>
    <w:p>
      <w:pPr>
        <w:pStyle w:val="Heading2"/>
      </w:pPr>
      <w:r>
        <w:rPr>
          <w:rStyle w:val="SectionNumber"/>
        </w:rPr>
        <w:t xml:space="preserve">9.3</w:t>
      </w:r>
      <w:r>
        <w:tab/>
      </w:r>
      <w:r>
        <w:t xml:space="preserve">Что из этого следует для читателя</w:t>
      </w:r>
    </w:p>
    <w:p>
      <w:pPr>
        <w:pStyle w:val="FirstParagraph"/>
      </w:pPr>
      <w:r>
        <w:t xml:space="preserve">Пункты 1–6, 10, 12–14, 21–23, 28, 30–32, 35 и 41–43 — исправленные факты или восполненные пробелы; вторая редакция пользуется исправленными версиями. Четыре из них (32, 35, 42 и 43) исправляют ошибки самой второй редакции, найденные при дополнении: правило называть расхождения явно доклад распространяет и на себя. Пункты 9, 15, 24, 26, 29, 33, 34 (частично), 37 и 38 — открытые вопросы; сверх установленного доклад по ним ничего не утверждает. Пункты 17 и 18 сняты решением автора в пятом проходе: порядок каналов воли — как рекомендация, формула о «запрете принудительного кормления» — как неверная, с разведением нормы и толкования; пункт 44 снят подтверждением автора (с оговоркой о непроверенном договоре), пункт 45 — для трёх международных опор. Пункты 46 и 47 исправляют ошибки самой второй редакции, найденные в шестом проходе (сверка с данными учреждения и действующей редакцией № 1284); пункт 34 после этого остаётся открытым только в части разницы тарифов «с СБКС / без СБКС». Пункты 19, 20 и 36 отражают разные задачи, определения или региональные модели и выбирать между ними не требуется; пункты 39 и 40 — методические и технические.</w:t>
      </w:r>
    </w:p>
    <w:bookmarkEnd w:id="156"/>
    <w:bookmarkEnd w:id="157"/>
    <w:bookmarkStart w:id="161"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этого раздела — рекомендации автора как директора учреждения и участника профессиональной дискуссии. Они не выражают позицию Минтруда России, рабочей группы или иного органа и не являются нормами. При каждом предложении сказано, на какую проблему из глав 2–9 оно отвечает и на какой образец опирается; где образца нет, это оговорено.</w:t>
      </w:r>
    </w:p>
    <w:bookmarkStart w:id="158" w:name="федеральный-уровень"/>
    <w:p>
      <w:pPr>
        <w:pStyle w:val="Heading2"/>
      </w:pPr>
      <w:r>
        <w:rPr>
          <w:rStyle w:val="SectionNumber"/>
        </w:rPr>
        <w:t xml:space="preserve">10.1</w:t>
      </w:r>
      <w:r>
        <w:tab/>
      </w:r>
      <w:r>
        <w:t xml:space="preserve">Федеральный уровень</w:t>
      </w:r>
    </w:p>
    <w:p>
      <w:pPr>
        <w:pStyle w:val="Compact"/>
        <w:numPr>
          <w:ilvl w:val="0"/>
          <w:numId w:val="1023"/>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Без общего словаря одну и ту же практику разные проверяющие оценивают по-разному.</w:t>
      </w:r>
    </w:p>
    <w:p>
      <w:pPr>
        <w:pStyle w:val="Compact"/>
        <w:numPr>
          <w:ilvl w:val="0"/>
          <w:numId w:val="1023"/>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или прямо распространить на них приложение № 11 к СанПиН 4282-26. Пока учреждения применяют детскую таблицу по аналогии (п. 2.6).</w:t>
      </w:r>
    </w:p>
    <w:p>
      <w:pPr>
        <w:pStyle w:val="Compact"/>
        <w:numPr>
          <w:ilvl w:val="0"/>
          <w:numId w:val="1023"/>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Единственная найденная региональная опора для взрослых — п. 2.1 московского приказа № 228, допускающий отклонение калорийности по приёмам пищи на ±5 % при соблюдении среднего за неделю [69]; она годится как образец формулировки.</w:t>
      </w:r>
    </w:p>
    <w:p>
      <w:pPr>
        <w:pStyle w:val="Compact"/>
        <w:numPr>
          <w:ilvl w:val="0"/>
          <w:numId w:val="1023"/>
        </w:numPr>
      </w:pPr>
      <w:r>
        <w:rPr>
          <w:b/>
          <w:bCs/>
        </w:rPr>
        <w:t xml:space="preserve">Суточная проба.</w:t>
      </w:r>
      <w:r>
        <w:t xml:space="preserve"> </w:t>
      </w:r>
      <w:r>
        <w:t xml:space="preserve">Устранить пробел о суточной пробе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23"/>
        </w:numPr>
      </w:pPr>
      <w:r>
        <w:rPr>
          <w:b/>
          <w:bCs/>
        </w:rPr>
        <w:t xml:space="preserve">Формула альтернативы.</w:t>
      </w:r>
      <w:r>
        <w:t xml:space="preserve"> </w:t>
      </w:r>
      <w:r>
        <w:t xml:space="preserve">При возможном регулировании выбора опираться не на число блюд, а на формулу «альтернатива сходной пищевой ценности по запросу», известную по американскому праву [127], и на онтарийскую модель цикла меню с выбором, утверждаемого диетологом при участии совета жителей [130]. Американское руководство для инспекторов показывает, что такая формула проверяема: предмет проверки — ответ учреждения на отказ конкретного жителя от блюда [128].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выбрать словами.</w:t>
      </w:r>
    </w:p>
    <w:p>
      <w:pPr>
        <w:pStyle w:val="Compact"/>
        <w:numPr>
          <w:ilvl w:val="0"/>
          <w:numId w:val="1023"/>
        </w:numPr>
      </w:pPr>
      <w:r>
        <w:rPr>
          <w:b/>
          <w:bCs/>
        </w:rPr>
        <w:t xml:space="preserve">Постное питание.</w:t>
      </w:r>
      <w:r>
        <w:t xml:space="preserve"> </w:t>
      </w:r>
      <w:r>
        <w:t xml:space="preserve">Разъяснить, как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Сейчас в проверочном листе Роструда соседствуют вопрос 64 о соблюдении норм питания и вопрос 75 об условиях для соблюдения постов [39], а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Хватило бы дополнить таблицу замен строками растительных источников белка с коэффициентами по белку (предложение 2).</w:t>
      </w:r>
    </w:p>
    <w:p>
      <w:pPr>
        <w:pStyle w:val="Compact"/>
        <w:numPr>
          <w:ilvl w:val="0"/>
          <w:numId w:val="1023"/>
        </w:numPr>
      </w:pPr>
      <w:r>
        <w:rPr>
          <w:b/>
          <w:bCs/>
        </w:rPr>
        <w:t xml:space="preserve">Брутто и нетто.</w:t>
      </w:r>
      <w:r>
        <w:t xml:space="preserve"> </w:t>
      </w:r>
      <w:r>
        <w:t xml:space="preserve">В рекомендуемых нормах (приказ № 520н) и в методических материалах для субъектов прямо указывать, в каких единицах (брутто или нетто) выражена каждая позиция, и рекомендовать субъектам делать то же. Из шести прочитанных региональных актов два выражены в брутто, один в нетто, три в обеих величинах, и сравнивать граммы между ними и с № 520н напрямую нельзя (п. 3.12; гл. 9, позиция 39).</w:t>
      </w:r>
    </w:p>
    <w:p>
      <w:pPr>
        <w:pStyle w:val="Compact"/>
        <w:numPr>
          <w:ilvl w:val="0"/>
          <w:numId w:val="1023"/>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 [92, 112]; пределы отходов как меры съеденного показало исследование CLEVER [114].</w:t>
      </w:r>
    </w:p>
    <w:p>
      <w:pPr>
        <w:pStyle w:val="Compact"/>
        <w:numPr>
          <w:ilvl w:val="0"/>
          <w:numId w:val="1023"/>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[128, 131]. Действующий лист содержит 79 вопросов, из которых ни один не касается учёта предпочтений в питании; предпочтения упомянуты только применительно к размещению в спальнях (вопрос 46) [39]. Такой вопрос не требует от учреждения определённого числа блюд и совместим с действующими нормами.</w:t>
      </w:r>
    </w:p>
    <w:p>
      <w:pPr>
        <w:pStyle w:val="Compact"/>
        <w:numPr>
          <w:ilvl w:val="0"/>
          <w:numId w:val="1023"/>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[135] и онтарийского требования о рассмотрении времени приёмов пищи советом жителей [131].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[150].</w:t>
      </w:r>
    </w:p>
    <w:bookmarkEnd w:id="158"/>
    <w:bookmarkStart w:id="159" w:name="региональный-уровень"/>
    <w:p>
      <w:pPr>
        <w:pStyle w:val="Heading2"/>
      </w:pPr>
      <w:r>
        <w:rPr>
          <w:rStyle w:val="SectionNumber"/>
        </w:rPr>
        <w:t xml:space="preserve">10.2</w:t>
      </w:r>
      <w:r>
        <w:tab/>
      </w:r>
      <w:r>
        <w:t xml:space="preserve">Региональный уровень</w:t>
      </w:r>
    </w:p>
    <w:p>
      <w:pPr>
        <w:pStyle w:val="Compact"/>
        <w:numPr>
          <w:ilvl w:val="0"/>
          <w:numId w:val="1024"/>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3.15). Образец локальной формы — таблицы взаимозаменяемости и замены по белкам и углеводам, утверждённые положением нижегородского дома-интерната [48].</w:t>
      </w:r>
    </w:p>
    <w:p>
      <w:pPr>
        <w:pStyle w:val="Compact"/>
        <w:numPr>
          <w:ilvl w:val="0"/>
          <w:numId w:val="1024"/>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хотя бы стоимость набора по группам продуктов. В Санкт-Петербурге разница между двумя ПНИ-тарифами за год уменьшилась с 90,77 до 43,21 руб., хотя граммы обеих ПНИ-норм почти не изменились, а соотношение тарифов ПНИ и общего поменяло знак одновременно с пересборкой общей нормы постановлением № 507. По опубликованным документам нельзя разделить, что повлияло — состав набора, цены или методика (п. 3.2; гл. 9, позиция 34). Без методики учреждение не может доказать учредителю ни того, что выбор стоит денег, ни того, что не стоит.</w:t>
      </w:r>
    </w:p>
    <w:p>
      <w:pPr>
        <w:pStyle w:val="Compact"/>
        <w:numPr>
          <w:ilvl w:val="0"/>
          <w:numId w:val="1024"/>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24"/>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[150]),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24"/>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только описаний.</w:t>
      </w:r>
    </w:p>
    <w:bookmarkEnd w:id="159"/>
    <w:bookmarkStart w:id="160" w:name="уровень-учреждения"/>
    <w:p>
      <w:pPr>
        <w:pStyle w:val="Heading2"/>
      </w:pPr>
      <w:r>
        <w:rPr>
          <w:rStyle w:val="SectionNumber"/>
        </w:rPr>
        <w:t xml:space="preserve">10.3</w:t>
      </w:r>
      <w:r>
        <w:tab/>
      </w:r>
      <w:r>
        <w:t xml:space="preserve">Уровень учреждения</w:t>
      </w:r>
    </w:p>
    <w:p>
      <w:pPr>
        <w:pStyle w:val="Compact"/>
        <w:numPr>
          <w:ilvl w:val="0"/>
          <w:numId w:val="1025"/>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25"/>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25"/>
        </w:numPr>
      </w:pPr>
      <w:r>
        <w:rPr>
          <w:b/>
          <w:bCs/>
        </w:rPr>
        <w:t xml:space="preserve">Закрепить порядок локальным актом</w:t>
      </w:r>
      <w:r>
        <w:t xml:space="preserve"> </w:t>
      </w:r>
      <w:r>
        <w:t xml:space="preserve">до начала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25"/>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25"/>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[133] и опроса семьи у Yaxley и соавт. [145]; эти сведения — основа решений за тех, кто не может выразить выбор (сценарий 15).</w:t>
      </w:r>
    </w:p>
    <w:p>
      <w:pPr>
        <w:pStyle w:val="Compact"/>
        <w:numPr>
          <w:ilvl w:val="0"/>
          <w:numId w:val="1025"/>
        </w:numPr>
      </w:pPr>
      <w:r>
        <w:rPr>
          <w:b/>
          <w:bCs/>
        </w:rPr>
        <w:t xml:space="preserve">Измерять до и после</w:t>
      </w:r>
      <w:r>
        <w:t xml:space="preserve"> </w:t>
      </w:r>
      <w:r>
        <w:t xml:space="preserve">хотя бы отходы с тарелки, возвраты по каждому варианту и распределение выбора (сценарий 8, п. 7.18), помня, что низкие возвраты не доказывают достаточности питания конкретного жителя [114].</w:t>
      </w:r>
    </w:p>
    <w:p>
      <w:pPr>
        <w:pStyle w:val="Compact"/>
        <w:numPr>
          <w:ilvl w:val="0"/>
          <w:numId w:val="1025"/>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[129, 131].</w:t>
      </w:r>
    </w:p>
    <w:p>
      <w:pPr>
        <w:pStyle w:val="Compact"/>
        <w:numPr>
          <w:ilvl w:val="0"/>
          <w:numId w:val="1025"/>
        </w:numPr>
      </w:pPr>
      <w:r>
        <w:rPr>
          <w:b/>
          <w:bCs/>
        </w:rPr>
        <w:t xml:space="preserve">Включать неговорящих и маломобильных</w:t>
      </w:r>
      <w:r>
        <w:t xml:space="preserve"> </w:t>
      </w:r>
      <w:r>
        <w:t xml:space="preserve">с первого этапа, а не после «отладки на ходячих» (сценарии 4, 10 и 15).</w:t>
      </w:r>
    </w:p>
    <w:p>
      <w:pPr>
        <w:pStyle w:val="Compact"/>
        <w:numPr>
          <w:ilvl w:val="0"/>
          <w:numId w:val="1025"/>
        </w:numPr>
      </w:pPr>
      <w:r>
        <w:rPr>
          <w:b/>
          <w:bCs/>
        </w:rPr>
        <w:t xml:space="preserve">Публиковать результаты</w:t>
      </w:r>
      <w:r>
        <w:t xml:space="preserve"> </w:t>
      </w:r>
      <w:r>
        <w:t xml:space="preserve">с датами и числами, включая неудачи. Пока российские сообщения — это описания без измерений (п. 4.11), спор о пользе и вреде выбора останется спором мнений.</w:t>
      </w:r>
    </w:p>
    <w:bookmarkEnd w:id="160"/>
    <w:bookmarkEnd w:id="161"/>
    <w:bookmarkStart w:id="162" w:name="заключение"/>
    <w:p>
      <w:pPr>
        <w:pStyle w:val="Heading1"/>
      </w:pPr>
      <w:r>
        <w:rPr>
          <w:rStyle w:val="SectionNumber"/>
        </w:rPr>
        <w:t xml:space="preserve">11</w:t>
      </w:r>
      <w:r>
        <w:tab/>
      </w:r>
      <w:r>
        <w:t xml:space="preserve">Заключение</w:t>
      </w:r>
    </w:p>
    <w:p>
      <w:pPr>
        <w:pStyle w:val="FirstParagraph"/>
      </w:pPr>
      <w:r>
        <w:t xml:space="preserve">Исследование сводится к десяти выводам. Класс каждого утверждения указан в соответствующем разделе; ссылки, уже приведённые в тексте, здесь повторяются не везде.</w:t>
      </w:r>
    </w:p>
    <w:p>
      <w:pPr>
        <w:numPr>
          <w:ilvl w:val="0"/>
          <w:numId w:val="1026"/>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39, 40, 148].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Поэтому постный вариант блюда в пост — исполнение обязанности, а не инициатива кухни.</w:t>
      </w:r>
    </w:p>
    <w:p>
      <w:pPr>
        <w:numPr>
          <w:ilvl w:val="0"/>
          <w:numId w:val="1026"/>
        </w:numPr>
      </w:pPr>
      <w:r>
        <w:rPr>
          <w:b/>
          <w:bCs/>
        </w:rPr>
        <w:t xml:space="preserve">Смена санитарных правил не изменила ответа на вопрос о выборе, но изменила его цену.</w:t>
      </w:r>
      <w:r>
        <w:t xml:space="preserve"> </w:t>
      </w:r>
      <w:r>
        <w:t xml:space="preserve">С 01.09.2026 действует СанПиН 4282-26; СанПиН 3590-20 применяется к документам и событиям до 31.08.2026 [2, 3]. Новый акт, как и прежний, о числе вариантов молчит, но требованиями к технологическому документу на каждое блюдо (п. 11), трёхчасовым пределом на раздаче и запретом реализовать остатки на следующий день (п. 32), бракеражем каждого блюда (подп. 13 п. 56) превращает каждый дополнительный вариант в отдельный объект производственного контроля.</w:t>
      </w:r>
    </w:p>
    <w:p>
      <w:pPr>
        <w:numPr>
          <w:ilvl w:val="0"/>
          <w:numId w:val="1026"/>
        </w:numPr>
      </w:pPr>
      <w:r>
        <w:rPr>
          <w:b/>
          <w:bCs/>
        </w:rPr>
        <w:t xml:space="preserve">Главный правовой пробел — механизм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для взрослых не содержат ни постановление Санкт-Петербурга № 1284 (в действующей с 01.01.2026 редакции отсылка к таблице замены СанПиН есть только в разделе норм для детей),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Поэтому выбор между мясом и рыбой юридически уязвимее выбора между гречкой и рисом, хотя по пищевой ценности обе пары могут быть равноценны.</w:t>
      </w:r>
    </w:p>
    <w:p>
      <w:pPr>
        <w:numPr>
          <w:ilvl w:val="0"/>
          <w:numId w:val="1026"/>
        </w:numPr>
      </w:pPr>
      <w:r>
        <w:rPr>
          <w:b/>
          <w:bCs/>
        </w:rPr>
        <w:t xml:space="preserve">Региональные нормы дают выбору больше простора, чем принято считать.</w:t>
      </w:r>
      <w:r>
        <w:t xml:space="preserve"> </w:t>
      </w:r>
      <w:r>
        <w:t xml:space="preserve">Нормы № 1284 сформулированы по строкам-группам продуктов (с 01.01.2026 — более дробным: овощи свежие, солёные, зелень и консервированные — отдельно); внутри строки (крупы, овощи свежие,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26"/>
        </w:numPr>
      </w:pPr>
      <w:r>
        <w:rPr>
          <w:b/>
          <w:bCs/>
        </w:rPr>
        <w:t xml:space="preserve">Российская практика выросла, но не измерена.</w:t>
      </w:r>
      <w:r>
        <w:t xml:space="preserve"> </w:t>
      </w:r>
      <w:r>
        <w:t xml:space="preserve">За 2024–2026 гг. найдены сообщения восьми учреждений и одного регионального органа, а министр социального развития Иркутской области подтвердил запуск вариативного питания в регионе в 2025 г. [18];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 единственный найденный кейс выбора при аутсорсинге питания; условия договора о выборе не проверены). С июня 2026 г. в Вологодской области работает межрегиональная площадка.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 самоотчёты, а не результаты проверки.</w:t>
      </w:r>
    </w:p>
    <w:p>
      <w:pPr>
        <w:numPr>
          <w:ilvl w:val="0"/>
          <w:numId w:val="1026"/>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[92]. Те же данные показывают цену выбора в момент еды: рост производственных отходов и стоимости примерно на 9–20 % [92]. Систематические обзоры оценивают эффект вмешательств в организацию питания на пищевой статус как небольшой и плохо измеренный [104, 105].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[107] и в условиях нормированного набора не проверено.</w:t>
      </w:r>
    </w:p>
    <w:p>
      <w:pPr>
        <w:numPr>
          <w:ilvl w:val="0"/>
          <w:numId w:val="1026"/>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[124, 127, 130];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[133, 135, 139]. Ни один из изученных актов не устанавливает минимального числа вторых блюд. Перенести эти формулы в российское право можно только актом федерального или регионального уровня.</w:t>
      </w:r>
    </w:p>
    <w:p>
      <w:pPr>
        <w:numPr>
          <w:ilvl w:val="0"/>
          <w:numId w:val="1026"/>
        </w:numPr>
      </w:pPr>
      <w:r>
        <w:rPr>
          <w:b/>
          <w:bCs/>
        </w:rPr>
        <w:t xml:space="preserve">Выбор, недоступный жителю, не является выбором.</w:t>
      </w:r>
      <w:r>
        <w:t xml:space="preserve"> </w:t>
      </w:r>
      <w:r>
        <w:t xml:space="preserve">И австралийские данные о низком выборе для получающих протёртую пищу [95], и канадские данные о том, что пища изменённой консистенции назначена 47 % жителей [115], показывают: вариативное меню, рассчитанное на ходячих и говорящих, может не дойти до значительной части дома. Включить маломобильных и невербальных жителей — условие, а не следующий этап.</w:t>
      </w:r>
    </w:p>
    <w:p>
      <w:pPr>
        <w:numPr>
          <w:ilvl w:val="0"/>
          <w:numId w:val="1026"/>
        </w:numPr>
      </w:pPr>
      <w:r>
        <w:rPr>
          <w:b/>
          <w:bCs/>
        </w:rPr>
        <w:t xml:space="preserve">Проверка смотрит на нормы, а не на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148].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[39]. Зарубежные процедуры, напротив, проверяют ответ учреждения на волю жителя, наблюдаемый в реальном приёме пищи [128, 129, 131]. Пока у нас этого нет, проверить, реален ли выбор, может только внутренний контроль учреждения.</w:t>
      </w:r>
    </w:p>
    <w:p>
      <w:pPr>
        <w:numPr>
          <w:ilvl w:val="0"/>
          <w:numId w:val="1026"/>
        </w:numPr>
      </w:pPr>
      <w:r>
        <w:rPr>
          <w:b/>
          <w:bCs/>
        </w:rPr>
        <w:t xml:space="preserve">Противоречия не устранены, а названы.</w:t>
      </w:r>
      <w:r>
        <w:t xml:space="preserve"> </w:t>
      </w:r>
      <w:r>
        <w:t xml:space="preserve">Глава 9 перечисляет 40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снимет только орган, уполномоченный разъяснять или издавать нормы.</w:t>
      </w:r>
    </w:p>
    <w:p>
      <w:pPr>
        <w:pStyle w:val="FirstParagraph"/>
      </w:pPr>
      <w:r>
        <w:t xml:space="preserve">Для руководителя учреждения практический итог — четыре требования, обоснованные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 рекомендации автора; позицию какого-либо органа они не выражают.</w:t>
      </w:r>
    </w:p>
    <w:bookmarkEnd w:id="162"/>
    <w:bookmarkStart w:id="163" w:name="список-источников"/>
    <w:p>
      <w:pPr>
        <w:pStyle w:val="Heading1"/>
      </w:pPr>
      <w:r>
        <w:t xml:space="preserve">Список источников</w:t>
      </w:r>
    </w:p>
    <w:p>
      <w:pPr>
        <w:pStyle w:val="FirstParagraph"/>
      </w:pPr>
      <w:r>
        <w:t xml:space="preserve">Пометка [н] — источник, впервые привлечённый во второй редакции; [о] — источник, использованный и в первой редакции [1].</w:t>
      </w:r>
    </w:p>
    <w:p>
      <w:pPr>
        <w:pStyle w:val="Compact"/>
        <w:numPr>
          <w:ilvl w:val="0"/>
          <w:numId w:val="1027"/>
        </w:numPr>
      </w:pPr>
      <w:r>
        <w:t xml:space="preserve">[о] Вариативное меню: НПА. Нормативно-правовое регулирование и региональная практика: доклад (литературная редакция 29.08.2026). 82 с. — Репозиторий qlolp/seminar-variable-food-2026, папка raw/sources/variativnoe-menu-npa-2026/.</w:t>
      </w:r>
    </w:p>
    <w:p>
      <w:pPr>
        <w:pStyle w:val="Compact"/>
        <w:numPr>
          <w:ilvl w:val="0"/>
          <w:numId w:val="1027"/>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URL: https://base.garant.ru/74891586/ (дата обращения: 05.10.2026).</w:t>
      </w:r>
    </w:p>
    <w:p>
      <w:pPr>
        <w:pStyle w:val="Compact"/>
        <w:numPr>
          <w:ilvl w:val="0"/>
          <w:numId w:val="1027"/>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URL: https://www.garant.ru/products/ipo/prime/doc/414229257/ (дата обращения: 05.10.2026).</w:t>
      </w:r>
    </w:p>
    <w:p>
      <w:pPr>
        <w:pStyle w:val="Compact"/>
        <w:numPr>
          <w:ilvl w:val="0"/>
          <w:numId w:val="1027"/>
        </w:numPr>
      </w:pPr>
      <w:r>
        <w:t xml:space="preserve">[н] Как устроены ПНИ в России: исследование / Проект «Если быть точным». 09.04.2026. — URL: https://tochno.st/materials/kak-ustroeny-pni-v-rossii-issledovanie-esli-byt-tocnym (дата обращения: 23.07.2026).</w:t>
      </w:r>
    </w:p>
    <w:p>
      <w:pPr>
        <w:pStyle w:val="Compact"/>
        <w:numPr>
          <w:ilvl w:val="0"/>
          <w:numId w:val="1027"/>
        </w:numPr>
      </w:pPr>
      <w:r>
        <w:t xml:space="preserve">[о] Вариативное питание / ГАУССО НСО «Болотнинский психоневрологический интернат». 16.08.2024. — URL: https://bpni.nso.ru/news/2312 (дата обращения: 05.10.2026).</w:t>
      </w:r>
    </w:p>
    <w:p>
      <w:pPr>
        <w:pStyle w:val="Compact"/>
        <w:numPr>
          <w:ilvl w:val="0"/>
          <w:numId w:val="1027"/>
        </w:numPr>
      </w:pPr>
      <w:r>
        <w:t xml:space="preserve">[н] Вариативное питание — выбор за вами! / ГАУССО НСО «Болотнинский психоневрологический интернат». 03.09.2026. — URL: https://bpni.nso.ru/news/8993 (дата обращения: 05.10.2026).</w:t>
      </w:r>
    </w:p>
    <w:p>
      <w:pPr>
        <w:pStyle w:val="Compact"/>
        <w:numPr>
          <w:ilvl w:val="0"/>
          <w:numId w:val="1027"/>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URL: https://upni.nso.ru/news/1916 (дата обращения: 05.10.2026).</w:t>
      </w:r>
    </w:p>
    <w:p>
      <w:pPr>
        <w:pStyle w:val="Compact"/>
        <w:numPr>
          <w:ilvl w:val="0"/>
          <w:numId w:val="1027"/>
        </w:numPr>
      </w:pPr>
      <w:r>
        <w:t xml:space="preserve">[н] Разумная Т. Успенский интернат расширяет «Шведский стол»: теперь и в третьем отделении проживающие сами выбирают блюда // ЧС-ИНФО. 23.10.2025. — URL: https://4s-info.ru/2025/10/23/uspenskij-internat-rasshiryaet-shvedskij-stol-teper-i-v-tretem-otdelenii-prozhivayushhie-sami-vybirayut-blyuda/ (дата обращения: 05.10.2026).</w:t>
      </w:r>
    </w:p>
    <w:p>
      <w:pPr>
        <w:pStyle w:val="Compact"/>
        <w:numPr>
          <w:ilvl w:val="0"/>
          <w:numId w:val="1027"/>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URL: https://kpi.nso.ru/news/395 (дата обращения: 05.10.2026).</w:t>
      </w:r>
    </w:p>
    <w:p>
      <w:pPr>
        <w:pStyle w:val="Compact"/>
        <w:numPr>
          <w:ilvl w:val="0"/>
          <w:numId w:val="1027"/>
        </w:numPr>
      </w:pPr>
      <w:r>
        <w:t xml:space="preserve">[н] Софин Р. Шведский стол за 3 млн приучил к аккуратности жильцов психинтерната НСО // Прецедент TV. 27.07.2026. — URL: https://precedent.tv/shvedskij-stol-za-3-mln-priuchil-k-akkuratnosti-zhiltsov-psihinternata-nso (дата обращения: 05.10.2026).</w:t>
      </w:r>
    </w:p>
    <w:p>
      <w:pPr>
        <w:pStyle w:val="Compact"/>
        <w:numPr>
          <w:ilvl w:val="0"/>
          <w:numId w:val="1027"/>
        </w:numPr>
      </w:pPr>
      <w:r>
        <w:t xml:space="preserve">[н] Наша главная задача — не просто накормить, а создать домашнюю атмосферу / ГАУССО НСО «Успенский психоневрологический интернат». 27.07.2026. — URL: https://upni.nso.ru/news/5804 (дата обращения: 05.10.2026).</w:t>
      </w:r>
    </w:p>
    <w:p>
      <w:pPr>
        <w:pStyle w:val="Compact"/>
        <w:numPr>
          <w:ilvl w:val="0"/>
          <w:numId w:val="1027"/>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Лента новостей Новосибирска. 20.06.2025. — URL: https://novosibirsk-news.net/society/2025/06/20/338927.html (дата обращения: 05.10.2026).</w:t>
      </w:r>
    </w:p>
    <w:p>
      <w:pPr>
        <w:pStyle w:val="Compact"/>
        <w:numPr>
          <w:ilvl w:val="0"/>
          <w:numId w:val="1027"/>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URL: https://ui-ogbuso.ru/novosti/ (дата обращения: 05.10.2026).</w:t>
      </w:r>
    </w:p>
    <w:p>
      <w:pPr>
        <w:pStyle w:val="Compact"/>
        <w:numPr>
          <w:ilvl w:val="0"/>
          <w:numId w:val="1027"/>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27"/>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Областная газета. 26.11.2025. — URL: https://www.ogirk.ru/2025/11/26/v-chunskom-zavershaetsja-stroitelstvo-dvuh-modulnyh-zhilyh-korpusov/ (дата обращения: 05.10.2026).</w:t>
      </w:r>
    </w:p>
    <w:p>
      <w:pPr>
        <w:pStyle w:val="Compact"/>
        <w:numPr>
          <w:ilvl w:val="0"/>
          <w:numId w:val="1027"/>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URL: https://base.garant.ru/34763286/ (дата обращения: 05.10.2026).</w:t>
      </w:r>
    </w:p>
    <w:p>
      <w:pPr>
        <w:pStyle w:val="Compact"/>
        <w:numPr>
          <w:ilvl w:val="0"/>
          <w:numId w:val="1027"/>
        </w:numPr>
      </w:pPr>
      <w:r>
        <w:t xml:space="preserve">[н] Вариативное меню появляется в домах соцобслуживания Вологодчины // СеверИнфо. 05.07.2026. — URL: https://www.severinfo.ru/society/91519-variativnoe-menju-pojavljaetsja-v-domah-socobsluzhivanija-vologodchiny.html (дата обращения: 05.10.2026).</w:t>
      </w:r>
    </w:p>
    <w:p>
      <w:pPr>
        <w:pStyle w:val="Compact"/>
        <w:numPr>
          <w:ilvl w:val="0"/>
          <w:numId w:val="1027"/>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Областная газета. 04.02.2026. № 11 (2949). — URL: https://www.ogirk.ru/2026/02/04/vladimir-rodionov-na-prieme-v-sluzhbah-soczashhity-net-ocheredej/ (дата обращения: 05.10.2026).</w:t>
      </w:r>
    </w:p>
    <w:p>
      <w:pPr>
        <w:pStyle w:val="Compact"/>
        <w:numPr>
          <w:ilvl w:val="0"/>
          <w:numId w:val="1027"/>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URL: http://nldi.ru/files/8983.pdf (дата обращения: 05.10.2026).</w:t>
      </w:r>
    </w:p>
    <w:p>
      <w:pPr>
        <w:pStyle w:val="Compact"/>
        <w:numPr>
          <w:ilvl w:val="0"/>
          <w:numId w:val="1027"/>
        </w:numPr>
      </w:pPr>
      <w:r>
        <w:t xml:space="preserve">[н] Иркутский дом-интернат для престарелых и инвалидов продолжает совершенствоваться / Пресс-служба Правительства Иркутской области // Областная газета. 21.01.2025. — URL: https://www.ogirk.ru/2025/01/21/irkutskij-dom-internat-dlja-prestarelyh-i-invalidov-prodolzhaet-sovershenstvovatsja/ (дата обращения: 05.10.2026).</w:t>
      </w:r>
    </w:p>
    <w:p>
      <w:pPr>
        <w:pStyle w:val="Compact"/>
        <w:numPr>
          <w:ilvl w:val="0"/>
          <w:numId w:val="1027"/>
        </w:numPr>
      </w:pPr>
      <w:r>
        <w:t xml:space="preserve">[н] Работа по развитию психоневрологических интернатов продолжается / Комитет по социальной политике Санкт-Петербурга. 22.07.2025. — URL: https://gov.spb.ru/gov/otrasl/trud/news/302216/ (дата обращения: 05.10.2026).</w:t>
      </w:r>
    </w:p>
    <w:p>
      <w:pPr>
        <w:pStyle w:val="Compact"/>
        <w:numPr>
          <w:ilvl w:val="0"/>
          <w:numId w:val="1027"/>
        </w:numPr>
      </w:pPr>
      <w:r>
        <w:t xml:space="preserve">[н] Не просто накормить: доклад к семинару 25–27.08.2026. — Репозиторий qlolp/seminar-variable-food-2026, папка raw/sources/ne-prosto-nakormit/doklad/.</w:t>
      </w:r>
    </w:p>
    <w:p>
      <w:pPr>
        <w:pStyle w:val="Compact"/>
        <w:numPr>
          <w:ilvl w:val="0"/>
          <w:numId w:val="1027"/>
        </w:numPr>
      </w:pPr>
      <w:r>
        <w:t xml:space="preserve">[н] Рабочая база знаний проекта (wiki/, в том числе wiki/gaps.md, wiki/entities/, wiki/concepts/) и предшествующие аналитические записки (raw/sources/related/). — Репозиторий qlolp/seminar-variable-food-2026.</w:t>
      </w:r>
    </w:p>
    <w:p>
      <w:pPr>
        <w:pStyle w:val="Compact"/>
        <w:numPr>
          <w:ilvl w:val="0"/>
          <w:numId w:val="1027"/>
        </w:numPr>
      </w:pPr>
      <w:r>
        <w:t xml:space="preserve">[о] Федеральный закон от 28.12.2013 № 442-ФЗ «Об основах социального обслуживания граждан в Российской Федерации». — URL: https://www.consultant.ru/document/cons_doc_LAW_156558/ (дата обращения: 05.10.2026).</w:t>
      </w:r>
    </w:p>
    <w:p>
      <w:pPr>
        <w:pStyle w:val="Compact"/>
        <w:numPr>
          <w:ilvl w:val="0"/>
          <w:numId w:val="1027"/>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URL: https://base.garant.ru/70829256/ (дата обращения: 05.10.2026).</w:t>
      </w:r>
    </w:p>
    <w:p>
      <w:pPr>
        <w:pStyle w:val="Compact"/>
        <w:numPr>
          <w:ilvl w:val="0"/>
          <w:numId w:val="1027"/>
        </w:numPr>
      </w:pPr>
      <w:r>
        <w:t xml:space="preserve">[н] Закон РФ от 02.07.1992 № 3185-1 «О психиатрической помощи и гарантиях прав граждан при её оказании». — URL: https://www.consultant.ru/document/cons_doc_LAW_4205/ (дата обращения: 05.10.2026).</w:t>
      </w:r>
    </w:p>
    <w:p>
      <w:pPr>
        <w:pStyle w:val="Compact"/>
        <w:numPr>
          <w:ilvl w:val="0"/>
          <w:numId w:val="1027"/>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URL: https://www.consultant.ru/document/cons_doc_LAW_506945/ (дата обращения: 05.10.2026).</w:t>
      </w:r>
    </w:p>
    <w:p>
      <w:pPr>
        <w:pStyle w:val="Compact"/>
        <w:numPr>
          <w:ilvl w:val="0"/>
          <w:numId w:val="1027"/>
        </w:numPr>
      </w:pPr>
      <w:r>
        <w:t xml:space="preserve">[н] Приказ СПб ГАСУСОН «ДСО „Серафимовский“» от 10.03.2026 № 124 «Об утверждении правил внутреннего распорядка жителей СПб ГАСУСОН „ДСО „Серафимовский“»» (графический образ на бланке с наименованием учредителя — Комитета по социальной политике Санкт-Петербурга; подписан директором учреждения), п. 3.6, 3.9, 3.13 правил. — URL: https://sdso-spb.ru/wp-content/uploads/sfv/docs/8388b0948844-Приказ-124-от-10.03.2026.pdf ; раздел «Документы учреждения»: https://sdso-spb.ru/dokumenty-uchrezhdeniya/ ; ранее — архивная копия сайта pni9.ru от 15.04.2026: https://web.archive.org/web/20260415001233/https://www.pni9.ru/правила-внутреннего-распорядка/ (дата обращения: 05.10.2026).</w:t>
      </w:r>
    </w:p>
    <w:p>
      <w:pPr>
        <w:pStyle w:val="Compact"/>
        <w:numPr>
          <w:ilvl w:val="0"/>
          <w:numId w:val="1027"/>
        </w:numPr>
      </w:pPr>
      <w:r>
        <w:t xml:space="preserve">[н] Питание / ГАСУСО МО «Добрый дом „Солнечногорский“». — URL: https://ddsol.ru/about/pitanie/ (дата обращения: 05.10.2026).</w:t>
      </w:r>
    </w:p>
    <w:p>
      <w:pPr>
        <w:pStyle w:val="Compact"/>
        <w:numPr>
          <w:ilvl w:val="0"/>
          <w:numId w:val="1027"/>
        </w:numPr>
      </w:pPr>
      <w:r>
        <w:t xml:space="preserve">[н] Nijs K. A. N. D., de Graaf C., Kok F. J., van Staveren W. A. Effect of family style mealtimes on quality of life, physical performance, and body weight of nursing home residents: cluster randomised controlled trial // BMJ. 2006. Vol. 332. P. 1180–1184. DOI: 10.1136/bmj.38825.401181.7C.</w:t>
      </w:r>
    </w:p>
    <w:p>
      <w:pPr>
        <w:pStyle w:val="Compact"/>
        <w:numPr>
          <w:ilvl w:val="0"/>
          <w:numId w:val="1027"/>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URL: https://base.garant.ru/184396/ ; первоначальная редакция: https://base.garant.ru/5365902/ (дата обращения: 05.10.2026).</w:t>
      </w:r>
    </w:p>
    <w:p>
      <w:pPr>
        <w:pStyle w:val="Compact"/>
        <w:numPr>
          <w:ilvl w:val="0"/>
          <w:numId w:val="1027"/>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URL: https://base.garant.ru/405707433/ ; https://mintrud.gov.ru/docs/2466 (дата обращения: 05.10.2026).</w:t>
      </w:r>
    </w:p>
    <w:p>
      <w:pPr>
        <w:pStyle w:val="Compact"/>
        <w:numPr>
          <w:ilvl w:val="0"/>
          <w:numId w:val="1027"/>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редакция, действовавшая до 31.12.2025; с 01.01.2026 приложение изложено заново постановлением от 18.07.2025 № 507, см. эту позицию в списке источников). — URL: https://base.garant.ru/22921449/ (дата обращения: 05.10.2026).</w:t>
      </w:r>
    </w:p>
    <w:p>
      <w:pPr>
        <w:pStyle w:val="Compact"/>
        <w:numPr>
          <w:ilvl w:val="0"/>
          <w:numId w:val="1027"/>
        </w:numPr>
      </w:pPr>
      <w:r>
        <w:t xml:space="preserve">[н] Постановление Правительства Санкт-Петербурга от 18.07.2025 № 507 «О внесении изменений в постановление Правительства Санкт-Петербурга от 29.12.2014 № 1284» (приложение к № 1284 изложено в новой редакции; вступает в силу с 01.01.2026). Официальное опубликование: портал правовой информации, номер 7800202507240011, 24.07.2025. — URL: http://publication.pravo.gov.ru/Document/View/7800202507240011 ; текст приложения: https://base.garant.ru/412376974/8b7b3c1c76e91f88d33c08b3736aa67a/ (дата обращения: 05.10.2026).</w:t>
      </w:r>
    </w:p>
    <w:p>
      <w:pPr>
        <w:pStyle w:val="Compact"/>
        <w:numPr>
          <w:ilvl w:val="0"/>
          <w:numId w:val="1027"/>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URL: https://normacs.net/Doclist/doc/200DS.html (дата обращения: 05.10.2026).</w:t>
      </w:r>
    </w:p>
    <w:p>
      <w:pPr>
        <w:pStyle w:val="Compact"/>
        <w:numPr>
          <w:ilvl w:val="0"/>
          <w:numId w:val="1027"/>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URL: https://www.consultant.ru/document/cons_doc_LAW_28399/ (дата обращения: 05.10.2026).</w:t>
      </w:r>
    </w:p>
    <w:p>
      <w:pPr>
        <w:pStyle w:val="Compact"/>
        <w:numPr>
          <w:ilvl w:val="0"/>
          <w:numId w:val="1027"/>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URL: https://www.un.org/ru/documents/decl_conv/conventions/disability.shtml (дата обращения: 05.10.2026).</w:t>
      </w:r>
    </w:p>
    <w:p>
      <w:pPr>
        <w:pStyle w:val="Compact"/>
        <w:numPr>
          <w:ilvl w:val="0"/>
          <w:numId w:val="1027"/>
        </w:numPr>
      </w:pPr>
      <w:r>
        <w:t xml:space="preserve">[н] Committee on the Rights of Persons with Disabilities. General comment No. 1 (2014). Article 12: Equal recognition before the law. CRPD/C/GC/1. — URL: https://documents.un.org/doc/undoc/gen/g14/031/20/pdf/g1403120.pdf (дата обращения: 05.10.2026).</w:t>
      </w:r>
    </w:p>
    <w:p>
      <w:pPr>
        <w:pStyle w:val="Compact"/>
        <w:numPr>
          <w:ilvl w:val="0"/>
          <w:numId w:val="1027"/>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URL: http://publication.pravo.gov.ru/document/0001202602130013 ; https://pravo.ppt.ru/prikaz/rostrud/n-18-326901 ; https://www.consultant.ru/document/cons_doc_LAW_526542/ (дата обращения: 05.10.2026).</w:t>
      </w:r>
    </w:p>
    <w:p>
      <w:pPr>
        <w:pStyle w:val="Compact"/>
        <w:numPr>
          <w:ilvl w:val="0"/>
          <w:numId w:val="1027"/>
        </w:numPr>
      </w:pPr>
      <w:r>
        <w:t xml:space="preserve">[н] Агафонов И. Что изменится в жизни подопечных ПНИ с сентября // Милосердие.ru. 20.06.2025. — URL: https://www.miloserdie.ru/news/novye-pravila-i-novye-vozmozhnosti-chto-izmenitsya-v-zhizni-podopechnyh-pni-s-sentyabrya/ (дата обращения: 05.10.2026).</w:t>
      </w:r>
    </w:p>
    <w:p>
      <w:pPr>
        <w:pStyle w:val="Compact"/>
        <w:numPr>
          <w:ilvl w:val="0"/>
          <w:numId w:val="1027"/>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27"/>
        </w:numPr>
      </w:pPr>
      <w:r>
        <w:t xml:space="preserve">[н] Горелик С. Г. и др. Оценка нутритивного статуса и коррекция питания лиц пожилого возраста в учреждении социального обслуживания // Современные проблемы здравоохранения и медицинской статистики. 2020. № 4. — URL: https://cyberleninka.ru/ (дата обращения: 05.10.2026).</w:t>
      </w:r>
    </w:p>
    <w:p>
      <w:pPr>
        <w:pStyle w:val="Compact"/>
        <w:numPr>
          <w:ilvl w:val="0"/>
          <w:numId w:val="1027"/>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URL: https://www.rospotrebnadzor.ru/documents/details.php?ELEMENT_ID=18979 (дата обращения: 05.10.2026).</w:t>
      </w:r>
    </w:p>
    <w:p>
      <w:pPr>
        <w:pStyle w:val="Compact"/>
        <w:numPr>
          <w:ilvl w:val="0"/>
          <w:numId w:val="1027"/>
        </w:numPr>
      </w:pPr>
      <w:r>
        <w:t xml:space="preserve">[о] Постановление Правительства Свердловской области от 10.11.2022 № 765-ПП (нормы питания в организациях социального обслуживания). — URL: https://base.garant.ru/405688359/ (дата обращения: 05.10.2026).</w:t>
      </w:r>
    </w:p>
    <w:p>
      <w:pPr>
        <w:pStyle w:val="Compact"/>
        <w:numPr>
          <w:ilvl w:val="0"/>
          <w:numId w:val="1027"/>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URL: https://ctonus.ru/f/normy_pitaniya.docx (дата обращения: 05.10.2026).</w:t>
      </w:r>
    </w:p>
    <w:p>
      <w:pPr>
        <w:pStyle w:val="Compact"/>
        <w:numPr>
          <w:ilvl w:val="0"/>
          <w:numId w:val="1027"/>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URL: https://luga-pni.ru/f/prikazom_komiteta_po_socialnoj_zashchite_naseleniya_leningradskoj_oblasti_no04_ot_30122021_goda_ob_utverzhdenii_normativov_o.pdf (дата обращения: 05.10.2026).</w:t>
      </w:r>
    </w:p>
    <w:p>
      <w:pPr>
        <w:pStyle w:val="Compact"/>
        <w:numPr>
          <w:ilvl w:val="0"/>
          <w:numId w:val="1027"/>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27"/>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URL: https://soc52.ru/sorm-di-documents/statement/item/447-statement-food (дата обращения: 05.10.2026).</w:t>
      </w:r>
    </w:p>
    <w:p>
      <w:pPr>
        <w:pStyle w:val="Compact"/>
        <w:numPr>
          <w:ilvl w:val="0"/>
          <w:numId w:val="1027"/>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URL: http://publication.pravo.gov.ru/Document/View/0001202011120001 (дата обращения: 05.10.2026).</w:t>
      </w:r>
    </w:p>
    <w:p>
      <w:pPr>
        <w:pStyle w:val="Compact"/>
        <w:numPr>
          <w:ilvl w:val="0"/>
          <w:numId w:val="1027"/>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URL: https://base.garant.ru/12133007/ (дата обращения: 05.10.2026).</w:t>
      </w:r>
    </w:p>
    <w:p>
      <w:pPr>
        <w:pStyle w:val="Compact"/>
        <w:numPr>
          <w:ilvl w:val="0"/>
          <w:numId w:val="1027"/>
        </w:numPr>
      </w:pPr>
      <w:r>
        <w:t xml:space="preserve">[о] Приказ Минздрава России от 21.06.2013 № 395н «Об утверждении норм лечебного питания». — URL: https://base.garant.ru/70412098/ (дата обращения: 05.10.2026).</w:t>
      </w:r>
    </w:p>
    <w:p>
      <w:pPr>
        <w:pStyle w:val="Compact"/>
        <w:numPr>
          <w:ilvl w:val="0"/>
          <w:numId w:val="1027"/>
        </w:numPr>
      </w:pPr>
      <w:r>
        <w:t xml:space="preserve">[о] Приказ Минздрава России от 23.09.2020 № 1008н «Об утверждении порядка обеспечения пациентов лечебным питанием». — URL: https://base.garant.ru/74703746/ (дата обращения: 05.10.2026).</w:t>
      </w:r>
    </w:p>
    <w:p>
      <w:pPr>
        <w:pStyle w:val="Compact"/>
        <w:numPr>
          <w:ilvl w:val="0"/>
          <w:numId w:val="1027"/>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Российский журнал гериатрической медицины. 2021. № 1. С. 15–34. DOI: 10.37586/2686-8636-1-2021-15-34.</w:t>
      </w:r>
    </w:p>
    <w:p>
      <w:pPr>
        <w:pStyle w:val="Compact"/>
        <w:numPr>
          <w:ilvl w:val="0"/>
          <w:numId w:val="1027"/>
        </w:numPr>
      </w:pPr>
      <w:r>
        <w:t xml:space="preserve">[о] Организация питания: страницы сайтов учреждений социального обслуживания Омской области. — URL: http://www.ditavrich55.ru/pitanie ; https://pni55.ru/perechen-zapreshchennyh-produktov (дата обращения: 16.07.2026, по первой редакции обзора).</w:t>
      </w:r>
    </w:p>
    <w:p>
      <w:pPr>
        <w:pStyle w:val="Compact"/>
        <w:numPr>
          <w:ilvl w:val="0"/>
          <w:numId w:val="1027"/>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URL: https://www.consultant.ru/document/cons_doc_LAW_144624/ (дата обращения: 05.10.2026).</w:t>
      </w:r>
    </w:p>
    <w:p>
      <w:pPr>
        <w:pStyle w:val="Compact"/>
        <w:numPr>
          <w:ilvl w:val="0"/>
          <w:numId w:val="1027"/>
        </w:numPr>
      </w:pPr>
      <w:r>
        <w:t xml:space="preserve">[н] Федеральный закон от 18.07.2011 № 223-ФЗ «О закупках товаров, работ, услуг отдельными видами юридических лиц». — URL: https://www.consultant.ru/document/cons_doc_LAW_116964/ (дата обращения: 05.10.2026).</w:t>
      </w:r>
    </w:p>
    <w:p>
      <w:pPr>
        <w:pStyle w:val="Compact"/>
        <w:numPr>
          <w:ilvl w:val="0"/>
          <w:numId w:val="1027"/>
        </w:numPr>
      </w:pPr>
      <w:r>
        <w:t xml:space="preserve">[н] Письмо Минфина России от 29.12.2014 № 02-02-08/68298. — URL: https://base.garant.ru/70853116/ (дата обращения: 05.10.2026).</w:t>
      </w:r>
    </w:p>
    <w:p>
      <w:pPr>
        <w:pStyle w:val="Compact"/>
        <w:numPr>
          <w:ilvl w:val="0"/>
          <w:numId w:val="1027"/>
        </w:numPr>
      </w:pPr>
      <w:r>
        <w:t xml:space="preserve">[н] Постановление Арбитражного суда Дальневосточного округа от 05.12.2025 № Ф03-3556/25 по делу № А73-20917/2024. — URL: https://base.garant.ru/37266612/ ; https://www.garant.ru/files/6/0/2049606/postanovlenie_arbitragnogo_suda_dalnevostochnogo_okruga_ot_5_dekabrya_2025_g_n_f0.pdf (дата обращения: 05.10.2026).</w:t>
      </w:r>
    </w:p>
    <w:p>
      <w:pPr>
        <w:pStyle w:val="Compact"/>
        <w:numPr>
          <w:ilvl w:val="0"/>
          <w:numId w:val="1027"/>
        </w:numPr>
      </w:pPr>
      <w:r>
        <w:t xml:space="preserve">[н] Красавин Е. Верховный Суд: закупки по госзаданию автономные учреждения обязаны проводить по 44-ФЗ. Определение № 303-ЭС25-15393 // Блог pro-ability.ru. 25.02.2026. — URL: https://www.pro-ability.ru/tpost/sbdtgydex1-verhovnii-sud-zakupki-po-goszadaniyu-avt (дата обращения: 05.10.2026).</w:t>
      </w:r>
    </w:p>
    <w:p>
      <w:pPr>
        <w:pStyle w:val="Compact"/>
        <w:numPr>
          <w:ilvl w:val="0"/>
          <w:numId w:val="1027"/>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 А73-20917/2024). — URL: https://sudact.ru/vsrf/doc/aZCIdQcDpC5v/ (дата обращения: 05.10.2026).</w:t>
      </w:r>
    </w:p>
    <w:p>
      <w:pPr>
        <w:pStyle w:val="Compact"/>
        <w:numPr>
          <w:ilvl w:val="0"/>
          <w:numId w:val="1027"/>
        </w:numPr>
      </w:pPr>
      <w:r>
        <w:t xml:space="preserve">[н] Кулаков А. Обзор решений Верховного суда РФ по закупкам [в т. ч. определение ВС РФ от 28.01.2026 № 303-ЭС25-15393 по делу № А73-20917/2024]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27"/>
        </w:numPr>
      </w:pPr>
      <w:r>
        <w:t xml:space="preserve">[н] Когда автономные учреждения не вправе контрактоваться по Закону № 223-ФЗ / ГАРАНТ.РУ; воспроизведено: Информационный портал закупок. 2026. — URL: https://www.zakupki-portal.ru/novosti/main-news/kogda-avtonomnye-uchrezhdeniya-ne-vprave-kontraktovat-sya-po-zakonu-223-fz/ (дата обращения: 05.10.2026).</w:t>
      </w:r>
    </w:p>
    <w:p>
      <w:pPr>
        <w:pStyle w:val="Compact"/>
        <w:numPr>
          <w:ilvl w:val="0"/>
          <w:numId w:val="1027"/>
        </w:numPr>
      </w:pPr>
      <w:r>
        <w:t xml:space="preserve">[н] Извещение № 0372200070825000244 «Поставка продуктов питания» (заказчик — СПб ГБСУСОН «ДСО „Тесовый берег“», ИНН 7827661874; опубл. 24.11.2025). — URL: https://www.tenderguru.ru/tender/90473908 (дата обращения: 05.10.2026).</w:t>
      </w:r>
    </w:p>
    <w:p>
      <w:pPr>
        <w:pStyle w:val="Compact"/>
        <w:numPr>
          <w:ilvl w:val="0"/>
          <w:numId w:val="1027"/>
        </w:numPr>
      </w:pPr>
      <w:r>
        <w:t xml:space="preserve">[о] Кодекс Российской Федерации об административных правонарушениях от 30.12.2001 № 195-ФЗ. Ст. 6.3, 6.6, 6.7. — URL: https://www.consultant.ru/document/cons_doc_LAW_34661/ (дата обращения: 05.10.2026).</w:t>
      </w:r>
    </w:p>
    <w:p>
      <w:pPr>
        <w:pStyle w:val="Compact"/>
        <w:numPr>
          <w:ilvl w:val="0"/>
          <w:numId w:val="1027"/>
        </w:numPr>
      </w:pPr>
      <w:r>
        <w:t xml:space="preserve">[н] Новости прокуратуры: привлечение к ответственности по ст. 6.6 КоАП РФ руководителя социально-реабилитационного центра (2022) // Кашин.инфо. — URL: https://www.kashin.info/prokuratura-informiruet/novosti-prokuratury/9121 (дата обращения: 23.07.2026).</w:t>
      </w:r>
    </w:p>
    <w:p>
      <w:pPr>
        <w:pStyle w:val="Compact"/>
        <w:numPr>
          <w:ilvl w:val="0"/>
          <w:numId w:val="1027"/>
        </w:numPr>
      </w:pPr>
      <w:r>
        <w:t xml:space="preserve">[н] Постановление Верховного Суда РФ от 21.02.2019 № 11-АД19-4. — URL: https://www.garant.ru/products/ipo/prime/doc/72095418/ (дата обращения: 05.10.2026).</w:t>
      </w:r>
    </w:p>
    <w:p>
      <w:pPr>
        <w:pStyle w:val="Compact"/>
        <w:numPr>
          <w:ilvl w:val="0"/>
          <w:numId w:val="1027"/>
        </w:numPr>
      </w:pPr>
      <w:r>
        <w:t xml:space="preserve">[н] ФАС раскрыла картель на торгах на поставку социально значимых продуктов // Российская газета. 25.07.2024. — URL: https://rg.ru/2024/07/25/fas-raskryla-kartel-na-torgah-na-postavku-socialno-znachimyh-produktov.html (дата обращения: 23.07.2026).</w:t>
      </w:r>
    </w:p>
    <w:p>
      <w:pPr>
        <w:pStyle w:val="Compact"/>
        <w:numPr>
          <w:ilvl w:val="0"/>
          <w:numId w:val="1027"/>
        </w:numPr>
      </w:pPr>
      <w:r>
        <w:t xml:space="preserve">[н] Челябинское УФАС: картель на 27 тендерах школьного питания // Про-Госзаказ. 2025. — URL: https://pro-goszakaz.ru/news/116068 (дата обращения: 05.10.2026).</w:t>
      </w:r>
    </w:p>
    <w:p>
      <w:pPr>
        <w:pStyle w:val="Compact"/>
        <w:numPr>
          <w:ilvl w:val="0"/>
          <w:numId w:val="1027"/>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URL: https://base.garant.ru/405012407/ (дата обращения: 05.10.2026).</w:t>
      </w:r>
    </w:p>
    <w:p>
      <w:pPr>
        <w:pStyle w:val="Compact"/>
        <w:numPr>
          <w:ilvl w:val="0"/>
          <w:numId w:val="1027"/>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URL: https://nn-gov.ru/doc/123332 (дата обращения: 05.10.2026).</w:t>
      </w:r>
    </w:p>
    <w:p>
      <w:pPr>
        <w:pStyle w:val="Compact"/>
        <w:numPr>
          <w:ilvl w:val="0"/>
          <w:numId w:val="1027"/>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постановление № 231-п в списке источников). — URL: https://lawmix.ru/zakonodatelstvo/1941538 (дата обращения: 05.10.2026).</w:t>
      </w:r>
    </w:p>
    <w:p>
      <w:pPr>
        <w:pStyle w:val="Compact"/>
        <w:numPr>
          <w:ilvl w:val="0"/>
          <w:numId w:val="1027"/>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URL: https://www.garant.ru/hotlaw/peterburg/1318583/ (дата обращения: 05.10.2026).</w:t>
      </w:r>
    </w:p>
    <w:p>
      <w:pPr>
        <w:pStyle w:val="Compact"/>
        <w:numPr>
          <w:ilvl w:val="0"/>
          <w:numId w:val="1027"/>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URL: https://base.garant.ru/22921910/ (дата обращения: 05.10.2026).</w:t>
      </w:r>
    </w:p>
    <w:p>
      <w:pPr>
        <w:pStyle w:val="Compact"/>
        <w:numPr>
          <w:ilvl w:val="0"/>
          <w:numId w:val="1027"/>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URL: https://base.garant.ru/411120324/ ; официальная публикация (номер 7801202412170003): http://publication.pravo.gov.ru/Document/View/7801202412170003 (дата обращения: 05.10.2026).</w:t>
      </w:r>
    </w:p>
    <w:p>
      <w:pPr>
        <w:pStyle w:val="Compact"/>
        <w:numPr>
          <w:ilvl w:val="0"/>
          <w:numId w:val="1027"/>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URL: http://publication.pravo.gov.ru/document/7801202512190004 (дата обращения: 05.10.2026).</w:t>
      </w:r>
    </w:p>
    <w:p>
      <w:pPr>
        <w:pStyle w:val="Compact"/>
        <w:numPr>
          <w:ilvl w:val="0"/>
          <w:numId w:val="1027"/>
        </w:numPr>
      </w:pPr>
      <w:r>
        <w:t xml:space="preserve">[н] Постановление Правительства Санкт-Петербурга от 23.07.2009 № 873 «О мерах по реализации Закона Санкт-Петербурга „О социальном питании в Санкт-Петербурге“», п. 7 (в ред. постановления от 21.11.2013 № 889) [копия текста на сайте образовательного учреждения]. — URL: https://school537.spb.ru/wp-content/uploads/2025/12/o-merakh-po-realizatsii-zakona-sankt_peterburga-</w:t>
      </w:r>
      <w:r>
        <w:rPr>
          <w:i/>
          <w:iCs/>
        </w:rPr>
        <w:t xml:space="preserve">o-sotsialnom-pitanii-v-sankt_peterburge</w:t>
      </w:r>
      <w:r>
        <w:t xml:space="preserve">-.pdf (дата обращения: 05.10.2026).</w:t>
      </w:r>
    </w:p>
    <w:p>
      <w:pPr>
        <w:pStyle w:val="Compact"/>
        <w:numPr>
          <w:ilvl w:val="0"/>
          <w:numId w:val="1027"/>
        </w:numPr>
      </w:pPr>
      <w:r>
        <w:t xml:space="preserve">[о] Ежегодный доклад Уполномоченного по правам ребёнка в Санкт-Петербурге за 2024 год. — URL: https://spbdeti.org/upload/iblock/357/f10ncjwqcpqic00z1kiskc8zw7jy26ow/ZAKS_2025.pdf (дата обращения: 16.07.2026, по первой редакции обзора).</w:t>
      </w:r>
    </w:p>
    <w:p>
      <w:pPr>
        <w:pStyle w:val="Compact"/>
        <w:numPr>
          <w:ilvl w:val="0"/>
          <w:numId w:val="1027"/>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URL: https://navigator.osoboepravo.ru/explanation/417.html (дата обращения: 05.10.2026).</w:t>
      </w:r>
    </w:p>
    <w:p>
      <w:pPr>
        <w:pStyle w:val="Compact"/>
        <w:numPr>
          <w:ilvl w:val="0"/>
          <w:numId w:val="1027"/>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URL: https://pvt31.ru/files/fload/NPA/prikaz_departamenta_socialnoy_zashchity_naseleniya_goroda_moskvy_ot_24_dekabrya_2014_g._no_1068_.pdf (дата обращения: 05.10.2026).</w:t>
      </w:r>
    </w:p>
    <w:p>
      <w:pPr>
        <w:pStyle w:val="Compact"/>
        <w:numPr>
          <w:ilvl w:val="0"/>
          <w:numId w:val="1027"/>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URL: https://base.garant.ru/404606671/ (дата обращения: 05.10.2026).</w:t>
      </w:r>
    </w:p>
    <w:p>
      <w:pPr>
        <w:pStyle w:val="Compact"/>
        <w:numPr>
          <w:ilvl w:val="0"/>
          <w:numId w:val="1027"/>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URL: http://chk-di.soc52.ru/chk-di-documents/statement/3786-statement-nutrition (дата обращения: 05.10.2026).</w:t>
      </w:r>
    </w:p>
    <w:p>
      <w:pPr>
        <w:pStyle w:val="Compact"/>
        <w:numPr>
          <w:ilvl w:val="0"/>
          <w:numId w:val="1027"/>
        </w:numPr>
      </w:pPr>
      <w:r>
        <w:t xml:space="preserve">[о] Приказ от 11.11.2014 № 171-п (нормы питания в организациях социального обслуживания Омской области). — URL: https://base.garant.ru/15588873/ (дата обращения: 05.10.2026).</w:t>
      </w:r>
    </w:p>
    <w:p>
      <w:pPr>
        <w:pStyle w:val="Compact"/>
        <w:numPr>
          <w:ilvl w:val="0"/>
          <w:numId w:val="1027"/>
        </w:numPr>
      </w:pPr>
      <w:r>
        <w:t xml:space="preserve">[о] Приказ Комитета по социальной защите населения Псковской области от 14.07.2020 № 206 (нормы питания). — URL: https://faolex.fao.org/docs/pdf/rus203529.pdf (дата обращения: 05.10.2026).</w:t>
      </w:r>
    </w:p>
    <w:p>
      <w:pPr>
        <w:pStyle w:val="Compact"/>
        <w:numPr>
          <w:ilvl w:val="0"/>
          <w:numId w:val="1027"/>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URL: https://base.garant.ru/408512695/ ; https://base.garant.ru/412848299/ ; https://base.garant.ru/29905144/53f89421bbdaf741eb2d1ecc4ddb4c33/ (дата обращения: 05.10.2026).</w:t>
      </w:r>
    </w:p>
    <w:p>
      <w:pPr>
        <w:pStyle w:val="Compact"/>
        <w:numPr>
          <w:ilvl w:val="0"/>
          <w:numId w:val="1027"/>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URL: http://publication.pravo.gov.ru/document/4701202508060002 ; http://publication.pravo.gov.ru/file/pdf?eoNumber=4701202508060002 (дата обращения: 05.10.2026).</w:t>
      </w:r>
    </w:p>
    <w:p>
      <w:pPr>
        <w:pStyle w:val="Compact"/>
        <w:numPr>
          <w:ilvl w:val="0"/>
          <w:numId w:val="1027"/>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URL: https://base.garant.ru/18936377/ ; https://base.garant.ru/18936377/53f89421bbdaf741eb2d1ecc4ddb4c33/ (дата обращения: 05.10.2026).</w:t>
      </w:r>
    </w:p>
    <w:p>
      <w:pPr>
        <w:pStyle w:val="Compact"/>
        <w:numPr>
          <w:ilvl w:val="0"/>
          <w:numId w:val="1027"/>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URL: https://sprt.tatar/files/Otchet_Psih_2025.pdf (дата обращения: 16.07.2026, по первой редакции обзора).</w:t>
      </w:r>
    </w:p>
    <w:p>
      <w:pPr>
        <w:pStyle w:val="Compact"/>
        <w:numPr>
          <w:ilvl w:val="0"/>
          <w:numId w:val="1027"/>
        </w:numPr>
      </w:pPr>
      <w:r>
        <w:t xml:space="preserve">[н] СПб ГАСУСОН «ДСО „Серафимовский“» (ранее СПб ГАСУ СО «ПНИ № 9»). Информация об организации социального питания в СПб ГАСУ СО «ПНИ № 9» на 2022 год. — URL: https://sdso-spb.ru/wp-content/uploads/sfv/docs/a08dfea89605-Информация-об-организации-социального-питания-СПБ-ГАСУ-СО-ПНИ-9-на-2022-год.pdf (дата обращения: 05.10.2026).</w:t>
      </w:r>
    </w:p>
    <w:p>
      <w:pPr>
        <w:pStyle w:val="Compact"/>
        <w:numPr>
          <w:ilvl w:val="0"/>
          <w:numId w:val="1027"/>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pStyle w:val="Compact"/>
        <w:numPr>
          <w:ilvl w:val="0"/>
          <w:numId w:val="1027"/>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 извещению приложены цикличные меню — «приложение № 2, ч. 1 ЦМ ОВД», «ч. 2 ЦМ ИП», «ч. 3 ЦМ ОВД2», «ч. 4 ЦМ лето») [карточки агрегатора закупок; Единая информационная система с бокса недоступна, извещения по ней не сверялись]. — URL: https://orenburg.bt.su/tender/336737354.html ; https://orenburg.bt.su/tender/336248763.html (дата обращения: 05.10.2026).</w:t>
      </w:r>
    </w:p>
    <w:p>
      <w:pPr>
        <w:pStyle w:val="Compact"/>
        <w:numPr>
          <w:ilvl w:val="0"/>
          <w:numId w:val="1027"/>
        </w:numPr>
      </w:pPr>
      <w:r>
        <w:t xml:space="preserve">[н] Закупки СПб ГАСУСОН «ДСО „Серафимовский“» (ИНН 7807022277) по 223-ФЗ, ОКПД2 56.29.19.000 «Услуги по обеспечению питанием»: «Оказание услуг по организации питания в 2026 году» (извещение № 32515363453; договор № 32515363453-01 от 02.12.2025, исполнитель — ООО «АгроФуд», 219 945 788 руб.); «…в июле 2026 года» (извещение № 32616169674 от 01.07.2026; 18 663 001,30 руб.; 22 165, 496 и 6 820 человеко-дней по трём позициям); серия закупок у единственного поставщика по 591 326 руб. (24.06–02.07.2026); «…в августе — декабре 2026 года» (извещение № 32616197209; договор № 32616197209-01 от 17.08.2026, исполнитель — ООО «Мастерская Гурмана»). Карточки агрегатора закупок по данным ЕИС; номера и исполнители договоров 2025 и 2026 гг. взяты из реестра договоров ЕИС, который с бокса автора недоступен; агрегаторы эти договоры не показывают, сверка не проведена. — URL: https://zakupkipro.com/zakazchik/7807022277/ ; https://zakupkipro.com/zakupka/32616169674/ ; https://zakupkipro.com/zakupka/32616197209/ ; ЕИС: https://zakupki.gov.ru/ (дата обращения: 05.10.2026).</w:t>
      </w:r>
    </w:p>
    <w:p>
      <w:pPr>
        <w:pStyle w:val="Compact"/>
        <w:numPr>
          <w:ilvl w:val="0"/>
          <w:numId w:val="1027"/>
        </w:numPr>
      </w:pPr>
      <w:r>
        <w:t xml:space="preserve">[н] Wheeler M., Abbey K. L., Capra S. M. Choice on the menu: Increasing meal choice for people living in residential aged care, a pilot study // Journal of Human Nutrition and Dietetics. 2025. Vol. 38, № 1. e13401. DOI: 10.1111/jhn.13401.</w:t>
      </w:r>
    </w:p>
    <w:p>
      <w:pPr>
        <w:pStyle w:val="Compact"/>
        <w:numPr>
          <w:ilvl w:val="0"/>
          <w:numId w:val="1027"/>
        </w:numPr>
      </w:pPr>
      <w:r>
        <w:t xml:space="preserve">[н] Cereda E., Pedrolli C., Klersy C. et al. Nutritional status in older persons according to healthcare setting: A systematic review and meta-analysis of prevalence data using MNA® // Clinical Nutrition. 2016. Vol. 35, № 6. P. 1282–1290. DOI: 10.1016/j.clnu.2016.03.008.</w:t>
      </w:r>
    </w:p>
    <w:p>
      <w:pPr>
        <w:pStyle w:val="Compact"/>
        <w:numPr>
          <w:ilvl w:val="0"/>
          <w:numId w:val="1027"/>
        </w:numPr>
      </w:pPr>
      <w:r>
        <w:t xml:space="preserve">[н] Wright O. R. L., Connelly L. B., Capra S., Hendrikz J. Determinants of foodservice satisfaction for patients in geriatrics/rehabilitation and residents in residential aged care // Health Expectations. 2013. Vol. 16, № 3. P. 251–265. DOI: 10.1111/j.1369-7625.2011.00711.x.</w:t>
      </w:r>
    </w:p>
    <w:p>
      <w:pPr>
        <w:pStyle w:val="Compact"/>
        <w:numPr>
          <w:ilvl w:val="0"/>
          <w:numId w:val="1027"/>
        </w:numPr>
      </w:pPr>
      <w:r>
        <w:t xml:space="preserve">[н] Abbey K. L., Wright O. R. L., Capra S. Menu Planning in Residential Aged Care — The Level of Choice and Quality of Planning of Meals Available to Residents // Nutrients. 2015. Vol. 7, № 9. P. 7580–7592. DOI: 10.3390/nu7095354.</w:t>
      </w:r>
    </w:p>
    <w:p>
      <w:pPr>
        <w:pStyle w:val="Compact"/>
        <w:numPr>
          <w:ilvl w:val="0"/>
          <w:numId w:val="1027"/>
        </w:numPr>
      </w:pPr>
      <w:r>
        <w:t xml:space="preserve">[н] Wheeler M., Abbey K. L., Capra S. M. Choice on the menu in residential aged care: An underrated tool for maintaining resident autonomy // Nutrition &amp; Dietetics. 2025. Vol. 82, № 3. P. 327–336. DOI: 10.1111/1747-0080.70002.</w:t>
      </w:r>
    </w:p>
    <w:p>
      <w:pPr>
        <w:pStyle w:val="Compact"/>
        <w:numPr>
          <w:ilvl w:val="0"/>
          <w:numId w:val="1027"/>
        </w:numPr>
      </w:pPr>
      <w:r>
        <w:t xml:space="preserve">[н] McCray S., Maunder K., Krikowa R., MacKenzie-Shalders K. Room Service Improves Nutritional Intake and Increases Patient Satisfaction While Decreasing Food Waste and Cost // Journal of the Academy of Nutrition and Dietetics. 2018. Vol. 118, № 2. P. 284–293. DOI: 10.1016/j.jand.2017.05.014.</w:t>
      </w:r>
    </w:p>
    <w:p>
      <w:pPr>
        <w:pStyle w:val="Compact"/>
        <w:numPr>
          <w:ilvl w:val="0"/>
          <w:numId w:val="1027"/>
        </w:numPr>
      </w:pPr>
      <w:r>
        <w:t xml:space="preserve">[н] Wang D., Everett B., Brunero S. et al. Perspectives of residents and staff regarding food choice in residential aged care: A qualitative study // Journal of Clinical Nursing. 2020. Vol. 29, № 3–4. P. 626–637. DOI: 10.1111/jocn.15115.</w:t>
      </w:r>
    </w:p>
    <w:p>
      <w:pPr>
        <w:pStyle w:val="Compact"/>
        <w:numPr>
          <w:ilvl w:val="0"/>
          <w:numId w:val="1027"/>
        </w:numPr>
      </w:pPr>
      <w:r>
        <w:t xml:space="preserve">[н] Bailey A., Bailey S., Bernoth M.</w:t>
      </w:r>
      <w:r>
        <w:t xml:space="preserve"> </w:t>
      </w:r>
      <w:r>
        <w:t xml:space="preserve">‘I’d rather die happy’</w:t>
      </w:r>
      <w:r>
        <w:t xml:space="preserve">: residents’ experiences with food regulations, risk and food choice in residential aged care. A qualitative study // Contemporary Nurse. 2017. Vol. 53, № 6. P. 597–606. DOI: 10.1080/10376178.2017.1361334.</w:t>
      </w:r>
    </w:p>
    <w:p>
      <w:pPr>
        <w:pStyle w:val="Compact"/>
        <w:numPr>
          <w:ilvl w:val="0"/>
          <w:numId w:val="1027"/>
        </w:numPr>
      </w:pPr>
      <w:r>
        <w:t xml:space="preserve">[н] Mondkar A., Murdoch M., Gallagher J. E., Patel R. What’s on the menu? A qualitative study on the views of care home staff and residents on nutritional practices and implications for oral health // BDJ Open. 2025. Vol. 11. Art. 33. DOI: 10.1038/s41405-025-00325-9.</w:t>
      </w:r>
    </w:p>
    <w:p>
      <w:pPr>
        <w:pStyle w:val="Compact"/>
        <w:numPr>
          <w:ilvl w:val="0"/>
          <w:numId w:val="1027"/>
        </w:numPr>
      </w:pPr>
      <w:r>
        <w:t xml:space="preserve">[н] Crogan N. L., Dupler A. E., Short R., Heaton G. Food choice can improve nursing home resident meal service satisfaction and nutritional status // Journal of Gerontological Nursing. 2013. Vol. 39, № 5. P. 38–45. DOI: 10.3928/00989134-20130313-02.</w:t>
      </w:r>
    </w:p>
    <w:p>
      <w:pPr>
        <w:pStyle w:val="Compact"/>
        <w:numPr>
          <w:ilvl w:val="0"/>
          <w:numId w:val="1027"/>
        </w:numPr>
      </w:pPr>
      <w:r>
        <w:t xml:space="preserve">[н] Divert C., Laghmaoui R., Crema C. et al. Improving meal context in nursing homes. Impact of four strategies on food intake and meal pleasure // Appetite. 2015. Vol. 84. P. 139–147. DOI: 10.1016/j.appet.2014.09.027.</w:t>
      </w:r>
    </w:p>
    <w:p>
      <w:pPr>
        <w:pStyle w:val="Compact"/>
        <w:numPr>
          <w:ilvl w:val="0"/>
          <w:numId w:val="1027"/>
        </w:numPr>
      </w:pPr>
      <w:r>
        <w:t xml:space="preserve">[н] Kenkmann A., Price G. M., Bolton J., Hooper L. Health, wellbeing and nutritional status of older people living in UK care homes: an exploratory evaluation of changes in food and drink provision // BMC Geriatrics. 2010. Vol. 10. Art. 28. DOI: 10.1186/1471-2318-10-28.</w:t>
      </w:r>
    </w:p>
    <w:p>
      <w:pPr>
        <w:pStyle w:val="Compact"/>
        <w:numPr>
          <w:ilvl w:val="0"/>
          <w:numId w:val="1027"/>
        </w:numPr>
      </w:pPr>
      <w:r>
        <w:t xml:space="preserve">[н] Abbott R. A., Whear R., Thompson-Coon J. et al. Effectiveness of mealtime interventions on nutritional outcomes for the elderly living in residential care: a systematic review and meta-analysis // Ageing Research Reviews. 2013. Vol. 12, № 4. P. 967–981. DOI: 10.1016/j.arr.2013.06.002.</w:t>
      </w:r>
    </w:p>
    <w:p>
      <w:pPr>
        <w:pStyle w:val="Compact"/>
        <w:numPr>
          <w:ilvl w:val="0"/>
          <w:numId w:val="1027"/>
        </w:numPr>
      </w:pPr>
      <w:r>
        <w:t xml:space="preserve">[н] Herke M., Fink A., Langer G. et al. Environmental and behavioural modifications for improving food and fluid intake in people with dementia // Cochrane Database of Systematic Reviews. 2018. № 7. CD011542. DOI: 10.1002/14651858.CD011542.pub2.</w:t>
      </w:r>
    </w:p>
    <w:p>
      <w:pPr>
        <w:pStyle w:val="Compact"/>
        <w:numPr>
          <w:ilvl w:val="0"/>
          <w:numId w:val="1027"/>
        </w:numPr>
      </w:pPr>
      <w:r>
        <w:t xml:space="preserve">[н] Roos C., Alam M., Swall A. et al. Factors associated with older persons’ perceptions of dignity and well-being over a three-year period. A retrospective national study in residential care facilities // BMC Geriatrics. 2022. Vol. 22. Art. 515. DOI: 10.1186/s12877-022-03205-1.</w:t>
      </w:r>
    </w:p>
    <w:p>
      <w:pPr>
        <w:pStyle w:val="Compact"/>
        <w:numPr>
          <w:ilvl w:val="0"/>
          <w:numId w:val="1027"/>
        </w:numPr>
      </w:pPr>
      <w:r>
        <w:t xml:space="preserve">[н] Teasdale S. B., Ward P. B., Samaras K. et al. Dietary intake of people with severe mental illness: systematic review and meta-analysis // British Journal of Psychiatry. 2019. Vol. 214, № 5. P. 251–259. DOI: 10.1192/bjp.2019.20.</w:t>
      </w:r>
    </w:p>
    <w:p>
      <w:pPr>
        <w:pStyle w:val="Compact"/>
        <w:numPr>
          <w:ilvl w:val="0"/>
          <w:numId w:val="1027"/>
        </w:numPr>
      </w:pPr>
      <w:r>
        <w:t xml:space="preserve">[н] Özdemir A., Chapman H., Hall R., Ellahi B. Eating Well When Living With an Intellectual Disability — Exploring the Carer: Client Relationship in Residential Settings // Journal of Applied Research in Intellectual Disabilities. 2025. Vol. 38, № 6. e70157. DOI: 10.1111/jar.70157.</w:t>
      </w:r>
    </w:p>
    <w:p>
      <w:pPr>
        <w:pStyle w:val="Compact"/>
        <w:numPr>
          <w:ilvl w:val="0"/>
          <w:numId w:val="1027"/>
        </w:numPr>
      </w:pPr>
      <w:r>
        <w:t xml:space="preserve">[н] Pfister F., Uhlmann K., Olalia L., Kaufmann B. Institutional and interpersonal determinants of dietary practices of persons with intellectual disability in institutional accommodation in Switzerland: a qualitative study // BMC Public Health. 2026. Vol. 26. Art. 1100. DOI: 10.1186/s12889-026-26794-7.</w:t>
      </w:r>
    </w:p>
    <w:p>
      <w:pPr>
        <w:pStyle w:val="Compact"/>
        <w:numPr>
          <w:ilvl w:val="0"/>
          <w:numId w:val="1027"/>
        </w:numPr>
      </w:pPr>
      <w:r>
        <w:t xml:space="preserve">[н] Volkert D., Beck A. M., Cederholm T. et al. ESPEN practical guideline: Clinical nutrition and hydration in geriatrics // Clinical Nutrition. 2022. Vol. 41, № 4. P. 958–989. DOI: 10.1016/j.clnu.2022.01.024.</w:t>
      </w:r>
    </w:p>
    <w:p>
      <w:pPr>
        <w:pStyle w:val="Compact"/>
        <w:numPr>
          <w:ilvl w:val="0"/>
          <w:numId w:val="1027"/>
        </w:numPr>
      </w:pPr>
      <w:r>
        <w:t xml:space="preserve">[н] Volkert D., Beck A. M., Faxén-Irving G. et al. ESPEN guideline on nutrition and hydration in dementia — Update 2024 // Clinical Nutrition. 2024. Vol. 43, № 6. P. 1599–1626. DOI: 10.1016/j.clnu.2024.04.039.</w:t>
      </w:r>
    </w:p>
    <w:p>
      <w:pPr>
        <w:pStyle w:val="Compact"/>
        <w:numPr>
          <w:ilvl w:val="0"/>
          <w:numId w:val="1027"/>
        </w:numPr>
      </w:pPr>
      <w:r>
        <w:t xml:space="preserve">[н] Roulston M., Thompson C., Pelly F., Cave D. Food waste in residential aged care: A scoping review // Nutrition &amp; Dietetics. 2026. Vol. 83, № 1. P. 56–73. DOI: 10.1111/1747-0080.70034.</w:t>
      </w:r>
    </w:p>
    <w:p>
      <w:pPr>
        <w:pStyle w:val="Compact"/>
        <w:numPr>
          <w:ilvl w:val="0"/>
          <w:numId w:val="1027"/>
        </w:numPr>
      </w:pPr>
      <w:r>
        <w:t xml:space="preserve">[н] Williams P., Walton K. Plate waste in hospitals and strategies for change // e-SPEN, the European e-Journal of Clinical Nutrition and Metabolism. 2011. Vol. 6, № 6. P. e235–e241. DOI: 10.1016/j.eclnm.2011.09.006.</w:t>
      </w:r>
    </w:p>
    <w:p>
      <w:pPr>
        <w:pStyle w:val="Compact"/>
        <w:numPr>
          <w:ilvl w:val="0"/>
          <w:numId w:val="1027"/>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Nutrients. 2020. Vol. 12, № 9. Art. 2677. DOI: 10.3390/nu12092677.</w:t>
      </w:r>
    </w:p>
    <w:p>
      <w:pPr>
        <w:pStyle w:val="Compact"/>
        <w:numPr>
          <w:ilvl w:val="0"/>
          <w:numId w:val="1027"/>
        </w:numPr>
      </w:pPr>
      <w:r>
        <w:t xml:space="preserve">[н] Vucea V., Keller H. H., Morrison J. M. et al. Prevalence and Characteristics Associated with Modified Texture Food Use in Long Term Care: An Analysis of Making the Most of Mealtimes (M3) Project // Canadian Journal of Dietetic Practice and Research. 2019. Vol. 80, № 3. P. 104–110. DOI: 10.3148/cjdpr-2018-045.</w:t>
      </w:r>
    </w:p>
    <w:p>
      <w:pPr>
        <w:pStyle w:val="Compact"/>
        <w:numPr>
          <w:ilvl w:val="0"/>
          <w:numId w:val="1027"/>
        </w:numPr>
      </w:pPr>
      <w:r>
        <w:t xml:space="preserve">[н] Porter J., Ottrey E., Huggins C. E. Protected Mealtimes in hospitals and nutritional intake: Systematic review and meta-analyses // International Journal of Nursing Studies. 2017. Vol. 65. P. 62–69. DOI: 10.1016/j.ijnurstu.2016.11.002.</w:t>
      </w:r>
    </w:p>
    <w:p>
      <w:pPr>
        <w:pStyle w:val="Compact"/>
        <w:numPr>
          <w:ilvl w:val="0"/>
          <w:numId w:val="1027"/>
        </w:numPr>
      </w:pPr>
      <w:r>
        <w:t xml:space="preserve">[н] Hamasaki Y., Sakata N., Jin X. et al. Facility staffing associated with potentially avoidable hospitalizations in nursing home residents in Japan: a retrospective cohort study // BMC Geriatrics. 2023. Vol. 23. Art. 566. DOI: 10.1186/s12877-023-04278-2.</w:t>
      </w:r>
    </w:p>
    <w:p>
      <w:pPr>
        <w:pStyle w:val="Compact"/>
        <w:numPr>
          <w:ilvl w:val="0"/>
          <w:numId w:val="1027"/>
        </w:numPr>
      </w:pPr>
      <w:r>
        <w:t xml:space="preserve">[н] Keller H. H., Syed S., Dakkak H. et al. Reimagining Nutrition Care and Mealtimes in Long-Term Care // Journal of the American Medical Directors Association. 2022. Vol. 23, № 2. P. 253–260.e1. DOI: 10.1016/j.jamda.2021.12.021.</w:t>
      </w:r>
    </w:p>
    <w:p>
      <w:pPr>
        <w:pStyle w:val="Compact"/>
        <w:numPr>
          <w:ilvl w:val="0"/>
          <w:numId w:val="1027"/>
        </w:numPr>
      </w:pPr>
      <w:r>
        <w:t xml:space="preserve">[н] Simmons S. F., Osterweil D., Schnelle J. F. Improving food intake in nursing home residents with feeding assistance: a staffing analysis // The Journals of Gerontology. Series A. 2001. Vol. 56, № 12. P. M790–M794. DOI: 10.1093/gerona/56.12.m790.</w:t>
      </w:r>
    </w:p>
    <w:p>
      <w:pPr>
        <w:pStyle w:val="Compact"/>
        <w:numPr>
          <w:ilvl w:val="0"/>
          <w:numId w:val="1027"/>
        </w:numPr>
      </w:pPr>
      <w:r>
        <w:t xml:space="preserve">[н] Simmons S. F., Schnelle J. F. Individualized feeding assistance care for nursing home residents: staffing requirements to implement two interventions // The Journals of Gerontology. Series A. 2004. Vol. 59, № 9. P. M966–M973. DOI: 10.1093/gerona/59.9.m966.</w:t>
      </w:r>
    </w:p>
    <w:p>
      <w:pPr>
        <w:pStyle w:val="Compact"/>
        <w:numPr>
          <w:ilvl w:val="0"/>
          <w:numId w:val="1027"/>
        </w:numPr>
      </w:pPr>
      <w:r>
        <w:t xml:space="preserve">[н] Simmons S. F., Schnelle J. F. Feeding assistance needs of long-stay nursing home residents and staff time to provide care // Journal of the American Geriatrics Society. 2006. Vol. 54, № 6. P. 919–924. DOI: 10.1111/j.1532-5415.2006.00812.x.</w:t>
      </w:r>
    </w:p>
    <w:p>
      <w:pPr>
        <w:pStyle w:val="Compact"/>
        <w:numPr>
          <w:ilvl w:val="0"/>
          <w:numId w:val="1027"/>
        </w:numPr>
      </w:pPr>
      <w:r>
        <w:t xml:space="preserve">[н] Simmons S. F., Keeler E., Zhuo X. et al. Prevention of unintentional weight loss in nursing home residents: a controlled trial of feeding assistance // Journal of the American Geriatrics Society. 2008. Vol. 56, № 8. P. 1466–1473. DOI: 10.1111/j.1532-5415.2008.01801.x.</w:t>
      </w:r>
    </w:p>
    <w:p>
      <w:pPr>
        <w:pStyle w:val="Compact"/>
        <w:numPr>
          <w:ilvl w:val="0"/>
          <w:numId w:val="1027"/>
        </w:numPr>
      </w:pPr>
      <w:r>
        <w:t xml:space="preserve">[н] Hugo C., Isenring E., Sinclair D., Agarwal E. What does it cost to feed aged care residents in Australia? // Nutrition &amp; Dietetics. 2018. Vol. 75, № 1. P. 6–10. DOI: 10.1111/1747-0080.12368.</w:t>
      </w:r>
    </w:p>
    <w:p>
      <w:pPr>
        <w:pStyle w:val="Compact"/>
        <w:numPr>
          <w:ilvl w:val="0"/>
          <w:numId w:val="1027"/>
        </w:numPr>
      </w:pPr>
      <w:r>
        <w:t xml:space="preserve">[н] The Health and Social Care Act 2008 (Regulated Activities) Regulations 2014 (SI 2014/2936). Regulation 14: Meeting nutritional and hydration needs. — URL: https://www.legislation.gov.uk/uksi/2014/2936/regulation/14 (дата обращения: 05.10.2026).</w:t>
      </w:r>
    </w:p>
    <w:p>
      <w:pPr>
        <w:pStyle w:val="Compact"/>
        <w:numPr>
          <w:ilvl w:val="0"/>
          <w:numId w:val="1027"/>
        </w:numPr>
      </w:pPr>
      <w:r>
        <w:t xml:space="preserve">[н] Care Quality Commission. Regulations for service providers and managers. Regulation 14: Meeting nutritional and hydration needs (guidance; page last updated 16.05.2025). — URL: https://www.cqc.org.uk/guidance-providers/regulations/regulation-14-meeting-nutritional-hydration-needs (дата обращения: 05.10.2026).</w:t>
      </w:r>
    </w:p>
    <w:p>
      <w:pPr>
        <w:pStyle w:val="Compact"/>
        <w:numPr>
          <w:ilvl w:val="0"/>
          <w:numId w:val="1027"/>
        </w:numPr>
      </w:pPr>
      <w:r>
        <w:t xml:space="preserve">[н] Scottish Government. Health and Social Care Standards: my support, my life. 2017. Standards 1.33–1.39; Care Inspectorate. Eating and drinking well in care: good practice guidance. — URL: https://www.gov.scot/publications/health-social-care-standards-support-life/ ; https://www.careinspectorate.com/ (дата обращения: 05.10.2026).</w:t>
      </w:r>
    </w:p>
    <w:p>
      <w:pPr>
        <w:pStyle w:val="Compact"/>
        <w:numPr>
          <w:ilvl w:val="0"/>
          <w:numId w:val="1027"/>
        </w:numPr>
      </w:pPr>
      <w:r>
        <w:t xml:space="preserve">[н] 42 CFR § 483.60. Food and nutrition services. — URL: https://www.law.cornell.edu/cfr/text/42/483.60 (дата обращения: 05.10.2026).</w:t>
      </w:r>
    </w:p>
    <w:p>
      <w:pPr>
        <w:pStyle w:val="Compact"/>
        <w:numPr>
          <w:ilvl w:val="0"/>
          <w:numId w:val="1027"/>
        </w:numPr>
      </w:pPr>
      <w:r>
        <w:t xml:space="preserve">[н] Centers for Medicare &amp; Medicaid Services. State Operations Manual. Appendix PP — Guidance to Surveyors for Long Term Care Facilities (Rev. 225, issued 08.08.2024). F806 «Resident Allergies, Preferences and Substitutes» (Rev. 173, effective 28.11.2017). — URL: https://www.cms.gov/medicare/provider-enrollment-and-certification/guidanceforlawsandregulations/downloads/appendix-pp-state-operations-manual.pdf (дата обращения: 05.10.2026).</w:t>
      </w:r>
    </w:p>
    <w:p>
      <w:pPr>
        <w:pStyle w:val="Compact"/>
        <w:numPr>
          <w:ilvl w:val="0"/>
          <w:numId w:val="1027"/>
        </w:numPr>
      </w:pPr>
      <w:r>
        <w:t xml:space="preserve">[н] Centers for Medicare &amp; Medicaid Services. Form CMS-20053 «Dining Observation» (8/2015). — URL: https://www.cms.gov/files/document/cms-20053-diningpdf (дата обращения: 05.10.2026).</w:t>
      </w:r>
    </w:p>
    <w:p>
      <w:pPr>
        <w:pStyle w:val="Compact"/>
        <w:numPr>
          <w:ilvl w:val="0"/>
          <w:numId w:val="1027"/>
        </w:numPr>
      </w:pPr>
      <w:r>
        <w:t xml:space="preserve">[н] Ontario Regulation 246/22 (General) under the Fixing Long-Term Care Act, 2021. Section 77: Menu planning (воспроизведено по: OSNAC Menu Evaluation &amp; Approval Tool for LTC, July 2022). — URL: https://www.ontario.ca/laws/regulation/220246 ; https://www.osnac-fnat.com/_files/ugd/666b77_dd887e8092914e799e758624ed767e8e.pdf (дата обращения: 05.10.2026).</w:t>
      </w:r>
    </w:p>
    <w:p>
      <w:pPr>
        <w:pStyle w:val="Compact"/>
        <w:numPr>
          <w:ilvl w:val="0"/>
          <w:numId w:val="1027"/>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URL: https://www.ltchomes.net/LTCHPORTAL/Content/Snippets/Dining%20Observation.pdf (дата обращения: 05.10.2026).</w:t>
      </w:r>
    </w:p>
    <w:p>
      <w:pPr>
        <w:pStyle w:val="Compact"/>
        <w:numPr>
          <w:ilvl w:val="0"/>
          <w:numId w:val="1027"/>
        </w:numPr>
      </w:pPr>
      <w:r>
        <w:t xml:space="preserve">[н] Australian Government, Department of Health, Disability and Ageing. Strengthened Aged Care Quality Standards (Standard 6: Food and nutrition), в силе с 01.11.2025; Basic Daily Fee supplement. — URL: https://www.health.gov.au/ (дата обращения: 05.10.2026).</w:t>
      </w:r>
    </w:p>
    <w:p>
      <w:pPr>
        <w:pStyle w:val="Compact"/>
        <w:numPr>
          <w:ilvl w:val="0"/>
          <w:numId w:val="1027"/>
        </w:numPr>
      </w:pPr>
      <w:r>
        <w:t xml:space="preserve">[н] Deutsche Gesellschaft für Ernährung e. V. DGE-Qualitätsstandard für die Verpflegung mit „Essen auf Rädern“ und in Senioreneinrichtungen. 1. Auflage, 1. korrigierter Nachdruck. Bonn, 2022. — URL: https://www.dge.de/fileadmin/dok/gemeinschaftsgastronomie/dge-qualitaetsstandards/DGE-Qualitaetsstandard_Essen_auf_Raedern_Senioreneinrichtungen_aktualisiert.pdf (дата обращения: 05.10.2026).</w:t>
      </w:r>
    </w:p>
    <w:p>
      <w:pPr>
        <w:pStyle w:val="Compact"/>
        <w:numPr>
          <w:ilvl w:val="0"/>
          <w:numId w:val="1027"/>
        </w:numPr>
      </w:pPr>
      <w:r>
        <w:t xml:space="preserve">[н] Österreichische Gesellschaft für Ernährung / Bundesministerium für Soziales, Gesundheit, Pflege und Konsumentenschutz. Qualitätsstandard für die Verpflegung in Pflegeeinrichtungen (2022). — URL: https://www.sozialministerium.at/ (дата обращения: 05.10.2026).</w:t>
      </w:r>
    </w:p>
    <w:p>
      <w:pPr>
        <w:pStyle w:val="Compact"/>
        <w:numPr>
          <w:ilvl w:val="0"/>
          <w:numId w:val="1027"/>
        </w:numPr>
      </w:pPr>
      <w:r>
        <w:t xml:space="preserve">[н] Livsmedelsverket. Bra måltider i äldreomsorgen: nationella riktlinjer för måltider i äldreomsorgen. Uppsala, 2019 (uppdaterad maj 2024). ISBN 978-91-7714-262-1. — URL: https://www.livsmedelsverket.se/globalassets/publikationsdatabas/broschyrer-foldrar/riktlinjer_for_maltider_aldreomsorgen.pdf (дата обращения: 05.10.2026).</w:t>
      </w:r>
    </w:p>
    <w:p>
      <w:pPr>
        <w:pStyle w:val="Compact"/>
        <w:numPr>
          <w:ilvl w:val="0"/>
          <w:numId w:val="1027"/>
        </w:numPr>
      </w:pPr>
      <w:r>
        <w:t xml:space="preserve">[н] Ankestyrelsen. Tilsynsudtalelse om Fredericia Kommunes kvalitetsstandard for personlig pleje og praktisk hjælp (servicelovens § 83), 17.05.2024 (воспроизведено: DanmarkC TV, 07.06.2024). — URL: https://danmarkc.tv/afgoerelse-ankestyrelsen-vurderer-at-fredericia-kommune-handler-i-strid-med-lovgivningen/ (дата обращения: 05.10.2026).</w:t>
      </w:r>
    </w:p>
    <w:p>
      <w:pPr>
        <w:pStyle w:val="Compact"/>
        <w:numPr>
          <w:ilvl w:val="0"/>
          <w:numId w:val="1027"/>
        </w:numPr>
      </w:pPr>
      <w:r>
        <w:t xml:space="preserve">[н] Ministry of Health, Labour and Welfare (Japan). Long-term care insurance: nutrition management; LIFE (Long-term care Information system For Evidence), 2021. — URL: https://www.mhlw.go.jp/ (дата обращения: 05.10.2026).</w:t>
      </w:r>
    </w:p>
    <w:p>
      <w:pPr>
        <w:pStyle w:val="Compact"/>
        <w:numPr>
          <w:ilvl w:val="0"/>
          <w:numId w:val="1027"/>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URL: https://www.mhlw.go.jp/web/t_doc?dataId=82aa7416&amp;dataType=0&amp;pageNo=1 (дата обращения: 05.10.2026).</w:t>
      </w:r>
    </w:p>
    <w:p>
      <w:pPr>
        <w:pStyle w:val="Compact"/>
        <w:numPr>
          <w:ilvl w:val="0"/>
          <w:numId w:val="1027"/>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URL: https://www.mhlw.go.jp/web/t_doc?dataId=82aa0441&amp;dataType=0&amp;pageNo=1 (дата обращения: 05.10.2026).</w:t>
      </w:r>
    </w:p>
    <w:p>
      <w:pPr>
        <w:pStyle w:val="Compact"/>
        <w:numPr>
          <w:ilvl w:val="0"/>
          <w:numId w:val="1027"/>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Dysphagia. 2017. Vol. 32, no. 2. P. 293–314. — DOI: 10.1007/s00455-016-9758-y. — URL: https://pmc.ncbi.nlm.nih.gov/articles/PMC5380696/ (дата обращения: 05.10.2026).</w:t>
      </w:r>
    </w:p>
    <w:p>
      <w:pPr>
        <w:pStyle w:val="Compact"/>
        <w:numPr>
          <w:ilvl w:val="0"/>
          <w:numId w:val="1027"/>
        </w:numPr>
      </w:pPr>
      <w:r>
        <w:t xml:space="preserve">[о] Федеральный закон от 21.11.2011 № 323-ФЗ «Об основах охраны здоровья граждан в Российской Федерации». — URL: https://www.consultant.ru/document/cons_doc_LAW_121895/ (дата обращения: 05.10.2026).</w:t>
      </w:r>
    </w:p>
    <w:p>
      <w:pPr>
        <w:pStyle w:val="Compact"/>
        <w:numPr>
          <w:ilvl w:val="0"/>
          <w:numId w:val="1027"/>
        </w:numPr>
      </w:pPr>
      <w:r>
        <w:t xml:space="preserve">[о] Гражданский кодекс Российской Федерации (часть первая) от 30.11.1994 № 51-ФЗ. Ст. 29 (в ред. Федерального закона от 30.12.2012 № 302-ФЗ). — URL: https://www.consultant.ru/document/cons_doc_LAW_5142/97405e31b8cb1f1e528d52e98e8e60a7a2da9dea/ (дата обращения: 05.10.2026).</w:t>
      </w:r>
    </w:p>
    <w:p>
      <w:pPr>
        <w:pStyle w:val="Compact"/>
        <w:numPr>
          <w:ilvl w:val="0"/>
          <w:numId w:val="1027"/>
        </w:numPr>
      </w:pPr>
      <w:r>
        <w:t xml:space="preserve">[н] Manimaran S., Razalli N. H., Abdul Manaf Z. et al. Strategies to Reduce the Rate of Plate Waste in Hospitalized Patients: A Scoping Review // Nutrients. 2023. Vol. 15, № 2. Art. 301. DOI: 10.3390/nu15020301.</w:t>
      </w:r>
    </w:p>
    <w:p>
      <w:pPr>
        <w:pStyle w:val="Compact"/>
        <w:numPr>
          <w:ilvl w:val="0"/>
          <w:numId w:val="1027"/>
        </w:numPr>
      </w:pPr>
      <w:r>
        <w:t xml:space="preserve">[н] Crogan N. L., Evans B. C. The shortened food expectations — long-term care questionnaire: assessing nursing home residents’ satisfaction with food and food service // Journal of Gerontological Nursing. 2006. Vol. 32, № 11. P. 50–59. DOI: 10.3928/00989134-20061101-08.</w:t>
      </w:r>
    </w:p>
    <w:p>
      <w:pPr>
        <w:pStyle w:val="Compact"/>
        <w:numPr>
          <w:ilvl w:val="0"/>
          <w:numId w:val="1027"/>
        </w:numPr>
      </w:pPr>
      <w:r>
        <w:t xml:space="preserve">[н] Yaxley A., Pankhurst M., Morgillo S., Miller M. A world-first food service satisfaction questionnaire for use with family members of nursing home residents // The Journal of Nutrition, Health and Aging. 2024. Vol. 28, № 1. Art. 100015. DOI: 10.1016/j.jnha.2023.100015.</w:t>
      </w:r>
    </w:p>
    <w:p>
      <w:pPr>
        <w:pStyle w:val="Compact"/>
        <w:numPr>
          <w:ilvl w:val="0"/>
          <w:numId w:val="1027"/>
        </w:numPr>
      </w:pPr>
      <w:r>
        <w:t xml:space="preserve">[н] Trinca V., Chaudhury H., Slaughter S. E. et al. Making the Most of Mealtimes (M3): Association Between Relationship-Centered Care Practices, and Number of Staff and Residents at Mealtimes in Canadian Long-Term Care Homes // Journal of the American Medical Directors Association. 2021. Vol. 22, № 9. P. 1927–1932.e1. DOI: 10.1016/j.jamda.2020.11.020.</w:t>
      </w:r>
    </w:p>
    <w:p>
      <w:pPr>
        <w:pStyle w:val="Compact"/>
        <w:numPr>
          <w:ilvl w:val="0"/>
          <w:numId w:val="1027"/>
        </w:numPr>
      </w:pPr>
      <w:r>
        <w:t xml:space="preserve">[н] Keller H. H., Wu S. A., Iraniparast M. et al. Relationship-Centered Mealtime Training Program Demonstrates Efficacy to Improve the Dining Environment in Long-Term Care // Journal of the American Medical Directors Association. 2021. Vol. 22, № 9. P. 1933–1938.e2. DOI: 10.1016/j.jamda.2020.11.008.</w:t>
      </w:r>
    </w:p>
    <w:p>
      <w:pPr>
        <w:pStyle w:val="Compact"/>
        <w:numPr>
          <w:ilvl w:val="0"/>
          <w:numId w:val="1027"/>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URL: https://pravo.ppt.ru/postanovlenie/pravitelstvo/n-999-251824 (дата обращения: 05.10.2026).</w:t>
      </w:r>
    </w:p>
    <w:p>
      <w:pPr>
        <w:pStyle w:val="Compact"/>
        <w:numPr>
          <w:ilvl w:val="0"/>
          <w:numId w:val="1027"/>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URL: https://base.garant.ru/403267034/ (дата обращения: 05.10.2026).</w:t>
      </w:r>
    </w:p>
    <w:p>
      <w:pPr>
        <w:pStyle w:val="Compact"/>
        <w:numPr>
          <w:ilvl w:val="0"/>
          <w:numId w:val="1027"/>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URL: https://www.gov.spb.ru/gov/otrasl/socpit/kachestvo-prodovolstvennogo-obespecheniya-socialnyh-uchrezhdenij/ (дата обращения: 05.10.2026).</w:t>
      </w:r>
    </w:p>
    <w:p>
      <w:pPr>
        <w:pStyle w:val="Compact"/>
        <w:numPr>
          <w:ilvl w:val="0"/>
          <w:numId w:val="1027"/>
        </w:numPr>
      </w:pPr>
      <w:r>
        <w:t xml:space="preserve">[о] Федеральный закон от 30.03.1999 № 52-ФЗ «О санитарно-эпидемиологическом благополучии населения». — URL: https://www.consultant.ru/document/cons_doc_LAW_22481/ (дата обращения: 05.10.2026).</w:t>
      </w:r>
    </w:p>
    <w:p>
      <w:pPr>
        <w:pStyle w:val="Compact"/>
        <w:numPr>
          <w:ilvl w:val="0"/>
          <w:numId w:val="1027"/>
        </w:numPr>
      </w:pPr>
      <w:r>
        <w:t xml:space="preserve">[о] Федеральный закон от 02.01.2000 № 29-ФЗ «О качестве и безопасности пищевых продуктов». — URL: https://base.garant.ru/12117866/ (дата обращения: 05.10.2026).</w:t>
      </w:r>
    </w:p>
    <w:bookmarkEnd w:id="163"/>
    <w:bookmarkStart w:id="164" w:name="Xb35b60ca42e1fb0a8817bb56218638990a6c82f"/>
    <w:p>
      <w:pPr>
        <w:pStyle w:val="Heading1"/>
      </w:pPr>
      <w:r>
        <w:t xml:space="preserve">Приложение А. Реестр нормативных и иных актов</w:t>
      </w:r>
    </w:p>
    <w:p>
      <w:pPr>
        <w:pStyle w:val="FirstParagraph"/>
      </w:pPr>
      <w:r>
        <w:t xml:space="preserve">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 на 05.10.2026.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[36]</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[37]</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[151]</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[152]</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[141]</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[55]</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[56]</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[64]</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[41]</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49]</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[43]</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[50]</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[51]</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[52]</w:t>
            </w:r>
          </w:p>
        </w:tc>
      </w:tr>
      <w:tr>
        <w:tc>
          <w:tcPr/>
          <w:p>
            <w:pPr>
              <w:pStyle w:val="Compact"/>
            </w:pPr>
            <w:r>
              <w:t xml:space="preserve">22</w:t>
            </w:r>
          </w:p>
        </w:tc>
        <w:tc>
          <w:tcPr/>
          <w:p>
            <w:pPr>
              <w:pStyle w:val="Compact"/>
            </w:pPr>
            <w:r>
              <w:t xml:space="preserve">Пост. Правительства СПб от 29.12.2014 № 1284 (прил. в ред. пост. от 18.07.2025 № 507, с 01.01.2026; до 31.12.2025 — ред. 27.06.2022 № 561)</w:t>
            </w:r>
          </w:p>
        </w:tc>
        <w:tc>
          <w:tcPr/>
          <w:p>
            <w:pPr>
              <w:pStyle w:val="Compact"/>
            </w:pPr>
            <w:r>
              <w:t xml:space="preserve">Н</w:t>
            </w:r>
          </w:p>
        </w:tc>
        <w:tc>
          <w:tcPr/>
          <w:p>
            <w:pPr>
              <w:pStyle w:val="Compact"/>
            </w:pPr>
            <w:r>
              <w:t xml:space="preserve">Нормы питания СПб; нормы с СБКС и без для ПНИ и ДСО и для остальных организаций; СБКС и ВМК по медицинским показаниям</w:t>
            </w:r>
          </w:p>
        </w:tc>
        <w:tc>
          <w:tcPr/>
          <w:p>
            <w:pPr>
              <w:pStyle w:val="Compact"/>
            </w:pPr>
            <w:r>
              <w:t xml:space="preserve">[33, 34]</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[73]</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[74, 75]</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[72]</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[69]</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[44]</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[70, 80]</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[82]</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w:t>
            </w:r>
          </w:p>
        </w:tc>
        <w:tc>
          <w:tcPr/>
          <w:p>
            <w:pPr>
              <w:pStyle w:val="Compact"/>
            </w:pPr>
            <w:r>
              <w:t xml:space="preserve">[83]</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[45, 84]</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жителей (акт учреждения, не Комитета); время шести приёмов пищи; «зал заказного питания (вариативное меню)» как место приёма пищи</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[124]</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[126]</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[127]</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[130]</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[148]</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[39]</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[149]</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[78, 79]</w:t>
            </w:r>
          </w:p>
        </w:tc>
      </w:tr>
      <w:tr>
        <w:tc>
          <w:tcPr/>
          <w:p>
            <w:pPr>
              <w:pStyle w:val="Compact"/>
            </w:pPr>
            <w:r>
              <w:t xml:space="preserve">43</w:t>
            </w:r>
          </w:p>
        </w:tc>
        <w:tc>
          <w:tcPr/>
          <w:p>
            <w:pPr>
              <w:pStyle w:val="Compact"/>
            </w:pPr>
            <w:r>
              <w:t xml:space="preserve">Приказ КСЗН Ленинградской обл. от 30.12.2021 № 04-58, прил. 3 (изм. приказом от 04.08.2025 № 04-81,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[46, 85]</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[71, 86]</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[47]</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[48, 81]</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[58]</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 по вторичным источникам)</w:t>
            </w:r>
          </w:p>
        </w:tc>
        <w:tc>
          <w:tcPr/>
          <w:p>
            <w:pPr>
              <w:pStyle w:val="Compact"/>
            </w:pPr>
            <w:r>
              <w:t xml:space="preserve">С</w:t>
            </w:r>
          </w:p>
        </w:tc>
        <w:tc>
          <w:tcPr/>
          <w:p>
            <w:pPr>
              <w:pStyle w:val="Compact"/>
            </w:pPr>
            <w:r>
              <w:t xml:space="preserve">Текст определения по существу не найден; обзор [61] излагает позицию через цель закупки</w:t>
            </w:r>
          </w:p>
        </w:tc>
        <w:tc>
          <w:tcPr/>
          <w:p>
            <w:pPr>
              <w:pStyle w:val="Compact"/>
            </w:pPr>
            <w:r>
              <w:t xml:space="preserve">[60, 61]</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[125]</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[128, 129]</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[131]</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[133]</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[135]</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[136]</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[138, 139]</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[142]</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[140]</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2025–2026 гг.: договор № 32515363453-01 от 02.12.2025; извещения № 32616169674, № 32616171821, № 32616197209; договор № 32616197209-01 от 17.08.2026</w:t>
            </w:r>
          </w:p>
        </w:tc>
        <w:tc>
          <w:tcPr/>
          <w:p>
            <w:pPr>
              <w:pStyle w:val="Compact"/>
            </w:pPr>
            <w:r>
              <w:t xml:space="preserve">Закупочные документы (карточки — по агрегаторам; договоры — по реестру ЕИС, не сверены)</w:t>
            </w:r>
          </w:p>
        </w:tc>
        <w:tc>
          <w:tcPr/>
          <w:p>
            <w:pPr>
              <w:pStyle w:val="Compact"/>
            </w:pPr>
            <w:r>
              <w:t xml:space="preserve">Кейс выбора при аутсорсинге (подтверждён автором); смена исполнителя в середине 2026 г.; цикличные меню ОВД / ИП / ОВД2 / лето — без выбора блюд; ТЗ конкурса и договор не прочитаны, условия о выборе не проверены</w:t>
            </w:r>
          </w:p>
        </w:tc>
        <w:tc>
          <w:tcPr/>
          <w:p>
            <w:pPr>
              <w:pStyle w:val="Compact"/>
            </w:pPr>
            <w:r>
              <w:t xml:space="preserve">[89–91]</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Одна фраза о «зале заказного питания (вариативное меню)»; маломобильные едят в комнатах; порядок заказа не определён; отдельного положения о питании, журналов заказа и замен в открытом доступе нет (прил. Г)</w:t>
            </w:r>
          </w:p>
        </w:tc>
        <w:tc>
          <w:tcPr/>
          <w:p>
            <w:pPr>
              <w:pStyle w:val="Compact"/>
            </w:pPr>
            <w:r>
              <w:t xml:space="preserve">[28]</w:t>
            </w:r>
          </w:p>
        </w:tc>
      </w:tr>
      <w:tr>
        <w:tc>
          <w:tcPr/>
          <w:p>
            <w:pPr>
              <w:pStyle w:val="Compact"/>
            </w:pPr>
            <w:r>
              <w:t xml:space="preserve">62</w:t>
            </w:r>
          </w:p>
        </w:tc>
        <w:tc>
          <w:tcPr/>
          <w:p>
            <w:pPr>
              <w:pStyle w:val="Compact"/>
            </w:pPr>
            <w:r>
              <w:t xml:space="preserve">Пост. Правительства СПб от 18.07.2025 № 507</w:t>
            </w:r>
          </w:p>
        </w:tc>
        <w:tc>
          <w:tcPr/>
          <w:p>
            <w:pPr>
              <w:pStyle w:val="Compact"/>
            </w:pPr>
            <w:r>
              <w:t xml:space="preserve">Н</w:t>
            </w:r>
          </w:p>
        </w:tc>
        <w:tc>
          <w:tcPr/>
          <w:p>
            <w:pPr>
              <w:pStyle w:val="Compact"/>
            </w:pPr>
            <w:r>
              <w:t xml:space="preserve">Новая редакция приложения к № 1284 с 01.01.2026: общая норма по образцу № 520н; ПНИ и ДСО; СБКС и ВМК по медицинским показаниям; полустационар</w:t>
            </w:r>
          </w:p>
        </w:tc>
        <w:tc>
          <w:tcPr/>
          <w:p>
            <w:pPr>
              <w:pStyle w:val="Compact"/>
            </w:pPr>
            <w:r>
              <w:t xml:space="preserve">[34]</w:t>
            </w:r>
          </w:p>
        </w:tc>
      </w:tr>
      <w:tr>
        <w:tc>
          <w:tcPr/>
          <w:p>
            <w:pPr>
              <w:pStyle w:val="Compact"/>
            </w:pPr>
            <w:r>
              <w:t xml:space="preserve">63</w:t>
            </w:r>
          </w:p>
        </w:tc>
        <w:tc>
          <w:tcPr/>
          <w:p>
            <w:pPr>
              <w:pStyle w:val="Compact"/>
            </w:pPr>
            <w:r>
              <w:t xml:space="preserve">Пост. Правительства СПб от 23.07.2009 № 873, п. 7</w:t>
            </w:r>
          </w:p>
        </w:tc>
        <w:tc>
          <w:tcPr/>
          <w:p>
            <w:pPr>
              <w:pStyle w:val="Compact"/>
            </w:pPr>
            <w:r>
              <w:t xml:space="preserve">Н</w:t>
            </w:r>
          </w:p>
        </w:tc>
        <w:tc>
          <w:tcPr/>
          <w:p>
            <w:pPr>
              <w:pStyle w:val="Compact"/>
            </w:pPr>
            <w:r>
              <w:t xml:space="preserve">Ежегодное (до 1 июня) утверждение нормативов расходов бюджета по социальному питанию на следующий год; распоряжение на 2027 г. в открытых официальных источниках не найдено</w:t>
            </w:r>
          </w:p>
        </w:tc>
        <w:tc>
          <w:tcPr/>
          <w:p>
            <w:pPr>
              <w:pStyle w:val="Compact"/>
            </w:pPr>
            <w:r>
              <w:t xml:space="preserve">[76]</w:t>
            </w:r>
          </w:p>
        </w:tc>
      </w:tr>
      <w:tr>
        <w:tc>
          <w:tcPr/>
          <w:p>
            <w:pPr>
              <w:pStyle w:val="Compact"/>
            </w:pPr>
            <w:r>
              <w:t xml:space="preserve">64</w:t>
            </w:r>
          </w:p>
        </w:tc>
        <w:tc>
          <w:tcPr/>
          <w:p>
            <w:pPr>
              <w:pStyle w:val="Compact"/>
            </w:pPr>
            <w:r>
              <w:t xml:space="preserve">«Информация об организации социального питания» ДСО «Серафимовский» (тогда ПНИ № 9) на 2022 г.</w:t>
            </w:r>
          </w:p>
        </w:tc>
        <w:tc>
          <w:tcPr/>
          <w:p>
            <w:pPr>
              <w:pStyle w:val="Compact"/>
            </w:pPr>
            <w:r>
              <w:t xml:space="preserve">Л</w:t>
            </w:r>
          </w:p>
        </w:tc>
        <w:tc>
          <w:tcPr/>
          <w:p>
            <w:pPr>
              <w:pStyle w:val="Compact"/>
            </w:pPr>
            <w:r>
              <w:t xml:space="preserve">Перечень применяемых актов; питание по цикличному меню из ТЗ договора; шесть приёмов пищи; вариативного меню нет</w:t>
            </w:r>
          </w:p>
        </w:tc>
        <w:tc>
          <w:tcPr/>
          <w:p>
            <w:pPr>
              <w:pStyle w:val="Compact"/>
            </w:pPr>
            <w:r>
              <w:t xml:space="preserve">[88]</w:t>
            </w:r>
          </w:p>
        </w:tc>
      </w:tr>
    </w:tbl>
    <w:bookmarkEnd w:id="164"/>
    <w:bookmarkStart w:id="165"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Редакция постановления № 507 от 18.07.2025, действует с 01.01.2026 [34]. Нетто, граммы на человека в сутки, если не указано иное; в постановлении для каждой позиции даны также значения брутто. Столбцы: (1) организации, кроме ПНИ и ДСО; (2) ПНИ и ДСО, норма с СБКС; (3) лица с сахарным диабетом; (4) лица с заболеваниями ЖКТ; (5) ПНИ и ДСО, норма без СБКС; (6) организации, кроме ПНИ и ДСО, норма без СБКС; (7)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200</w:t>
            </w:r>
          </w:p>
        </w:tc>
        <w:tc>
          <w:tcPr/>
          <w:p>
            <w:pPr>
              <w:pStyle w:val="Compact"/>
            </w:pPr>
            <w:r>
              <w:t xml:space="preserve">150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c>
          <w:tcPr/>
          <w:p>
            <w:pPr>
              <w:pStyle w:val="Compact"/>
            </w:pPr>
            <w:r>
              <w:t xml:space="preserve">15</w:t>
            </w:r>
          </w:p>
        </w:tc>
      </w:tr>
      <w:tr>
        <w:tc>
          <w:tcPr/>
          <w:p>
            <w:pPr>
              <w:pStyle w:val="Compact"/>
            </w:pPr>
            <w:r>
              <w:t xml:space="preserve">Крахмал</w:t>
            </w:r>
          </w:p>
        </w:tc>
        <w:tc>
          <w:tcPr/>
          <w:p>
            <w:pPr>
              <w:pStyle w:val="Compact"/>
            </w:pPr>
            <w:r>
              <w:t xml:space="preserve">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112,9</w:t>
            </w:r>
          </w:p>
        </w:tc>
        <w:tc>
          <w:tcPr/>
          <w:p>
            <w:pPr>
              <w:pStyle w:val="Compact"/>
            </w:pPr>
            <w:r>
              <w:t xml:space="preserve">80</w:t>
            </w:r>
          </w:p>
        </w:tc>
      </w:tr>
      <w:tr>
        <w:tc>
          <w:tcPr/>
          <w:p>
            <w:pPr>
              <w:pStyle w:val="Compact"/>
            </w:pPr>
            <w:r>
              <w:t xml:space="preserve">Картофель</w:t>
            </w:r>
          </w:p>
        </w:tc>
        <w:tc>
          <w:tcPr/>
          <w:p>
            <w:pPr>
              <w:pStyle w:val="Compact"/>
            </w:pPr>
            <w:r>
              <w:t xml:space="preserve">200</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340</w:t>
            </w:r>
          </w:p>
        </w:tc>
        <w:tc>
          <w:tcPr/>
          <w:p>
            <w:pPr>
              <w:pStyle w:val="Compact"/>
            </w:pPr>
            <w:r>
              <w:t xml:space="preserve">325,5</w:t>
            </w:r>
          </w:p>
        </w:tc>
        <w:tc>
          <w:tcPr/>
          <w:p>
            <w:pPr>
              <w:pStyle w:val="Compact"/>
            </w:pPr>
            <w:r>
              <w:t xml:space="preserve">356</w:t>
            </w:r>
          </w:p>
        </w:tc>
        <w:tc>
          <w:tcPr/>
          <w:p>
            <w:pPr>
              <w:pStyle w:val="Compact"/>
            </w:pPr>
            <w:r>
              <w:t xml:space="preserve">218,8</w:t>
            </w:r>
          </w:p>
        </w:tc>
        <w:tc>
          <w:tcPr/>
          <w:p>
            <w:pPr>
              <w:pStyle w:val="Compact"/>
            </w:pPr>
            <w:r>
              <w:t xml:space="preserve">325,5</w:t>
            </w:r>
          </w:p>
        </w:tc>
        <w:tc>
          <w:tcPr/>
          <w:p>
            <w:pPr>
              <w:pStyle w:val="Compact"/>
            </w:pPr>
            <w:r>
              <w:t xml:space="preserve">340</w:t>
            </w:r>
          </w:p>
        </w:tc>
        <w:tc>
          <w:tcPr/>
          <w:p>
            <w:pPr>
              <w:pStyle w:val="Compact"/>
            </w:pPr>
            <w:r>
              <w:t xml:space="preserve">340</w:t>
            </w:r>
          </w:p>
        </w:tc>
      </w:tr>
      <w:tr>
        <w:tc>
          <w:tcPr/>
          <w:p>
            <w:pPr>
              <w:pStyle w:val="Compact"/>
            </w:pPr>
            <w:r>
              <w:t xml:space="preserve">Овощи солёные и маринованные</w:t>
            </w:r>
          </w:p>
        </w:tc>
        <w:tc>
          <w:tcPr/>
          <w:p>
            <w:pPr>
              <w:pStyle w:val="Compact"/>
            </w:pPr>
            <w:r>
              <w:t xml:space="preserve">15</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Зелень</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r>
      <w:tr>
        <w:tc>
          <w:tcPr/>
          <w:p>
            <w:pPr>
              <w:pStyle w:val="Compact"/>
            </w:pPr>
            <w:r>
              <w:t xml:space="preserve">Овощи консервированные</w:t>
            </w:r>
          </w:p>
        </w:tc>
        <w:tc>
          <w:tcPr/>
          <w:p>
            <w:pPr>
              <w:pStyle w:val="Compact"/>
            </w:pPr>
            <w:r>
              <w:t xml:space="preserve">24,7</w:t>
            </w:r>
          </w:p>
        </w:tc>
        <w:tc>
          <w:tcPr/>
          <w:p>
            <w:pPr>
              <w:pStyle w:val="Compact"/>
            </w:pPr>
            <w:r>
              <w:t xml:space="preserve">24,7</w:t>
            </w:r>
          </w:p>
        </w:tc>
        <w:tc>
          <w:tcPr/>
          <w:p>
            <w:pPr>
              <w:pStyle w:val="Compact"/>
            </w:pPr>
            <w:r>
              <w:t xml:space="preserve">16,2</w:t>
            </w:r>
          </w:p>
        </w:tc>
        <w:tc>
          <w:tcPr/>
          <w:p>
            <w:pPr>
              <w:pStyle w:val="Compact"/>
            </w:pPr>
            <w:r>
              <w:t xml:space="preserve">—</w:t>
            </w:r>
          </w:p>
        </w:tc>
        <w:tc>
          <w:tcPr/>
          <w:p>
            <w:pPr>
              <w:pStyle w:val="Compact"/>
            </w:pPr>
            <w:r>
              <w:t xml:space="preserve">24,7</w:t>
            </w:r>
          </w:p>
        </w:tc>
        <w:tc>
          <w:tcPr/>
          <w:p>
            <w:pPr>
              <w:pStyle w:val="Compact"/>
            </w:pPr>
            <w:r>
              <w:t xml:space="preserve">24,7</w:t>
            </w:r>
          </w:p>
        </w:tc>
        <w:tc>
          <w:tcPr/>
          <w:p>
            <w:pPr>
              <w:pStyle w:val="Compact"/>
            </w:pPr>
            <w:r>
              <w:t xml:space="preserve">24,7</w:t>
            </w:r>
          </w:p>
        </w:tc>
      </w:tr>
      <w:tr>
        <w:tc>
          <w:tcPr/>
          <w:p>
            <w:pPr>
              <w:pStyle w:val="Compact"/>
            </w:pPr>
            <w:r>
              <w:t xml:space="preserve">Фрукты и ягоды свежие</w:t>
            </w:r>
          </w:p>
        </w:tc>
        <w:tc>
          <w:tcPr/>
          <w:p>
            <w:pPr>
              <w:pStyle w:val="Compact"/>
            </w:pPr>
            <w:r>
              <w:t xml:space="preserve">150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c>
          <w:tcPr/>
          <w:p>
            <w:pPr>
              <w:pStyle w:val="Compact"/>
            </w:pPr>
            <w:r>
              <w:t xml:space="preserve">150</w:t>
            </w:r>
          </w:p>
        </w:tc>
      </w:tr>
      <w:tr>
        <w:tc>
          <w:tcPr/>
          <w:p>
            <w:pPr>
              <w:pStyle w:val="Compact"/>
            </w:pPr>
            <w:r>
              <w:t xml:space="preserve">Сухофрукты</w:t>
            </w:r>
          </w:p>
        </w:tc>
        <w:tc>
          <w:tcPr/>
          <w:p>
            <w:pPr>
              <w:pStyle w:val="Compact"/>
            </w:pPr>
            <w:r>
              <w:t xml:space="preserve">20</w:t>
            </w:r>
          </w:p>
        </w:tc>
        <w:tc>
          <w:tcPr/>
          <w:p>
            <w:pPr>
              <w:pStyle w:val="Compact"/>
            </w:pPr>
            <w:r>
              <w:t xml:space="preserve">11</w:t>
            </w:r>
          </w:p>
        </w:tc>
        <w:tc>
          <w:tcPr/>
          <w:p>
            <w:pPr>
              <w:pStyle w:val="Compact"/>
            </w:pPr>
            <w:r>
              <w:t xml:space="preserve">60,6</w:t>
            </w:r>
          </w:p>
        </w:tc>
        <w:tc>
          <w:tcPr/>
          <w:p>
            <w:pPr>
              <w:pStyle w:val="Compact"/>
            </w:pPr>
            <w:r>
              <w:t xml:space="preserve">10</w:t>
            </w:r>
          </w:p>
        </w:tc>
        <w:tc>
          <w:tcPr/>
          <w:p>
            <w:pPr>
              <w:pStyle w:val="Compact"/>
            </w:pPr>
            <w:r>
              <w:t xml:space="preserve">11</w:t>
            </w:r>
          </w:p>
        </w:tc>
        <w:tc>
          <w:tcPr/>
          <w:p>
            <w:pPr>
              <w:pStyle w:val="Compact"/>
            </w:pPr>
            <w:r>
              <w:t xml:space="preserve">20</w:t>
            </w:r>
          </w:p>
        </w:tc>
        <w:tc>
          <w:tcPr/>
          <w:p>
            <w:pPr>
              <w:pStyle w:val="Compact"/>
            </w:pPr>
            <w:r>
              <w:t xml:space="preserve">20</w:t>
            </w:r>
          </w:p>
        </w:tc>
      </w:tr>
      <w:tr>
        <w:tc>
          <w:tcPr/>
          <w:p>
            <w:pPr>
              <w:pStyle w:val="Compact"/>
            </w:pPr>
            <w:r>
              <w:t xml:space="preserve">Шиповник</w:t>
            </w:r>
          </w:p>
        </w:tc>
        <w:tc>
          <w:tcPr/>
          <w:p>
            <w:pPr>
              <w:pStyle w:val="Compact"/>
            </w:pPr>
            <w:r>
              <w:t xml:space="preserve">15</w:t>
            </w:r>
          </w:p>
        </w:tc>
        <w:tc>
          <w:tcPr/>
          <w:p>
            <w:pPr>
              <w:pStyle w:val="Compact"/>
            </w:pPr>
            <w:r>
              <w:t xml:space="preserve">5</w:t>
            </w:r>
          </w:p>
        </w:tc>
        <w:tc>
          <w:tcPr/>
          <w:p>
            <w:pPr>
              <w:pStyle w:val="Compact"/>
            </w:pPr>
            <w:r>
              <w:t xml:space="preserve">20</w:t>
            </w:r>
          </w:p>
        </w:tc>
        <w:tc>
          <w:tcPr/>
          <w:p>
            <w:pPr>
              <w:pStyle w:val="Compact"/>
            </w:pPr>
            <w:r>
              <w:t xml:space="preserve">—</w:t>
            </w:r>
          </w:p>
        </w:tc>
        <w:tc>
          <w:tcPr/>
          <w:p>
            <w:pPr>
              <w:pStyle w:val="Compact"/>
            </w:pPr>
            <w:r>
              <w:t xml:space="preserve">5</w:t>
            </w:r>
          </w:p>
        </w:tc>
        <w:tc>
          <w:tcPr/>
          <w:p>
            <w:pPr>
              <w:pStyle w:val="Compact"/>
            </w:pPr>
            <w:r>
              <w:t xml:space="preserve">15</w:t>
            </w:r>
          </w:p>
        </w:tc>
        <w:tc>
          <w:tcPr/>
          <w:p>
            <w:pPr>
              <w:pStyle w:val="Compact"/>
            </w:pPr>
            <w:r>
              <w:t xml:space="preserve">15</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66¹</w:t>
            </w:r>
          </w:p>
        </w:tc>
        <w:tc>
          <w:tcPr/>
          <w:p>
            <w:pPr>
              <w:pStyle w:val="Compact"/>
            </w:pPr>
            <w:r>
              <w:t xml:space="preserve">74</w:t>
            </w:r>
          </w:p>
        </w:tc>
        <w:tc>
          <w:tcPr/>
          <w:p>
            <w:pPr>
              <w:pStyle w:val="Compact"/>
            </w:pPr>
            <w:r>
              <w:t xml:space="preserve">60</w:t>
            </w:r>
          </w:p>
        </w:tc>
        <w:tc>
          <w:tcPr/>
          <w:p>
            <w:pPr>
              <w:pStyle w:val="Compact"/>
            </w:pPr>
            <w:r>
              <w:t xml:space="preserve">100</w:t>
            </w:r>
          </w:p>
        </w:tc>
        <w:tc>
          <w:tcPr/>
          <w:p>
            <w:pPr>
              <w:pStyle w:val="Compact"/>
            </w:pPr>
            <w:r>
              <w:t xml:space="preserve">100 мл</w:t>
            </w:r>
          </w:p>
        </w:tc>
      </w:tr>
      <w:tr>
        <w:tc>
          <w:tcPr/>
          <w:p>
            <w:pPr>
              <w:pStyle w:val="Compact"/>
            </w:pPr>
            <w:r>
              <w:t xml:space="preserve">Мясо</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104,7</w:t>
            </w:r>
          </w:p>
        </w:tc>
        <w:tc>
          <w:tcPr/>
          <w:p>
            <w:pPr>
              <w:pStyle w:val="Compact"/>
            </w:pPr>
            <w:r>
              <w:t xml:space="preserve">90</w:t>
            </w:r>
          </w:p>
        </w:tc>
      </w:tr>
      <w:tr>
        <w:tc>
          <w:tcPr/>
          <w:p>
            <w:pPr>
              <w:pStyle w:val="Compact"/>
            </w:pPr>
            <w:r>
              <w:t xml:space="preserve">Птица</w:t>
            </w:r>
          </w:p>
        </w:tc>
        <w:tc>
          <w:tcPr/>
          <w:p>
            <w:pPr>
              <w:pStyle w:val="Compact"/>
            </w:pPr>
            <w:r>
              <w:t xml:space="preserve">22,2</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c>
          <w:tcPr/>
          <w:p>
            <w:pPr>
              <w:pStyle w:val="Compact"/>
            </w:pPr>
            <w:r>
              <w:t xml:space="preserve">22,2</w:t>
            </w:r>
          </w:p>
        </w:tc>
      </w:tr>
      <w:tr>
        <w:tc>
          <w:tcPr/>
          <w:p>
            <w:pPr>
              <w:pStyle w:val="Compact"/>
            </w:pPr>
            <w:r>
              <w:t xml:space="preserve">Колбаса вареная, сосиски</w:t>
            </w:r>
          </w:p>
        </w:tc>
        <w:tc>
          <w:tcPr/>
          <w:p>
            <w:pPr>
              <w:pStyle w:val="Compact"/>
            </w:pPr>
            <w:r>
              <w:t xml:space="preserve">12</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c>
          <w:tcPr/>
          <w:p>
            <w:pPr>
              <w:pStyle w:val="Compact"/>
            </w:pPr>
            <w:r>
              <w:t xml:space="preserve">12</w:t>
            </w:r>
          </w:p>
        </w:tc>
      </w:tr>
      <w:tr>
        <w:tc>
          <w:tcPr/>
          <w:p>
            <w:pPr>
              <w:pStyle w:val="Compact"/>
            </w:pPr>
            <w:r>
              <w:t xml:space="preserve">Рыба, рыбопродукты</w:t>
            </w:r>
          </w:p>
        </w:tc>
        <w:tc>
          <w:tcPr/>
          <w:p>
            <w:pPr>
              <w:pStyle w:val="Compact"/>
            </w:pPr>
            <w:r>
              <w:t xml:space="preserve">32,5</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c>
          <w:tcPr/>
          <w:p>
            <w:pPr>
              <w:pStyle w:val="Compact"/>
            </w:pPr>
            <w:r>
              <w:t xml:space="preserve">32,5</w:t>
            </w:r>
          </w:p>
        </w:tc>
      </w:tr>
      <w:tr>
        <w:tc>
          <w:tcPr/>
          <w:p>
            <w:pPr>
              <w:pStyle w:val="Compact"/>
            </w:pPr>
            <w:r>
              <w:t xml:space="preserve">Творог</w:t>
            </w:r>
          </w:p>
        </w:tc>
        <w:tc>
          <w:tcPr/>
          <w:p>
            <w:pPr>
              <w:pStyle w:val="Compact"/>
            </w:pPr>
            <w:r>
              <w:t xml:space="preserve">20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c>
          <w:tcPr/>
          <w:p>
            <w:pPr>
              <w:pStyle w:val="Compact"/>
            </w:pPr>
            <w:r>
              <w:t xml:space="preserve">20</w:t>
            </w:r>
          </w:p>
        </w:tc>
      </w:tr>
      <w:tr>
        <w:tc>
          <w:tcPr/>
          <w:p>
            <w:pPr>
              <w:pStyle w:val="Compact"/>
            </w:pPr>
            <w:r>
              <w:t xml:space="preserve">Сыр</w:t>
            </w:r>
          </w:p>
        </w:tc>
        <w:tc>
          <w:tcPr/>
          <w:p>
            <w:pPr>
              <w:pStyle w:val="Compact"/>
            </w:pPr>
            <w:r>
              <w:t xml:space="preserve">15</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c>
          <w:tcPr/>
          <w:p>
            <w:pPr>
              <w:pStyle w:val="Compact"/>
            </w:pPr>
            <w:r>
              <w:t xml:space="preserve">15</w:t>
            </w:r>
          </w:p>
        </w:tc>
      </w:tr>
      <w:tr>
        <w:tc>
          <w:tcPr/>
          <w:p>
            <w:pPr>
              <w:pStyle w:val="Compact"/>
            </w:pPr>
            <w:r>
              <w:t xml:space="preserve">Яйцо</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напитки</w:t>
            </w:r>
          </w:p>
        </w:tc>
        <w:tc>
          <w:tcPr/>
          <w:p>
            <w:pPr>
              <w:pStyle w:val="Compact"/>
            </w:pPr>
            <w:r>
              <w:t xml:space="preserve">121 мл</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w:t>
            </w:r>
          </w:p>
        </w:tc>
        <w:tc>
          <w:tcPr/>
          <w:p>
            <w:pPr>
              <w:pStyle w:val="Compact"/>
            </w:pPr>
            <w:r>
              <w:t xml:space="preserve">121 мл</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23</w:t>
            </w:r>
          </w:p>
        </w:tc>
        <w:tc>
          <w:tcPr/>
          <w:p>
            <w:pPr>
              <w:pStyle w:val="Compact"/>
            </w:pPr>
            <w:r>
              <w:t xml:space="preserve">20 мл</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Маргарин</w:t>
            </w:r>
          </w:p>
        </w:tc>
        <w:tc>
          <w:tcPr/>
          <w:p>
            <w:pPr>
              <w:pStyle w:val="Compact"/>
            </w:pPr>
            <w:r>
              <w:t xml:space="preserve">—</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15</w:t>
            </w:r>
          </w:p>
        </w:tc>
        <w:tc>
          <w:tcPr/>
          <w:p>
            <w:pPr>
              <w:pStyle w:val="Compact"/>
            </w:pPr>
            <w:r>
              <w:t xml:space="preserve">50²</w:t>
            </w:r>
          </w:p>
        </w:tc>
      </w:tr>
      <w:tr>
        <w:tc>
          <w:tcPr/>
          <w:p>
            <w:pPr>
              <w:pStyle w:val="Compact"/>
            </w:pPr>
            <w:r>
              <w:t xml:space="preserve">Сахар</w:t>
            </w:r>
          </w:p>
        </w:tc>
        <w:tc>
          <w:tcPr/>
          <w:p>
            <w:pPr>
              <w:pStyle w:val="Compact"/>
            </w:pPr>
            <w:r>
              <w:t xml:space="preserve">50</w:t>
            </w:r>
          </w:p>
        </w:tc>
        <w:tc>
          <w:tcPr/>
          <w:p>
            <w:pPr>
              <w:pStyle w:val="Compact"/>
            </w:pPr>
            <w:r>
              <w:t xml:space="preserve">57</w:t>
            </w:r>
          </w:p>
        </w:tc>
        <w:tc>
          <w:tcPr/>
          <w:p>
            <w:pPr>
              <w:pStyle w:val="Compact"/>
            </w:pPr>
            <w:r>
              <w:t xml:space="preserve">—</w:t>
            </w:r>
          </w:p>
        </w:tc>
        <w:tc>
          <w:tcPr/>
          <w:p>
            <w:pPr>
              <w:pStyle w:val="Compact"/>
            </w:pPr>
            <w:r>
              <w:t xml:space="preserve">53</w:t>
            </w:r>
          </w:p>
        </w:tc>
        <w:tc>
          <w:tcPr/>
          <w:p>
            <w:pPr>
              <w:pStyle w:val="Compact"/>
            </w:pPr>
            <w:r>
              <w:t xml:space="preserve">57</w:t>
            </w:r>
          </w:p>
        </w:tc>
        <w:tc>
          <w:tcPr/>
          <w:p>
            <w:pPr>
              <w:pStyle w:val="Compact"/>
            </w:pPr>
            <w:r>
              <w:t xml:space="preserve">50</w:t>
            </w:r>
          </w:p>
        </w:tc>
        <w:tc>
          <w:tcPr/>
          <w:p>
            <w:pPr>
              <w:pStyle w:val="Compact"/>
            </w:pPr>
            <w:r>
              <w:t xml:space="preserve">(в составе 50²)</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какао</w:t>
            </w:r>
          </w:p>
        </w:tc>
        <w:tc>
          <w:tcPr/>
          <w:p>
            <w:pPr>
              <w:pStyle w:val="Compact"/>
            </w:pPr>
            <w:r>
              <w:t xml:space="preserve">1,4</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c>
          <w:tcPr/>
          <w:p>
            <w:pPr>
              <w:pStyle w:val="Compact"/>
            </w:pPr>
            <w:r>
              <w:t xml:space="preserve">1,4</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c>
          <w:tcPr/>
          <w:p>
            <w:pPr>
              <w:pStyle w:val="Compact"/>
            </w:pPr>
            <w:r>
              <w:t xml:space="preserve">8</w:t>
            </w:r>
          </w:p>
        </w:tc>
      </w:tr>
      <w:tr>
        <w:tc>
          <w:tcPr/>
          <w:p>
            <w:pPr>
              <w:pStyle w:val="Compact"/>
            </w:pPr>
            <w:r>
              <w:t xml:space="preserve">СБКС</w:t>
            </w:r>
          </w:p>
        </w:tc>
        <w:tc>
          <w:tcPr/>
          <w:p>
            <w:pPr>
              <w:pStyle w:val="Compact"/>
            </w:pPr>
            <w:r>
              <w:t xml:space="preserve">27³</w:t>
            </w:r>
          </w:p>
        </w:tc>
        <w:tc>
          <w:tcPr/>
          <w:p>
            <w:pPr>
              <w:pStyle w:val="Compact"/>
            </w:pPr>
            <w:r>
              <w:t xml:space="preserve">27³</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 по мед. показаниям</w:t>
            </w:r>
          </w:p>
        </w:tc>
      </w:tr>
    </w:tbl>
    <w:p>
      <w:pPr>
        <w:pStyle w:val="BodyText"/>
      </w:pPr>
      <w:r>
        <w:t xml:space="preserve">¹ Для лиц с сахарным диабетом — «соки без сахара». ² В приказе № 520н — единая позиция «сахар, варенье, печенье, кондитерские изделия». ³ «По медицинским показаниям» (сноска постановления).</w:t>
      </w:r>
    </w:p>
    <w:p>
      <w:pPr>
        <w:pStyle w:val="BodyText"/>
      </w:pPr>
      <w:r>
        <w:rPr>
          <w:b/>
          <w:bCs/>
        </w:rPr>
        <w:t xml:space="preserve">Редакция 2022 г. (действовала до 31.12.2025) [33].</w:t>
      </w:r>
      <w:r>
        <w:t xml:space="preserve"> </w:t>
      </w:r>
      <w:r>
        <w:t xml:space="preserve">Столбец (1) назывался «учреждения, кроме ПНИ» и отличался от действующего: хлеб пшеничный 100, мука 45, крахмал 2,5, картофель 168, овощи всех видов одной строкой 318, фрукты 200, сухофрукты и шиповник 10, соки 60, птица 40, колбаса 25, рыба 41,8, сыр 14, творог 40, кисломолочные 200, сметана 10, маргарин 10, сахар 57, кофе 1,5, соль 10, яйцо 4 шт. в неделю, СБКС 27 г в общей норме, витамины 1 драже 3 раза в неделю. Столбцы (2) и (5) для ПНИ совпадали с действующими, кроме яйца (4 шт. в неделю), сухофруктов и шиповника (16 одной строкой) и витаминов (1 драже 3 раза в неделю); СБКС входила в общую норму. Для лиц с сахарным диабетом сахар 15 г выдавался отдельно, сухофрукты и шиповник — 81 г. Столбца (6) не было.</w:t>
      </w:r>
    </w:p>
    <w:bookmarkEnd w:id="165"/>
    <w:bookmarkStart w:id="171"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64]</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73, 74, 77]</w:t>
            </w:r>
          </w:p>
        </w:tc>
      </w:tr>
      <w:tr>
        <w:tc>
          <w:tcPr/>
          <w:p>
            <w:pPr>
              <w:pStyle w:val="Compact"/>
            </w:pPr>
            <w:r>
              <w:t xml:space="preserve">Практика регионов</w:t>
            </w:r>
          </w:p>
        </w:tc>
        <w:tc>
          <w:tcPr/>
          <w:p>
            <w:pPr>
              <w:pStyle w:val="Compact"/>
            </w:pPr>
            <w:r>
              <w:t xml:space="preserve">Вместо одного кейса — восемь учреждений и региональное сообщение; удалены детали, отсутствующие в источнике (выбор накануне в Болотнинском ПНИ)</w:t>
            </w:r>
          </w:p>
        </w:tc>
        <w:tc>
          <w:tcPr/>
          <w:p>
            <w:pPr>
              <w:pStyle w:val="Compact"/>
            </w:pPr>
            <w:r>
              <w:t xml:space="preserve">[5–21, 28, 29, 88]</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[124–137, 140]</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42, 53, 92–97, 101, 102, 104, 105, 110–113, 115–117, 123]</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74, 92, 123]</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66"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расширен только за счёт новых источников; число позиций в списке источников выросло с 98 до 132 (по данным сборки), в третьем проходе — до 136, в четвёртом — до 143. Ниже — что добавлено и что исправлено.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66"/>
    <w:bookmarkStart w:id="167"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Весь текст, от аннотации до приложений, вычитан и переписан литературно: убраны канцелярские связки и пустые обороты, длинные абзацы о деле № А73-20917/2024 разбиты, формулировки сокращены. Каждое утверждение с источником, числа, ссылки, классы утверждений, словарь различений, 40 противоречий, 16 сценариев и 24 предложения сохранены; сверка ссылок и чисел до и после правки проведена по каждой главе. Новые факты внесены только с источниками.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[70]; изменения красноярского акта постановлениями № 74-п (2024) и № 892-п (2025) и отдельный раздел норм для ПНИ (с 2026 г. — ДСО) [84]; изменение ленинградского приказа от 04.08.2025 № 04-81 [85]</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[131]</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119–122]</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[39]</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67"/>
    <w:bookmarkStart w:id="168" w:name="X4bb1c9e9b3804963a91cce012a1711de9d8f73d"/>
    <w:p>
      <w:pPr>
        <w:pStyle w:val="Heading2"/>
      </w:pPr>
      <w:r>
        <w:t xml:space="preserve">Четвёртый проход: незакрытые вопросы (октябрь 2026 г.)</w:t>
      </w:r>
    </w:p>
    <w:p>
      <w:pPr>
        <w:pStyle w:val="FirstParagraph"/>
      </w:pPr>
      <w:r>
        <w:t xml:space="preserve">Проверены вопросы, оставшиеся открытыми после третьего прохода. Новые факты внесены только с источниками; где первоисточник не найден, вопрос закрыт как непроверенный с перечнем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с бокса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[60, 61];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[69, 79];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[81];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[84];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[85];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[86];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[35];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[94];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[92]</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68"/>
    <w:bookmarkStart w:id="169" w:name="Xbaab12f218524ef5d07d435baa3db50c1420963"/>
    <w:p>
      <w:pPr>
        <w:pStyle w:val="Heading2"/>
      </w:pPr>
      <w:r>
        <w:t xml:space="preserve">Пятый проход: 12 точек из канона и gaps (октябрь 2026 г.)</w:t>
      </w:r>
    </w:p>
    <w:p>
      <w:pPr>
        <w:pStyle w:val="FirstParagraph"/>
      </w:pPr>
      <w:r>
        <w:t xml:space="preserve">Перед правкой перечитаны канон — доклад «Не просто накормить» [22] —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Новые факты внесены только с источниками; от имени Минтруда России доклад не говорит; диет, текстур и лекарств не назначает. Число позиций в списке источников — 147.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[49]</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[37, 142]</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[140]</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Правовой «чемоданчик»</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[90]. Автор как руководитель учреждения 05.10.2026 подтвердил аутсорсинг питания [89]; кейс внесён в п. 4.8, 4.10, 4.11, сценарий 8 (с рекомендацией записывать выбор в ТЗ договора услуг), гл. 9 (поз. 44 снята) и заключение. Тексты извещений, ТЗ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с бокса недоступна.</w:t>
      </w:r>
    </w:p>
    <w:bookmarkEnd w:id="169"/>
    <w:bookmarkStart w:id="170" w:name="X6b82d7ac307c454f351cde71f892a63b09f71c1"/>
    <w:p>
      <w:pPr>
        <w:pStyle w:val="Heading2"/>
      </w:pPr>
      <w:r>
        <w:t xml:space="preserve">Шестой проход: сверка с данными учреждения (октябрь 2026 г.)</w:t>
      </w:r>
    </w:p>
    <w:p>
      <w:pPr>
        <w:pStyle w:val="FirstParagraph"/>
      </w:pPr>
      <w:r>
        <w:t xml:space="preserve">Проход проверял сведения о ДСО «Серафимовский» и о петербургских нормах по рабочим материалам учреждения автора. В доклад внесены только факты, которые можно опубликовать: нет персональных данных жителей, имён работников исполнителей и проверяющих, служебной переписки, материалов подготовки к проверкам и цен сверх публичных сведений о закупках. Каждый внесённый факт сопровождается публичным источником: официальной публикацией акта, сайтом учреждения или карточкой закупки. Где публичной сверки не было, это сказано прямо.</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Проверено публично</w:t>
            </w:r>
          </w:p>
        </w:tc>
        <w:tc>
          <w:tcPr/>
          <w:p>
            <w:pPr>
              <w:pStyle w:val="Compact"/>
            </w:pPr>
            <w:r>
              <w:t xml:space="preserve">Где</w:t>
            </w:r>
          </w:p>
        </w:tc>
      </w:tr>
      <w:tr>
        <w:tc>
          <w:tcPr/>
          <w:p>
            <w:pPr>
              <w:pStyle w:val="Compact"/>
            </w:pPr>
            <w:r>
              <w:t xml:space="preserve">1</w:t>
            </w:r>
          </w:p>
        </w:tc>
        <w:tc>
          <w:tcPr/>
          <w:p>
            <w:pPr>
              <w:pStyle w:val="Compact"/>
            </w:pPr>
            <w:r>
              <w:t xml:space="preserve">Приказ № 124</w:t>
            </w:r>
          </w:p>
        </w:tc>
        <w:tc>
          <w:tcPr/>
          <w:p>
            <w:pPr>
              <w:pStyle w:val="Compact"/>
            </w:pPr>
            <w:r>
              <w:t xml:space="preserve">Уточнено: это правила внутреннего распорядка жителей, утверждённые приказом учреждения (на бланке указан учредитель — Комитет по социальной политике, но подписан приказ директором учреждения). Это не акт Комитета и не положение о питании. О вариативном меню — одна фраза о «зале заказного питания» (п. 3.9). Исправлены формулировки «закреплено заказное питание, в том числе для маломобильных»; ссылка переведена с веб-архива на действующий сайт sdso-spb.ru</w:t>
            </w:r>
          </w:p>
        </w:tc>
        <w:tc>
          <w:tcPr/>
          <w:p>
            <w:pPr>
              <w:pStyle w:val="Compact"/>
            </w:pPr>
            <w:r>
              <w:t xml:space="preserve">Да: PDF приказа на sdso-spb.ru [28]</w:t>
            </w:r>
          </w:p>
        </w:tc>
        <w:tc>
          <w:tcPr/>
          <w:p>
            <w:pPr>
              <w:pStyle w:val="Compact"/>
            </w:pPr>
            <w:r>
              <w:t xml:space="preserve">п. 4.8; сценарии 3 и 7; прил. А поз. 34, 61; прил. Г поз. 46; гл. 9 поз. 47</w:t>
            </w:r>
          </w:p>
        </w:tc>
      </w:tr>
      <w:tr>
        <w:tc>
          <w:tcPr/>
          <w:p>
            <w:pPr>
              <w:pStyle w:val="Compact"/>
            </w:pPr>
            <w:r>
              <w:t xml:space="preserve">2</w:t>
            </w:r>
          </w:p>
        </w:tc>
        <w:tc>
          <w:tcPr/>
          <w:p>
            <w:pPr>
              <w:pStyle w:val="Compact"/>
            </w:pPr>
            <w:r>
              <w:t xml:space="preserve">Постановление № 507</w:t>
            </w:r>
          </w:p>
        </w:tc>
        <w:tc>
          <w:tcPr/>
          <w:p>
            <w:pPr>
              <w:pStyle w:val="Compact"/>
            </w:pPr>
            <w:r>
              <w:t xml:space="preserve">Найдено: приложение к № 1284 изложено заново с 01.01.2026. Общая норма приведена к № 520н (птица 22,2 г, рыба 32,5 г, творог 20 г, кисломолочные 121 г, картофель 200 г вместо 40; 41,8; 40; 200; 168 г). Введены столбцы ПНИ и ДСО и норма без СБКС для всех организаций; СБКС и витамины даются по медицинским показаниям. Ошибки второй редакции исправлены: «нормы не менялись с 2022 г.», «СБКС в общей норме СПб», «СПб — нетто». Пересчитаны сценарии 1, 2, 11 и 12 (рыба по норме в иллюстрации сценария 1 — 149,6 % вместо 138,6 %) и прил. Б. Редакция 2022 г. оставлена как историческая</w:t>
            </w:r>
          </w:p>
        </w:tc>
        <w:tc>
          <w:tcPr/>
          <w:p>
            <w:pPr>
              <w:pStyle w:val="Compact"/>
            </w:pPr>
            <w:r>
              <w:t xml:space="preserve">Да: официальная публикация 7800202507240011 (скан, распознан) и текст приложения в справочной системе [34]</w:t>
            </w:r>
          </w:p>
        </w:tc>
        <w:tc>
          <w:tcPr/>
          <w:p>
            <w:pPr>
              <w:pStyle w:val="Compact"/>
            </w:pPr>
            <w:r>
              <w:t xml:space="preserve">п. 1.6; п. 2.6; п. 3.2, 3.12, 3.14; гл. 7; гл. 9 поз. 34, 36, 39, 46; гл. 10 п. 7, 12; заключение; прил. А поз. 22, 62; прил. Б; прил. Г поз. 47, 47а</w:t>
            </w:r>
          </w:p>
        </w:tc>
      </w:tr>
      <w:tr>
        <w:tc>
          <w:tcPr/>
          <w:p>
            <w:pPr>
              <w:pStyle w:val="Compact"/>
            </w:pPr>
            <w:r>
              <w:t xml:space="preserve">3</w:t>
            </w:r>
          </w:p>
        </w:tc>
        <w:tc>
          <w:tcPr/>
          <w:p>
            <w:pPr>
              <w:pStyle w:val="Compact"/>
            </w:pPr>
            <w:r>
              <w:t xml:space="preserve">Нормативы социального питания на 2027 г.</w:t>
            </w:r>
          </w:p>
        </w:tc>
        <w:tc>
          <w:tcPr/>
          <w:p>
            <w:pPr>
              <w:pStyle w:val="Compact"/>
            </w:pPr>
            <w:r>
              <w:t xml:space="preserve">Механизм внесён: комитет по экономической политике ежегодно до 1 июня утверждает нормативы расходов бюджета по социальному питанию (п. 7 пост. № 873). Распоряжение на 2027 г. в открытых официальных источниках не найдено (портал правовой информации, поиск), и его значения в доклад не внесены</w:t>
            </w:r>
          </w:p>
        </w:tc>
        <w:tc>
          <w:tcPr/>
          <w:p>
            <w:pPr>
              <w:pStyle w:val="Compact"/>
            </w:pPr>
            <w:r>
              <w:t xml:space="preserve">Механизм — да [76]; распоряжение на 2027 г. — нет</w:t>
            </w:r>
          </w:p>
        </w:tc>
        <w:tc>
          <w:tcPr/>
          <w:p>
            <w:pPr>
              <w:pStyle w:val="Compact"/>
            </w:pPr>
            <w:r>
              <w:t xml:space="preserve">п. 3.2; прил. А поз. 63</w:t>
            </w:r>
          </w:p>
        </w:tc>
      </w:tr>
      <w:tr>
        <w:tc>
          <w:tcPr/>
          <w:p>
            <w:pPr>
              <w:pStyle w:val="Compact"/>
            </w:pPr>
            <w:r>
              <w:t xml:space="preserve">4</w:t>
            </w:r>
          </w:p>
        </w:tc>
        <w:tc>
          <w:tcPr/>
          <w:p>
            <w:pPr>
              <w:pStyle w:val="Compact"/>
            </w:pPr>
            <w:r>
              <w:t xml:space="preserve">Цепочка закупок питания 2025–2026 гг.</w:t>
            </w:r>
          </w:p>
        </w:tc>
        <w:tc>
          <w:tcPr/>
          <w:p>
            <w:pPr>
              <w:pStyle w:val="Compact"/>
            </w:pPr>
            <w:r>
              <w:t xml:space="preserve">Внесено как факт, без причин: договор на 2026 г. от 02.12.2025 (ООО «АгроФуд»); краткосрочные закупки в июне — июле 2026 г.; конкурс на август — декабрь; договор от 17.08.2026 (ООО «Мастерская Гурмана»). Смена исполнителя увязана с рекомендацией записывать выбор в ТЗ (сценарий 8)</w:t>
            </w:r>
          </w:p>
        </w:tc>
        <w:tc>
          <w:tcPr/>
          <w:p>
            <w:pPr>
              <w:pStyle w:val="Compact"/>
            </w:pPr>
            <w:r>
              <w:t xml:space="preserve">Частично: извещения № 32616169674, № 32616171821, № 32616197209 и начальные цены — по агрегаторам [90, 91]; номера, даты, исполнители и цена договоров — по реестру ЕИС, с бокса недоступному; агрегаторы договоры не показывают —</w:t>
            </w:r>
            <w:r>
              <w:t xml:space="preserve"> </w:t>
            </w:r>
            <w:r>
              <w:rPr>
                <w:b/>
                <w:bCs/>
              </w:rPr>
              <w:t xml:space="preserve">не сверено независимо</w:t>
            </w:r>
            <w:r>
              <w:t xml:space="preserve">. Извещение № 32616171821 по-прежнему видно только в агрегаторах</w:t>
            </w:r>
          </w:p>
        </w:tc>
        <w:tc>
          <w:tcPr/>
          <w:p>
            <w:pPr>
              <w:pStyle w:val="Compact"/>
            </w:pPr>
            <w:r>
              <w:t xml:space="preserve">п. 4.8; сценарий 8; гл. 9 поз. 44; прил. А поз. 60</w:t>
            </w:r>
          </w:p>
        </w:tc>
      </w:tr>
      <w:tr>
        <w:tc>
          <w:tcPr/>
          <w:p>
            <w:pPr>
              <w:pStyle w:val="Compact"/>
            </w:pPr>
            <w:r>
              <w:t xml:space="preserve">5</w:t>
            </w:r>
          </w:p>
        </w:tc>
        <w:tc>
          <w:tcPr/>
          <w:p>
            <w:pPr>
              <w:pStyle w:val="Compact"/>
            </w:pPr>
            <w:r>
              <w:t xml:space="preserve">Цикличные меню ТЗ 2026 г.</w:t>
            </w:r>
          </w:p>
        </w:tc>
        <w:tc>
          <w:tcPr/>
          <w:p>
            <w:pPr>
              <w:pStyle w:val="Compact"/>
            </w:pPr>
            <w:r>
              <w:t xml:space="preserve">Описана структура: четыре части (ОВД, ИП и ИП2, ОВД2, лето), цикл 14 дней, шесть приёмов пищи, одно блюдо на позицию, БЖУ и энергетическая ценность по строкам. Подчёркнуто, что это цикличное меню по вариантам диеты, а не выбор блюд. Назначений диет нет</w:t>
            </w:r>
          </w:p>
        </w:tc>
        <w:tc>
          <w:tcPr/>
          <w:p>
            <w:pPr>
              <w:pStyle w:val="Compact"/>
            </w:pPr>
            <w:r>
              <w:t xml:space="preserve">Названия файлов — в документации извещения № 32616171821 у агрегатора [90]; содержание прочитано по копиям тех же файлов от учреждения</w:t>
            </w:r>
          </w:p>
        </w:tc>
        <w:tc>
          <w:tcPr/>
          <w:p>
            <w:pPr>
              <w:pStyle w:val="Compact"/>
            </w:pPr>
            <w:r>
              <w:t xml:space="preserve">п. 4.8; сценарий 8</w:t>
            </w:r>
          </w:p>
        </w:tc>
      </w:tr>
      <w:tr>
        <w:tc>
          <w:tcPr/>
          <w:p>
            <w:pPr>
              <w:pStyle w:val="Compact"/>
            </w:pPr>
            <w:r>
              <w:t xml:space="preserve">6</w:t>
            </w:r>
          </w:p>
        </w:tc>
        <w:tc>
          <w:tcPr/>
          <w:p>
            <w:pPr>
              <w:pStyle w:val="Compact"/>
            </w:pPr>
            <w:r>
              <w:t xml:space="preserve">Чего нет в открытом доступе</w:t>
            </w:r>
          </w:p>
        </w:tc>
        <w:tc>
          <w:tcPr/>
          <w:p>
            <w:pPr>
              <w:pStyle w:val="Compact"/>
            </w:pPr>
            <w:r>
              <w:t xml:space="preserve">Прямо указано: отдельного положения об организации питания, журнала заказа и журнала замен в разделе «Документы учреждения» нет. Внесена публичная «Информация об организации социального питания» за 2022 г.: перечень актов, цикличное меню из ТЗ, шесть приёмов пищи, вариативного меню ещё нет. Распоряжение № 1366-р — тарифы на 2025 г. (так и было)</w:t>
            </w:r>
          </w:p>
        </w:tc>
        <w:tc>
          <w:tcPr/>
          <w:p>
            <w:pPr>
              <w:pStyle w:val="Compact"/>
            </w:pPr>
            <w:r>
              <w:t xml:space="preserve">Да: sdso-spb.ru [28, 88]</w:t>
            </w:r>
          </w:p>
        </w:tc>
        <w:tc>
          <w:tcPr/>
          <w:p>
            <w:pPr>
              <w:pStyle w:val="Compact"/>
            </w:pPr>
            <w:r>
              <w:t xml:space="preserve">п. 4.8; прил. А поз. 64; прил. Г поз. 46</w:t>
            </w:r>
          </w:p>
        </w:tc>
      </w:tr>
      <w:tr>
        <w:tc>
          <w:tcPr/>
          <w:p>
            <w:pPr>
              <w:pStyle w:val="Compact"/>
            </w:pPr>
            <w:r>
              <w:t xml:space="preserve">7</w:t>
            </w:r>
          </w:p>
        </w:tc>
        <w:tc>
          <w:tcPr/>
          <w:p>
            <w:pPr>
              <w:pStyle w:val="Compact"/>
            </w:pPr>
            <w:r>
              <w:t xml:space="preserve">Типовые нарушения в закупках</w:t>
            </w:r>
          </w:p>
        </w:tc>
        <w:tc>
          <w:tcPr/>
          <w:p>
            <w:pPr>
              <w:pStyle w:val="Compact"/>
            </w:pPr>
            <w:r>
              <w:t xml:space="preserve">Не внесено: подборка рабочих материалов опирается на отраслевой журнал другого субъекта и на пересказы в СМИ, а не на публичный отчёт Контрольно-счётной палаты Санкт-Петербурга; кроме того, она описывает 44-ФЗ, а учреждение закупает по 223-ФЗ</w:t>
            </w:r>
          </w:p>
        </w:tc>
        <w:tc>
          <w:tcPr/>
          <w:p>
            <w:pPr>
              <w:pStyle w:val="Compact"/>
            </w:pPr>
            <w:r>
              <w:t xml:space="preserve">—</w:t>
            </w:r>
          </w:p>
        </w:tc>
        <w:tc>
          <w:tcPr/>
          <w:p>
            <w:pPr>
              <w:pStyle w:val="Compact"/>
            </w:pPr>
            <w:r>
              <w:t xml:space="preserve">—</w:t>
            </w:r>
          </w:p>
        </w:tc>
      </w:tr>
    </w:tbl>
    <w:p>
      <w:pPr>
        <w:pStyle w:val="BodyText"/>
      </w:pPr>
      <w:r>
        <w:rPr>
          <w:b/>
          <w:bCs/>
        </w:rPr>
        <w:t xml:space="preserve">Расхождения с рабочими материалами.</w:t>
      </w:r>
      <w:r>
        <w:t xml:space="preserve"> </w:t>
      </w:r>
      <w:r>
        <w:t xml:space="preserve">В рабочих материалах приказ № 124 описан как правила Комитета; по опубликованному тексту это приказ учреждения. Граммы постановления № 507 в рабочих материалах отличаются от официального текста (например, хлеб и кисломолочные продукты). В доклад внесены значения официальной публикации.</w:t>
      </w:r>
    </w:p>
    <w:bookmarkEnd w:id="170"/>
    <w:bookmarkEnd w:id="171"/>
    <w:bookmarkStart w:id="172"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просит приложить к докладу локальные акты ДСО «Серафимовский» о питании, полный текст постановления Санкт-Петербурга № 1284 и распоряжение № 1366-р [23]. Файлы, которые удалось получить из публичных источников, лежат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порядке питания (положение об организации питания, формы меню-пар, журналы заказа и замен)</w:t>
            </w:r>
          </w:p>
        </w:tc>
        <w:tc>
          <w:tcPr/>
          <w:p>
            <w:pPr>
              <w:pStyle w:val="Compact"/>
            </w:pPr>
            <w:r>
              <w:t xml:space="preserve">—</w:t>
            </w:r>
          </w:p>
        </w:tc>
        <w:tc>
          <w:tcPr/>
          <w:p>
            <w:pPr>
              <w:pStyle w:val="Compact"/>
            </w:pPr>
            <w:r>
              <w:t xml:space="preserve">Сайт учреждения sdso-spb.ru, раздел «Документы учреждения»: опубликованы правила внутреннего распорядка (приказ № 124, где вариативное меню упомянуто одной фразой) [28] и «Информация об организации социального питания» за 2022 г. [88]; положения о питании и журналов там нет; цикличные меню ТЗ 2026 г. перечислены в документации закупки [90]</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rPr>
                <w:b/>
                <w:bCs/>
              </w:rPr>
              <w:t xml:space="preserve">Устаревшая редакция</w:t>
            </w:r>
            <w:r>
              <w:t xml:space="preserve">: приложение действовало до 31.12.2025; с 01.01.2026 — в ред. пост. № 507 (поз. 47а). Сохранена для сравнения с 2025 г. [33]</w:t>
            </w:r>
          </w:p>
        </w:tc>
      </w:tr>
      <w:tr>
        <w:tc>
          <w:tcPr/>
          <w:p>
            <w:pPr>
              <w:pStyle w:val="Compact"/>
            </w:pPr>
            <w:r>
              <w:t xml:space="preserve">47а</w:t>
            </w:r>
          </w:p>
        </w:tc>
        <w:tc>
          <w:tcPr/>
          <w:p>
            <w:pPr>
              <w:pStyle w:val="Compact"/>
            </w:pPr>
            <w:r>
              <w:t xml:space="preserve">Постановление Правительства Санкт-Петербурга от 18.07.2025 № 507 «О внесении изменений в постановление Правительства Санкт-Петербурга от 29.12.2014 № 1284»</w:t>
            </w:r>
          </w:p>
        </w:tc>
        <w:tc>
          <w:tcPr/>
          <w:p>
            <w:pPr>
              <w:pStyle w:val="Compact"/>
            </w:pPr>
            <w:r>
              <w:rPr>
                <w:rStyle w:val="VerbatimChar"/>
              </w:rPr>
              <w:t xml:space="preserve">47a_spb-pp-507_18-07-2025_pravo-gov.pdf</w:t>
            </w:r>
            <w:r>
              <w:t xml:space="preserve"> </w:t>
            </w:r>
            <w:r>
              <w:t xml:space="preserve">(18 с., графический образ)</w:t>
            </w:r>
          </w:p>
        </w:tc>
        <w:tc>
          <w:tcPr/>
          <w:p>
            <w:pPr>
              <w:pStyle w:val="Compact"/>
            </w:pPr>
            <w:r>
              <w:t xml:space="preserve">Официальная публикация, номер 7800202507240011 (24.07.2025)</w:t>
            </w:r>
          </w:p>
        </w:tc>
        <w:tc>
          <w:tcPr/>
          <w:p>
            <w:pPr>
              <w:pStyle w:val="Compact"/>
            </w:pPr>
            <w:r>
              <w:t xml:space="preserve">Официальный текст действующей с 01.01.2026 редакции приложения к № 1284; нормы для взрослых — прил. Б [34]</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[74]</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[75]; приложен для сравнения с 2025 г. (сценарий 8)</w:t>
            </w:r>
          </w:p>
        </w:tc>
      </w:tr>
    </w:tbl>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2026-10-05T16:49:33Z</dcterms:created>
  <dcterms:modified xsi:type="dcterms:W3CDTF">2026-10-05T16:49:33Z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5 октября 2026 г.</vt:lpwstr>
  </property>
  <property fmtid="{D5CDD505-2E9C-101B-9397-08002B2CF9AE}" pid="3" name="subtitle">
    <vt:lpwstr>Аналитический доклад. Вторая, расширенная и переработанная редакция</vt:lpwstr>
  </property>
  <property fmtid="{D5CDD505-2E9C-101B-9397-08002B2CF9AE}" pid="4" name="toc-title">
    <vt:lpwstr>Содержание</vt:lpwstr>
  </property>
</Properties>
</file>