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Это аналитический доклад автора. Он не служит официальным толкованием законодательства и не выражает позиции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рекомендации автора, а не пересказ действующих норм.</w:t>
      </w:r>
    </w:p>
    <w:p>
      <w:pPr>
        <w:pStyle w:val="BodyText"/>
      </w:pPr>
      <w:r>
        <w:rPr>
          <w:b/>
          <w:bCs/>
        </w:rPr>
        <w:t xml:space="preserve">Отношение к первой редакции.</w:t>
      </w:r>
      <w:r>
        <w:t xml:space="preserve"> </w:t>
      </w:r>
      <w:r>
        <w:t xml:space="preserve">Доклад вырос из правового обзора «Вариативное меню: НПА» (литературная редакция 29.08.2026, данные на 16.07.2026; папка</w:t>
      </w:r>
      <w:r>
        <w:t xml:space="preserve"> </w:t>
      </w:r>
      <w:r>
        <w:rPr>
          <w:rStyle w:val="VerbatimChar"/>
        </w:rPr>
        <w:t xml:space="preserve">raw/sources/variativnoe-menu-npa-2026/</w:t>
      </w:r>
      <w:r>
        <w:t xml:space="preserve"> </w:t>
      </w:r>
      <w:r>
        <w:t xml:space="preserve">репозитория) [1]. Из обзора взяты региональный анализ и часть источников; найденные в нём ошибки исправлены и перечислены в приложении В; разделы о научных данных, зарубежных нормах, российских кейсах и практических сценариях написаны заново. Там, где новая редакция расходится с первой,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даны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принадлежит одному из четырёх классов; если класс не ясен из контекста, он назван в тексте.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указаны номерами в квадратных скобках; список помещён в конце доклада. Расчёты, помеченные словами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такому порядку питания, при котором житель стационарной организации социального обслуживания в момент еды видит перед собой не меньше двух вариантов блюда и сам влияет на то, какой получит. Речь идёт о правовых, организационных и доказательных основаниях этого порядка. Объект — дома социального обслуживания (бывшие дома-интернаты для престарелых и инвалидов) и психоневрологические интернаты России; предмет — нормы, которые решают, что, сколько и как подаётся на стол, и тот зазор, который они оставляют выбору.</w:t>
      </w:r>
    </w:p>
    <w:p>
      <w:pPr>
        <w:pStyle w:val="BodyText"/>
      </w:pPr>
      <w:r>
        <w:t xml:space="preserve">Проанализированы федеральные законы и подзаконные акты (среди них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десяти субъектов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с подробным разбором постановления Правительства Санкт-Петербурга от 29.12.2014 № 1284, практики восьми российских учреждений, описанные в открытых источниках, и сообщение министра Иркутской области, нормы и процедуры проверки десяти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называть правовой основой выбора, для взрослых закреплена лишь в методических рекомендациях 2002 г., а те ссылаются на приказ Минторга СССР 1980 г.; таблица замен санитарных правил формально стоит в разделе о питании детей. Научные данные о выборе блюд в домах ухода за пожилыми получены в основном в пилотных и наблюдательных исследованиях; они согласно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Российские учреждения сообщают о том, что выбор введён, но не о том, к чему он привёл. Практическая часть разбирает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и что его проверочный лист 2026 г. спрашивает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 только язык маркировки, не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 разные вещи</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повторяется в их жизни несколько раз в день, и это та её часть, где выбор технически возможен. Тем не менее питание в таких учреждениях устроено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и не предусмотрен. Он появляется там, где его вводит само учреждение, и исчезает вместе с тем, кто его ввёл.</w:t>
      </w:r>
    </w:p>
    <w:p>
      <w:pPr>
        <w:pStyle w:val="BodyText"/>
      </w:pPr>
      <w:r>
        <w:t xml:space="preserve">С 2024 г. в открытых источниках стали появляться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Вопрос директора прост: можно ли подавать два вторых блюда, не нарушив норм питания, санитарных правил и закупочного законодательства, и что держать в папке на случай проверки. Простого ответа нет, потому что три слоя права — социальный, санитарный и закупочный — писались независимо друг от друга и о выборе молчат все три.</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собрать, что известно о последствиях выбора из исследований и практики; предложить организационные решения, которые можно проверить,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Применены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где проверить не удалось,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это решения врача, и подменять их доклад не берётся. Сведения о практике учреждений взяты из их публичных сообщений и аудитом не являются. Стоимость питания приводится только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при их изложении это сказано.</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пяти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Полный перечень изменений — в приложении В.</w:t>
      </w:r>
    </w:p>
    <w:bookmarkEnd w:id="23"/>
    <w:bookmarkStart w:id="32"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Внутри неё живут учреждения двух типов, и для нашей темы разница между ними существенна.</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применяется ещё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[26]. Среди прав ч. 2 ст. 37 — право «исполнять религиозные обряды, соблюдать религиозные каноны, в том числе пост», если это не нарушает внутренний распорядок [26]. Это единственная найденная норма федерального закона, которая прямо касается того, что лежит у жителя на тарелке: пост для жителя ПНИ — его право, а не милость кухни.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заметный пропуск.</w:t>
      </w:r>
    </w:p>
    <w:p>
      <w:pPr>
        <w:pStyle w:val="BodyText"/>
      </w:pPr>
      <w:r>
        <w:t xml:space="preserve">Переименование ПНИ в дома социального обслуживания, к концу 2025 г. проведённое, по данным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а их уставы обновляются [21]. Сайт ДСО «Серафимовский» до прекращения работы располагался на домене pni9.ru [28]. Для ст. 43 Закона № 3185-1 важно назначение организации, а не вывеска. В ДСО, где живут люди без психиатрического диагноза, опорой остаётся 442-ФЗ. Поэтому решения раздела 7 для бывшего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Словами «вариативное меню» в отрасли называют по меньшей мере четыре разных явления. Из их смешения и вырастает большая часть споров —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а во взрослых учреждениях сложилось как привычка. Жителю оно ничего не предлагает выбрать: «четырнадцать дней без повторов» описывает меню, а не свободу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таблица замен для взрослых находится в праве, разобрано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Выбором в смысле доклада персонализация не является и подменять его не должна: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различает один вопрос: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7"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по-разному, и это расхождение нужно держать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проверять: его исполнение видно в журнале и на линии раздачи. Широкое удобно для отчёта: под него подходит почти любая перемена. Доклад пользуется узким определением и отдельно оговаривает случаи предварительного заказа. Заказ накануне (так устроена практика ДСО «Серафимовский» [21])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Start w:id="26"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собрана по определению узкого слоя [22] и разграничениям рабочей базы знаний (wiki/gaps.md) [23]. Признак проверки один — пункт 1 определения: есть ли у жителя в момент еды не менее двух реальных вариантов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Три 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(на линии или у тележки — узкое определение в чистом виде);</w:t>
      </w:r>
      <w:r>
        <w:t xml:space="preserve"> </w:t>
      </w:r>
      <w:r>
        <w:rPr>
          <w:b/>
          <w:bCs/>
        </w:rPr>
        <w:t xml:space="preserve">предварительный заказ</w:t>
      </w:r>
      <w:r>
        <w:t xml:space="preserve"> </w:t>
      </w:r>
      <w:r>
        <w:t xml:space="preserve">(накануне или на неделю — выбор при условии, что заказанное подано заказавшему и в день подачи его можно изменить);</w:t>
      </w:r>
      <w:r>
        <w:t xml:space="preserve"> </w:t>
      </w:r>
      <w:r>
        <w:rPr>
          <w:b/>
          <w:bCs/>
        </w:rPr>
        <w:t xml:space="preserve">самостоятельная комплектация</w:t>
      </w:r>
      <w:r>
        <w:t xml:space="preserve"> </w:t>
      </w:r>
      <w:r>
        <w:t xml:space="preserve">(линия самообслуживания, «шведский стол» в ежедневном режиме — М3). Предварительный заказ без права изменить решение в день подачи доклад считает выбором с отсрочкой и отдельно отмечает в отчёте (толкование).</w:t>
      </w:r>
    </w:p>
    <w:bookmarkEnd w:id="26"/>
    <w:bookmarkEnd w:id="27"/>
    <w:bookmarkStart w:id="29"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материалы семинара описывают тремя независимыми шкалами.</w:t>
      </w:r>
    </w:p>
    <w:p>
      <w:pPr>
        <w:pStyle w:val="BodyText"/>
      </w:pPr>
      <w:r>
        <w:rPr>
          <w:b/>
          <w:bCs/>
        </w:rPr>
        <w:t xml:space="preserve">Модели раздачи М0–М5</w:t>
      </w:r>
      <w:r>
        <w:t xml:space="preserve"> </w:t>
      </w:r>
      <w:r>
        <w:t xml:space="preserve">—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[22, 23].</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Шкалу моделей обзора НПА доклад приводит только в цитатах.</w:t>
      </w:r>
    </w:p>
    <w:bookmarkStart w:id="28"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Одинаковые цифры у двух лестниц — главный источник путаницы, и в отчётах она встречается чаще, чем в спорах.</w:t>
      </w:r>
      <w:r>
        <w:t xml:space="preserve"> </w:t>
      </w:r>
      <w:r>
        <w:rPr>
          <w:b/>
          <w:bCs/>
        </w:rPr>
        <w:t xml:space="preserve">М1</w:t>
      </w:r>
      <w:r>
        <w:t xml:space="preserve"> </w:t>
      </w:r>
      <w:r>
        <w:t xml:space="preserve">описывает кухню: на линии есть второй вариант одной позиции.</w:t>
      </w:r>
      <w:r>
        <w:t xml:space="preserve"> </w:t>
      </w:r>
      <w:r>
        <w:rPr>
          <w:b/>
          <w:bCs/>
        </w:rPr>
        <w:t xml:space="preserve">Ступень 1</w:t>
      </w:r>
      <w:r>
        <w:t xml:space="preserve"> </w:t>
      </w:r>
      <w:r>
        <w:t xml:space="preserve">описывает жителя: его спросили, но в тарелке то же, что у всех. Одно не выводится из другого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Правило отчёта (рекомендация): указывать обе цифры через косую черту по каждому отделению — «М1 / ступень 2 в общем отделении, М1 / ступень 0 в отделении милосердия». Одна цифра без названия лестницы в отчёте не употребляется.</w:t>
      </w:r>
    </w:p>
    <w:bookmarkEnd w:id="28"/>
    <w:bookmarkEnd w:id="29"/>
    <w:bookmarkStart w:id="30"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красноречивое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для одежды, но не для еды: питание оценивают по доброкачественности, калорийности и соответствию нормам. Запрета учитывать вкус отсюда не следует. Следует лишь, что критерий качества этого не требует, и учреждение, вводящее выбор блюд, опирается не на п. 19, а на общие права получателя (ст. 9 442-ФЗ) и на свои локальные акты (толкование).</w:t>
      </w:r>
    </w:p>
    <w:bookmarkEnd w:id="30"/>
    <w:bookmarkStart w:id="31"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нужна потому, что в сегодняшней практике одновременно работают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назвав его «действующим, но морально устаревшим»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[34].</w:t>
      </w:r>
    </w:p>
    <w:bookmarkEnd w:id="31"/>
    <w:bookmarkEnd w:id="32"/>
    <w:bookmarkStart w:id="53" w:name="федеральное-право"/>
    <w:p>
      <w:pPr>
        <w:pStyle w:val="Heading1"/>
      </w:pPr>
      <w:r>
        <w:rPr>
          <w:rStyle w:val="SectionNumber"/>
        </w:rPr>
        <w:t xml:space="preserve">2</w:t>
      </w:r>
      <w:r>
        <w:tab/>
      </w:r>
      <w:r>
        <w:t xml:space="preserve">Федеральное право</w:t>
      </w:r>
    </w:p>
    <w:bookmarkStart w:id="33"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говорит. Для темы важны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[35]. Права на два вторых блюда из них не вывести; выводится другое — ограничения в повседневной жизни жителя должны иметь основание, а не вырастать из удобства организации (толкование).</w:t>
      </w:r>
    </w:p>
    <w:p>
      <w:pPr>
        <w:pStyle w:val="BodyText"/>
      </w:pPr>
      <w:r>
        <w:t xml:space="preserve">В Конвенции ООН о правах инвалидов, ратифицированной Россией в 2012 г., к делу относятся три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[36].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[37]. Для ПНИ, где большинство жителей признаны недееспособными [4], это значит, что вопрос «может ли этот человек выбрать» надо ставить как вопрос «какая поддержка ему нужна, чтобы выбор был его», а не закрывать ссылкой на недееспособность (толкование; правовые последствия Замечания для российских судов не исследуются).</w:t>
      </w:r>
    </w:p>
    <w:bookmarkEnd w:id="33"/>
    <w:bookmarkStart w:id="34"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важны следующие положения закона [24]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К последнему положению материалы семинара дают две разные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 нормы — закон, приказ её воспроизводит. Противоречия нет; есть разная глубина ссылки.</w:t>
      </w:r>
    </w:p>
    <w:p>
      <w:pPr>
        <w:pStyle w:val="BodyText"/>
      </w:pPr>
      <w:r>
        <w:t xml:space="preserve">Для вариативного меню существеннее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[23]. В 442-ФЗ выбор возможен, но не гарантирован.</w:t>
      </w:r>
    </w:p>
    <w:bookmarkEnd w:id="34"/>
    <w:bookmarkStart w:id="35"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Со статусом приказа нужна точность: Примерный порядок — ориентир для субъектов, а не прямой регулятор учреждения. Порядок предоставления услуг утверждает субъект (ст. 8 442-ФЗ) [24].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5"/>
    <w:bookmarkStart w:id="36"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весит больше Примерного порядка: в отличие от приказа № 935н, Правила обращены прямо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себе еду; модель М5 шкалы раздачи (п. 1.4) — жители готовят сами —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[38]: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[39]. Во-вторых, выбора блюд как такового Правила не требуют; обосновывать приказом № 305н ежедневный выбор из двух вторых значило бы толковать его расширительно.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6"/>
    <w:bookmarkStart w:id="40"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7"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видно из п. 3.2, устроена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говорит. Отсюда и берётся главное законное пространство для вариантов: две каши из одной группы круп не требуют пересчёта нормы (толкование).</w:t>
      </w:r>
    </w:p>
    <w:bookmarkEnd w:id="37"/>
    <w:bookmarkStart w:id="38"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[40];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[41].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Как соотносятся два федеральных документа,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38"/>
    <w:bookmarkStart w:id="39"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[42].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9"/>
    <w:bookmarkEnd w:id="40"/>
    <w:bookmarkStart w:id="41"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по смыслу это верно, но адрес нужно уточнить.</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 норма для детских организованных коллективов, а для взрослых — допустимый ориентир, применяемый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43].</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в действующей редакции положений о замене продуктов не содержит (проверено по тексту редакции от 27.06.2022 [33]).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этой редакции, положений о взаимозаменяемости продуктов для совершеннолетних также не найдено [44–46]. Там, где региональный акт молчит, таблицу замен вводит локальный акт: например,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[47]. Это локальная форма, а не норма, но она показывает: механизм, нужный вариативному меню, во многих учреждениях уже есть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Директору отсюда следует практическое правило: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Голая ссылка «по СанПиН» во взрослом учреждении уязвима.</w:t>
      </w:r>
    </w:p>
    <w:bookmarkEnd w:id="41"/>
    <w:bookmarkStart w:id="47"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2"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(толкование по общему принципу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2"/>
    <w:bookmarkStart w:id="43"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 для доклада) [48] и по тексту СанПиН 4282-26 [3]. Изменения, внесённые в СанПиН 3590-20 постановлением от 22.08.2024 № 9, по официальному тексту не сверялись; поэтому строки ниже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Первая редакция этой таблицы, заполненная по нумерации из материалов семинара, показывала в левом столбце прочерки для бракеража, рекомендательных норм и трёх часов на раздаче. Сверка их снимает: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3"/>
    <w:bookmarkStart w:id="44"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Осталось</w:t>
      </w:r>
      <w:r>
        <w:t xml:space="preserve"> </w:t>
      </w:r>
      <w:r>
        <w:t xml:space="preserve">(норма): кратность «не менее 3-х раз в день»; диетическое (лечебное) питание «по медицинским показаниям»;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48]. Ни старый, ни новый текст не говорит о выборе, числе вариантов или меню как документе соцобслуживания.</w:t>
      </w:r>
    </w:p>
    <w:p>
      <w:pPr>
        <w:pStyle w:val="BodyText"/>
      </w:pPr>
      <w:r>
        <w:rPr>
          <w:b/>
          <w:bCs/>
        </w:rPr>
        <w:t xml:space="preserve">Изменилось</w:t>
      </w:r>
      <w:r>
        <w:t xml:space="preserve"> </w:t>
      </w:r>
      <w:r>
        <w:t xml:space="preserve">(норма): номер (п. 7.1.11 → подп. 11 п. 56); реквизиты (постановление № 32 от 27.10.2020 → постановление № 18 от 02.06.2026); срок. По постановлению № 32 СанПиН 3590-20 должен был действовать с 01.01.2021 до 01.01.2027 [48]; постановление № 18 признало его утратившим силу раньше — с 01.09.2026, без переходного периода [3].</w:t>
      </w:r>
    </w:p>
    <w:p>
      <w:pPr>
        <w:pStyle w:val="BodyText"/>
      </w:pPr>
      <w:r>
        <w:rPr>
          <w:b/>
          <w:bCs/>
        </w:rPr>
        <w:t xml:space="preserve">Риски сентября — декабря 2026 г.</w:t>
      </w:r>
      <w:r>
        <w:t xml:space="preserve"> </w:t>
      </w:r>
      <w:r>
        <w:t xml:space="preserve">(толкование). Дата 01.01.2027 кочует по документам, подготовленным до июня 2026 г., в том числе по первой редакции обзора [1]. Из неё вырастают три ошибки:</w:t>
      </w:r>
    </w:p>
    <w:p>
      <w:pPr>
        <w:pStyle w:val="Compact"/>
        <w:numPr>
          <w:ilvl w:val="0"/>
          <w:numId w:val="1005"/>
        </w:numPr>
      </w:pPr>
      <w:r>
        <w:t xml:space="preserve">Локальный акт учреждения (положение о питании, приказ о бракеражной комиссии, программа производственного контроля) ссылается на «п. 7.1.11 СанПиН 3590-20» как на действующий. Содержание требования верно, ссылка — нет. Исправляется заменой реквизитов при очередном пересмотре; переписывать журналы, заполненные до 31.08.2026, не нужно.</w:t>
      </w:r>
    </w:p>
    <w:p>
      <w:pPr>
        <w:pStyle w:val="Compact"/>
        <w:numPr>
          <w:ilvl w:val="0"/>
          <w:numId w:val="1005"/>
        </w:numPr>
      </w:pPr>
      <w:r>
        <w:t xml:space="preserve">Договор с организатором питания (аутсорсинг) называет СанПиН 3590-20 обязательным требованием к исполнителю. Если договор не содержит оговорки «или акт, его заменяющий», это предмет дополнительного соглашения; в споре о качестве ссылка на утративший силу акт ослабляет позицию заказчика.</w:t>
      </w:r>
    </w:p>
    <w:p>
      <w:pPr>
        <w:pStyle w:val="Compact"/>
        <w:numPr>
          <w:ilvl w:val="0"/>
          <w:numId w:val="1005"/>
        </w:numPr>
      </w:pPr>
      <w:r>
        <w:t xml:space="preserve">Региональные акты, в преамбуле которых названы СанПиН 3590-20 (нормы Новосибирской области в редакции № 769-НПА, нормы Красноярского края № 607-п в редакции № 74-п, п. 3.9 и следующие гл. 3), формально не теряют силы: ссылка в преамбуле не делает региональную норму недействующей. Но при проверке ответ должен опираться на подп. 11 п. 56 СанПиН 4282-26, а не на преамбулу регионального акта.</w:t>
      </w:r>
    </w:p>
    <w:p>
      <w:pPr>
        <w:pStyle w:val="FirstParagraph"/>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4"/>
    <w:bookmarkStart w:id="45"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6"/>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как бы хорош он ни был.</w:t>
      </w:r>
    </w:p>
    <w:p>
      <w:pPr>
        <w:pStyle w:val="Compact"/>
        <w:numPr>
          <w:ilvl w:val="0"/>
          <w:numId w:val="1006"/>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6"/>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6"/>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проверяет не Роспотребнадзор, а государственный контроль в сфере социального обслуживания: для организаций субъекта — Роструд, для негосударственных поставщиков — орган субъекта (п. 8.3–8.4;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5"/>
    <w:bookmarkStart w:id="46"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6"/>
    <w:bookmarkEnd w:id="47"/>
    <w:bookmarkStart w:id="48"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это сделать,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49–51].</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и формулировка точна. Правило для вариативного меню (толкование): кухня не назначает и не отменяет диету, житель с назначенной диетой выбирает внутри неё. Какие диеты и консистенции кому назначать, доклад не рассматривает —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[52]. Для социального учреждения это ориентир организации медицинской части, а не норма кухни.</w:t>
      </w:r>
    </w:p>
    <w:bookmarkEnd w:id="48"/>
    <w:bookmarkStart w:id="49"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[26]:</w:t>
      </w:r>
    </w:p>
    <w:p>
      <w:pPr>
        <w:pStyle w:val="Compact"/>
        <w:numPr>
          <w:ilvl w:val="0"/>
          <w:numId w:val="1007"/>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[23] —</w:t>
      </w:r>
      <w:r>
        <w:t xml:space="preserve"> </w:t>
      </w:r>
      <w:r>
        <w:rPr>
          <w:b/>
          <w:bCs/>
        </w:rPr>
        <w:t xml:space="preserve">толкование</w:t>
      </w:r>
      <w:r>
        <w:t xml:space="preserve">);</w:t>
      </w:r>
    </w:p>
    <w:p>
      <w:pPr>
        <w:pStyle w:val="Compact"/>
        <w:numPr>
          <w:ilvl w:val="0"/>
          <w:numId w:val="1007"/>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7"/>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касается продуктовых передач. Перечни продуктов, «запрещённых к передаче» в ПНИ, которые публикуют учреждения [53],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 не «вариативность по желанию кухни», а условие осуществления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9"/>
    <w:bookmarkStart w:id="50"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спецификация решает, окажется ли на складе второй продукт группы. Государственное бюджетное учреждение закупает по 44-ФЗ [54].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[55]. Положения 44-ФЗ распространяются на закупки автономного учреждения за счёт субсидий на капитальные вложения (ч. 4 ст. 15 44-ФЗ) [54].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[56].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[57]. Мотив суда —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223-ФЗ применим, «когда закупка осуществляется для нужд самих поименованных в данном законе юридических лиц, в том числе автономных учреждений» [57]. Ход дела по тексту постановления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[57].</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и подаёт это как «окончательную точку» в споре, называя ключевым критерием источник финансирования [58].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[57, 58]. Под тем же номером 303-ЭС25-15393 в открытой базе судебных актов найдено только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[59]; определения по существу жалобы в открытых источниках найти не удалось, и цитата из него в блоге не проверяема. Факт и дату отказа подтверждает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[60]. Обзор пересказывает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[60]. Это пересказ обозревателя, а не текст определения; попытки найти само определение в октябре 2026 г. (база судебных актов, сайт Верховного Суда, веб-архив) результата не дали.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44-ФЗ обязателен, когда учреждению поручена реализация полномочий органа власти в интересах неограниченного круга лиц [61].</w:t>
      </w:r>
    </w:p>
    <w:p>
      <w:pPr>
        <w:pStyle w:val="BodyText"/>
      </w:pPr>
      <w:r>
        <w:t xml:space="preserve">Для стационарной организации социального обслуживания это различие решает дело (толкование). Продукты для жителей закупаются, чтобы оказать социальную услугу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оно не заменяет правовой экспертизы учредителя и не опирается на определение Верховного Суда по существу жалобы, текст которого не найден; известный по вторичному пересказу итог (отказ в передаче жалобы) [60] этому толкованию не противоречит.</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[62]. Сравнение закупочных решений для вариативного меню — в п. 7.7.</w:t>
      </w:r>
    </w:p>
    <w:bookmarkEnd w:id="50"/>
    <w:bookmarkStart w:id="51"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[63]. Первая редакция обзора называет ст. 6.3 [1], доклад «Не просто накормить» — ст. 6.6 [22]. Противоречия здесь нет — это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[64].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[65];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[66]; УФАС по Челябинской области в 2025 г. — о картеле на 27 тендерах школьного питания со штрафом 5,1 млн руб. [67]. Вывод для вариативного меню узок: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51"/>
    <w:bookmarkStart w:id="52"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2"/>
    <w:bookmarkEnd w:id="53"/>
    <w:bookmarkStart w:id="74" w:name="региональные-нормы-питания"/>
    <w:p>
      <w:pPr>
        <w:pStyle w:val="Heading1"/>
      </w:pPr>
      <w:r>
        <w:rPr>
          <w:rStyle w:val="SectionNumber"/>
        </w:rPr>
        <w:t xml:space="preserve">3</w:t>
      </w:r>
      <w:r>
        <w:tab/>
      </w:r>
      <w:r>
        <w:t xml:space="preserve">Региональные нормы питания</w:t>
      </w:r>
    </w:p>
    <w:bookmarkStart w:id="54"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живёт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нашей темы главный уровень — нормы питания: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44–46, 68–70]; для остальных субъектов он взят из первой редакции. Вариативное меню в России, следовательно, везде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делали, — «чем богаче нормативный ассортимент, тем шире легальное пространство выбора» — требует поправки.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позиции сформулированы группами продуктов, а не конкретными продуктами (толкование, см. п. 2.5).</w:t>
      </w:r>
    </w:p>
    <w:bookmarkEnd w:id="54"/>
    <w:bookmarkStart w:id="60"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5"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и от 27.06.2022 № 561 [33, 71]. Постановлением № 929 приложение изложено в новой редакции с 01.01.2020 [71]; постановлением № 561 изменены, в частности, нормы по крупам и мясу (отметки «в ред. Постановления… от 27.06.2022 N 561» у соответствующих строк) [33].</w:t>
      </w:r>
    </w:p>
    <w:p>
      <w:pPr>
        <w:pStyle w:val="BodyText"/>
      </w:pPr>
      <w:r>
        <w:t xml:space="preserve">Приложение состоит из нескольких самостоятельных норм [33]:</w:t>
      </w:r>
    </w:p>
    <w:p>
      <w:pPr>
        <w:pStyle w:val="Compact"/>
        <w:numPr>
          <w:ilvl w:val="0"/>
          <w:numId w:val="1008"/>
        </w:numPr>
      </w:pPr>
      <w:r>
        <w:t xml:space="preserve">нормы питания граждан пожилого возраста и инвалидов в стационарной форме — в четырёх столбцах: учреждения, кроме ПНИ; ПНИ; лица с сахарным диабетом; лица с заболеваниями желудочно-кишечного тракта;</w:t>
      </w:r>
    </w:p>
    <w:p>
      <w:pPr>
        <w:pStyle w:val="Compact"/>
        <w:numPr>
          <w:ilvl w:val="0"/>
          <w:numId w:val="1008"/>
        </w:numPr>
      </w:pPr>
      <w:r>
        <w:t xml:space="preserve">нормы питания граждан пожилого возраста и инвалидов в ПНИ</w:t>
      </w:r>
      <w:r>
        <w:t xml:space="preserve"> </w:t>
      </w:r>
      <w:r>
        <w:rPr>
          <w:b/>
          <w:bCs/>
        </w:rPr>
        <w:t xml:space="preserve">без смеси белковой композитной сухой</w:t>
      </w:r>
      <w:r>
        <w:t xml:space="preserve"> </w:t>
      </w:r>
      <w:r>
        <w:t xml:space="preserve">— отдельная таблица;</w:t>
      </w:r>
    </w:p>
    <w:p>
      <w:pPr>
        <w:pStyle w:val="Compact"/>
        <w:numPr>
          <w:ilvl w:val="0"/>
          <w:numId w:val="1008"/>
        </w:numPr>
      </w:pPr>
      <w:r>
        <w:t xml:space="preserve">нормы питания беременных женщин и кормящих матерей;</w:t>
      </w:r>
    </w:p>
    <w:p>
      <w:pPr>
        <w:pStyle w:val="Compact"/>
        <w:numPr>
          <w:ilvl w:val="0"/>
          <w:numId w:val="1008"/>
        </w:numPr>
      </w:pPr>
      <w:r>
        <w:t xml:space="preserve">нормы питания детей первого года жизни, проживающих с матерями;</w:t>
      </w:r>
    </w:p>
    <w:p>
      <w:pPr>
        <w:pStyle w:val="Compact"/>
        <w:numPr>
          <w:ilvl w:val="0"/>
          <w:numId w:val="1008"/>
        </w:numPr>
      </w:pPr>
      <w:r>
        <w:t xml:space="preserve">нормы питания детей от 1 года до 18 лет;</w:t>
      </w:r>
    </w:p>
    <w:p>
      <w:pPr>
        <w:pStyle w:val="Compact"/>
        <w:numPr>
          <w:ilvl w:val="0"/>
          <w:numId w:val="1008"/>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FirstParagraph"/>
      </w:pPr>
      <w:r>
        <w:t xml:space="preserve">Для полустационарной формы установлена структура рациона в процентах от стационарной нормы: завтрак — 30 %, обед — 40 %, полдник — 10 %, ужин — 20 % [33].</w:t>
      </w:r>
    </w:p>
    <w:bookmarkEnd w:id="55"/>
    <w:bookmarkStart w:id="56" w:name="две-нормы-для-пни"/>
    <w:p>
      <w:pPr>
        <w:pStyle w:val="Heading3"/>
      </w:pPr>
      <w:r>
        <w:rPr>
          <w:rStyle w:val="SectionNumber"/>
        </w:rPr>
        <w:t xml:space="preserve">3.2.2</w:t>
      </w:r>
      <w:r>
        <w:tab/>
      </w:r>
      <w:r>
        <w:t xml:space="preserve">Две нормы для ПНИ</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Это верно, но неполно: в постановлении есть вторая, самостоятельная норма для ПНИ — без СБКС (таблица 2). Сравнение двух ПНИ-норм показывает, чем региональный нормотворец «заменил» 27 г белковой смеси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w:t>
            </w:r>
          </w:p>
        </w:tc>
        <w:tc>
          <w:tcPr/>
          <w:p>
            <w:pPr>
              <w:pStyle w:val="Compact"/>
            </w:pPr>
            <w:r>
              <w:t xml:space="preserve">ПНИ, табл. 1 (с СБКС 27 г)</w:t>
            </w:r>
          </w:p>
        </w:tc>
        <w:tc>
          <w:tcPr/>
          <w:p>
            <w:pPr>
              <w:pStyle w:val="Compact"/>
            </w:pPr>
            <w:r>
              <w:t xml:space="preserve">ПНИ, табл. 2 (без СБКС)</w:t>
            </w:r>
          </w:p>
        </w:tc>
        <w:tc>
          <w:tcPr/>
          <w:p>
            <w:pPr>
              <w:pStyle w:val="Compact"/>
            </w:pPr>
            <w:r>
              <w:t xml:space="preserve">Разница</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r>
      <w:tr>
        <w:tc>
          <w:tcPr/>
          <w:p>
            <w:pPr>
              <w:pStyle w:val="Compact"/>
            </w:pPr>
            <w:r>
              <w:t xml:space="preserve">Мясо (говядина, свинина)</w:t>
            </w:r>
          </w:p>
        </w:tc>
        <w:tc>
          <w:tcPr/>
          <w:p>
            <w:pPr>
              <w:pStyle w:val="Compact"/>
            </w:pPr>
            <w:r>
              <w:t xml:space="preserve">70,5</w:t>
            </w:r>
          </w:p>
        </w:tc>
        <w:tc>
          <w:tcPr/>
          <w:p>
            <w:pPr>
              <w:pStyle w:val="Compact"/>
            </w:pPr>
            <w:r>
              <w:t xml:space="preserve">85,2</w:t>
            </w:r>
          </w:p>
        </w:tc>
        <w:tc>
          <w:tcPr/>
          <w:p>
            <w:pPr>
              <w:pStyle w:val="Compact"/>
            </w:pPr>
            <w:r>
              <w:t xml:space="preserve">+14,7</w:t>
            </w:r>
          </w:p>
        </w:tc>
      </w:tr>
      <w:tr>
        <w:tc>
          <w:tcPr/>
          <w:p>
            <w:pPr>
              <w:pStyle w:val="Compact"/>
            </w:pPr>
            <w:r>
              <w:t xml:space="preserve">Птица потрошёная</w:t>
            </w:r>
          </w:p>
        </w:tc>
        <w:tc>
          <w:tcPr/>
          <w:p>
            <w:pPr>
              <w:pStyle w:val="Compact"/>
            </w:pPr>
            <w:r>
              <w:t xml:space="preserve">36,5</w:t>
            </w:r>
          </w:p>
        </w:tc>
        <w:tc>
          <w:tcPr/>
          <w:p>
            <w:pPr>
              <w:pStyle w:val="Compact"/>
            </w:pPr>
            <w:r>
              <w:t xml:space="preserve">35</w:t>
            </w:r>
          </w:p>
        </w:tc>
        <w:tc>
          <w:tcPr/>
          <w:p>
            <w:pPr>
              <w:pStyle w:val="Compact"/>
            </w:pPr>
            <w:r>
              <w:t xml:space="preserve">−1,5</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r>
    </w:tbl>
    <w:p>
      <w:pPr>
        <w:pStyle w:val="BodyText"/>
      </w:pPr>
      <w:r>
        <w:t xml:space="preserve">Постановление не указывает, в каких случаях применяется каждая из двух норм (проверено по тексту [33]). Наиболее естественное прочтение (толкование): учреждение вправе обеспечивать жителей ПНИ либо по норме с СБКС, либо по норме без неё, компенсируя белковую смесь хлебом, крупами и мясом. Для вариативного меню это прецедент: региональный акт сам содержит пару эквивалентных наборов. Выбирает между ними учреждение, а не житель, но логика «два пути к одной пищевой ценности» заложена в саму норму.</w:t>
      </w:r>
    </w:p>
    <w:bookmarkEnd w:id="56"/>
    <w:bookmarkStart w:id="57" w:name="X744872d13e97ab876f532ded5c34d5c603028b3"/>
    <w:p>
      <w:pPr>
        <w:pStyle w:val="Heading3"/>
      </w:pPr>
      <w:r>
        <w:rPr>
          <w:rStyle w:val="SectionNumber"/>
        </w:rPr>
        <w:t xml:space="preserve">3.2.3</w:t>
      </w:r>
      <w:r>
        <w:tab/>
      </w:r>
      <w:r>
        <w:t xml:space="preserve">Петербургская норма и федеральная рекомендация</w:t>
      </w:r>
    </w:p>
    <w:p>
      <w:pPr>
        <w:pStyle w:val="FirstParagraph"/>
      </w:pPr>
      <w:r>
        <w:t xml:space="preserve">Если положить общую норму Санкт-Петербурга (столбец «учреждения, кроме ПНИ») рядом с рекомендуемыми нормами приказа № 520н, видно, что петербургская норма не выведена из федеральной: она старше (принята в 2014 г., последняя редакция — от 27.06.2022; приказ № 520н издан 13.09.2022) и устроена иначе [32,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 1284, кроме ПНИ [33]</w:t>
            </w:r>
          </w:p>
        </w:tc>
        <w:tc>
          <w:tcPr/>
          <w:p>
            <w:pPr>
              <w:pStyle w:val="Compact"/>
            </w:pPr>
            <w:r>
              <w:t xml:space="preserve">СПб № 1284, ПНИ (табл. 1) [33]</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(все группы, включая зелень, солёные и консервированные)</w:t>
            </w:r>
          </w:p>
        </w:tc>
        <w:tc>
          <w:tcPr/>
          <w:p>
            <w:pPr>
              <w:pStyle w:val="Compact"/>
            </w:pPr>
            <w:r>
              <w:t xml:space="preserve">394,5¹</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 рыбопродукты</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 (3,5 шт./нед)</w:t>
            </w:r>
          </w:p>
        </w:tc>
        <w:tc>
          <w:tcPr/>
          <w:p>
            <w:pPr>
              <w:pStyle w:val="Compact"/>
            </w:pPr>
            <w:r>
              <w:t xml:space="preserve">4 шт./нед</w:t>
            </w:r>
          </w:p>
        </w:tc>
        <w:tc>
          <w:tcPr/>
          <w:p>
            <w:pPr>
              <w:pStyle w:val="Compact"/>
            </w:pPr>
            <w:r>
              <w:t xml:space="preserve">4 шт./нед</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57 + 15 = 72</w:t>
            </w:r>
          </w:p>
        </w:tc>
        <w:tc>
          <w:tcPr/>
          <w:p>
            <w:pPr>
              <w:pStyle w:val="Compact"/>
            </w:pPr>
            <w:r>
              <w:t xml:space="preserve">57 + 15 = 72</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медицинским показаниям</w:t>
            </w:r>
          </w:p>
        </w:tc>
        <w:tc>
          <w:tcPr/>
          <w:p>
            <w:pPr>
              <w:pStyle w:val="Compact"/>
            </w:pPr>
            <w:r>
              <w:t xml:space="preserve">27 — в общей норме</w:t>
            </w:r>
          </w:p>
        </w:tc>
        <w:tc>
          <w:tcPr/>
          <w:p>
            <w:pPr>
              <w:pStyle w:val="Compact"/>
            </w:pPr>
            <w:r>
              <w:t xml:space="preserve">27 — в общей норме</w:t>
            </w:r>
          </w:p>
        </w:tc>
      </w:tr>
      <w:tr>
        <w:tc>
          <w:tcPr/>
          <w:p>
            <w:pPr>
              <w:pStyle w:val="Compact"/>
            </w:pPr>
            <w:r>
              <w:t xml:space="preserve">Витаминно-минеральные комплексы</w:t>
            </w:r>
          </w:p>
        </w:tc>
        <w:tc>
          <w:tcPr/>
          <w:p>
            <w:pPr>
              <w:pStyle w:val="Compact"/>
            </w:pPr>
            <w:r>
              <w:t xml:space="preserve">50–100 % физиол. нормы — по медицинским показаниям</w:t>
            </w:r>
          </w:p>
        </w:tc>
        <w:tc>
          <w:tcPr/>
          <w:p>
            <w:pPr>
              <w:pStyle w:val="Compact"/>
            </w:pPr>
            <w:r>
              <w:t xml:space="preserve">1 драже 3 раза в неделю</w:t>
            </w:r>
          </w:p>
        </w:tc>
        <w:tc>
          <w:tcPr/>
          <w:p>
            <w:pPr>
              <w:pStyle w:val="Compact"/>
            </w:pPr>
            <w:r>
              <w:t xml:space="preserve">1 драже 3 раза в неделю</w:t>
            </w:r>
          </w:p>
        </w:tc>
      </w:tr>
    </w:tbl>
    <w:p>
      <w:pPr>
        <w:pStyle w:val="BodyText"/>
      </w:pPr>
      <w:r>
        <w:t xml:space="preserve">¹ Сумма строк приказа № 520н: овощи свежие 340 + солёные и маринованные 15 + зелень 14,8 + консервированные 24,7 (иллюстративная арифметика автора; в приказе группы приведены раздельно).</w:t>
      </w:r>
    </w:p>
    <w:p>
      <w:pPr>
        <w:pStyle w:val="BodyText"/>
      </w:pPr>
      <w:r>
        <w:t xml:space="preserve">Сопоставление даёт три наблюдения.</w:t>
      </w:r>
    </w:p>
    <w:p>
      <w:pPr>
        <w:pStyle w:val="BodyText"/>
      </w:pPr>
      <w:r>
        <w:t xml:space="preserve">Первое. По ряду позиций петербургская норма щедрее федеральной рекомендации: птица (40 против 22,2 г), творог (40 против 20 г), кисломолочные продукты (200 против 121), рыба (41,8 против 32,5), фрукты (200 против 150). По другим — скромнее: картофель (168 против 200), овощи (318 против 394,5), соки (60 против 100). Запас у выбора, построенного на петербургской норме, — именно в белковых позициях, и это облегчает пары «мясо — птица — рыба» (толкование) [32, 33].</w:t>
      </w:r>
    </w:p>
    <w:p>
      <w:pPr>
        <w:pStyle w:val="BodyText"/>
      </w:pPr>
      <w:r>
        <w:t xml:space="preserve">Второе. Специализированные продукты (СБКС и витаминно-минеральные комплексы) в Санкт-Петербурге входят в общую норму каждого проживающего, а в федеральной рекомендации — только по медицинским показаниям [32, 33]. Это решение регионального нормотворца, а не противоречие: регион вправе установить набор шире федерального. Но оно рождает практический вопрос, который решает врач, а не кухня: вводить ли смесь в блюда всем или выдавать по назначению.</w:t>
      </w:r>
    </w:p>
    <w:p>
      <w:pPr>
        <w:pStyle w:val="BodyText"/>
      </w:pPr>
      <w:r>
        <w:t xml:space="preserve">Третье. Пункты, сформулированные группами («крупы, бобовые» 80 г; «овощи свежие, овощи солёные и маринованные, овощи консервированные, зелень» 318 г; «говядина, свинина» 90 г), оставляют внутри группы свободу выбора конкретного продукта. Две каши из одной группы, два салата из одной группы овощей, котлета из говядины и тефтели из свинины — варианты, не требующие пересчёта нормы. Пары между группами (мясо — рыба, картофель — крупа) требуют таблицы замен, которой в постановлении № 1284 нет (п. 2.6) [33].</w:t>
      </w:r>
    </w:p>
    <w:bookmarkEnd w:id="57"/>
    <w:bookmarkStart w:id="58"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работают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[72]. Тарифы на социальные услуги ежегодно утверждает Комитет по социальной политике: на 2025 г. — распоряжением от 13.12.2024 № 1366-р, на 2026 г. — распоряжением от 15.12.2025 № 1155-р [73, 74].</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зеркальны нормам постановления № 1284 и разбиты по тем же категориям [73, 74].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[74]. Распоряжение опубликовано в виде графического образа; значения ниже прочитаны распознаванием текста и сверены визуально по изображению страницы.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[73]</w:t>
            </w:r>
          </w:p>
        </w:tc>
        <w:tc>
          <w:tcPr/>
          <w:p>
            <w:pPr>
              <w:pStyle w:val="Compact"/>
            </w:pPr>
            <w:r>
              <w:t xml:space="preserve">2026 г., руб. в день [74]</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в таблице важны четыре обстоятельства.</w:t>
      </w:r>
    </w:p>
    <w:p>
      <w:pPr>
        <w:pStyle w:val="BodyText"/>
      </w:pPr>
      <w:r>
        <w:t xml:space="preserve">Первая. Тариф рассчитан на норму, а не на меню; он не содержит составляющей на организацию выбора ни в 2025, ни в 2026 г. [73, 74].</w:t>
      </w:r>
    </w:p>
    <w:p>
      <w:pPr>
        <w:pStyle w:val="BodyText"/>
      </w:pPr>
      <w:r>
        <w:t xml:space="preserve">Вторая. Цена решения «27 г белковой смеси или компенсация хлебом, крупами и мясом» за год изменилась почти вдвое: разница между двумя ПНИ-тарифами составляла 90,77 руб. в день в 2025 г. и 43,21 руб. в 2026 г.; для учреждений, кроме ПНИ, в 2026 г. появилась собственная пара тарифов с разницей 41,59 руб. (иллюстративная арифметика: 571,63 − 480,86; 574,43 − 531,22; 581,33 − 539,74) [73, 74]. Сами нормы постановления № 1284 за этот период не менялись (последняя редакция — 27.06.2022 [33]). Значит, изменился расчёт стоимости набора (цены продуктов, методика подушевого норматива), а не содержание нормы; документы, по которым это можно проверить, не опубликованы.</w:t>
      </w:r>
    </w:p>
    <w:p>
      <w:pPr>
        <w:pStyle w:val="BodyText"/>
      </w:pPr>
      <w:r>
        <w:t xml:space="preserve">Третья. В 2025 г. тариф для ПНИ был выше общего (571,63 против 560,87), в 2026 г. соотношение обратное (574,43 против 581,33) [73, 74]. При том что ПНИ-норма по ряду позиций больше общей (хлеб пшеничный 200 против 100 г, картофель 268 против 168 г, творог 50 против 40 г [33]), а по другим меньше (мясо 70,5 против 90 г, фрукты 100 против 200 г), смена знака разницы при неизменных нормах может отражать изменение цен отдельных групп продуктов или методики расчёта; различить эти причины по опубликованным документам нельзя.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Четвёртая. Рост тарифа ПНИ на 0,5 % за год — ориентир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только как перераспределение внутри нормы (сценарии 1, 2 и 11 гл. 7) (толкование).</w:t>
      </w:r>
    </w:p>
    <w:bookmarkEnd w:id="58"/>
    <w:bookmarkStart w:id="59"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75].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59"/>
    <w:bookmarkEnd w:id="60"/>
    <w:bookmarkStart w:id="61"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[68].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[68].</w:t>
      </w:r>
    </w:p>
    <w:p>
      <w:pPr>
        <w:pStyle w:val="BodyText"/>
      </w:pPr>
      <w:r>
        <w:t xml:space="preserve">Для нашей темы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[68]. Это единственная найденная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важна дважды: подтверждает, что исходная модель регионального нормотворца — цикличное меню, и даёт законную опору недельному контролю, без которого выбор между блюдами разной калорийности не учесть (толкование). Формулировка касается калорийности по приёмам пищи, а не групп продуктов, поэтому вопрос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[76]. Текст приказа № 1068 найден в выгрузке справочной системы, сохранённой 03.05.2015 [77].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 это графа психоневрологических организаций [77]. Приказ № 228 издан тем же ведомством (Департамент социальной защиты населения, ныне Департамент труда и социальной защиты населения), то есть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[68].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а официальной отметки о статусе приказа № 1068 найти не удалось; есть ли в приказе № 228 отдельная графа для психоневрологических организаций, по открытой части текста не видно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у этой характеристики в обзоре нет, и вторая редакция не повторяет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этой редакции результата не дал.</w:t>
      </w:r>
    </w:p>
    <w:bookmarkEnd w:id="61"/>
    <w:bookmarkStart w:id="62"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[43].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2"/>
    <w:bookmarkStart w:id="63"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[78].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[69].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[69]. Положений о выборе блюд и о замене продуктов текст не содержит (проверено по тексту); брутто приводится только в наборах для детей, с пояснением, что масса брутто рассчитана на норму отходов 25 % [69].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Нашёлся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[47]. Он подробно описывает, как устроено единое меню в типичном доме-интернате, — ту исходную точку, от которой отсчитывается любой выбор:</w:t>
      </w:r>
    </w:p>
    <w:p>
      <w:pPr>
        <w:pStyle w:val="Compact"/>
        <w:numPr>
          <w:ilvl w:val="0"/>
          <w:numId w:val="1009"/>
        </w:numPr>
      </w:pPr>
      <w:r>
        <w:t xml:space="preserve">сводное 14-дневное меню и картотека блюд утверждаются директором на основе среднесуточного набора продуктов; замена продуктов при их отсутствии — по таблицам взаимозаменяемости и замены по белкам и углеводам, утверждённым самим положением [47];</w:t>
      </w:r>
    </w:p>
    <w:p>
      <w:pPr>
        <w:pStyle w:val="Compact"/>
        <w:numPr>
          <w:ilvl w:val="0"/>
          <w:numId w:val="1009"/>
        </w:numPr>
      </w:pPr>
      <w:r>
        <w:t xml:space="preserve">ответственный за организацию питания — медицинская диетическая сестра; суточный расход продуктов ведётся «строго в соответствии со среднесуточными наборами» [47];</w:t>
      </w:r>
    </w:p>
    <w:p>
      <w:pPr>
        <w:pStyle w:val="Compact"/>
        <w:numPr>
          <w:ilvl w:val="0"/>
          <w:numId w:val="1009"/>
        </w:numPr>
      </w:pPr>
      <w:r>
        <w:t xml:space="preserve">документальная цепочка: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[47];</w:t>
      </w:r>
    </w:p>
    <w:p>
      <w:pPr>
        <w:pStyle w:val="Compact"/>
        <w:numPr>
          <w:ilvl w:val="0"/>
          <w:numId w:val="1009"/>
        </w:numPr>
      </w:pPr>
      <w:r>
        <w:t xml:space="preserve">режим: четырёхразовое питание и второй ужин, по две смены на каждый приём пищи (завтрак 8:30 и 9:00, обед 12:30 и 13:00, полдник 15:00 и 15:30, ужин 18:00 и 18:30, второй ужин 20:00) [47];</w:t>
      </w:r>
    </w:p>
    <w:p>
      <w:pPr>
        <w:pStyle w:val="Compact"/>
        <w:numPr>
          <w:ilvl w:val="0"/>
          <w:numId w:val="1009"/>
        </w:numPr>
      </w:pPr>
      <w:r>
        <w:t xml:space="preserve">контроль: проверка готовой пищи директором раз в месяц и ежедневно старшей и диетической сёстрами; порционные блюда взвешиваются по 10 порций, допустимое отклонение средней массы — не более 3 %; суточная проба — «от каждой партии приготовленных блюд», отдельно каждое блюдо, 48 часов при +2…+6 °C; раздача — не позднее двух часов после приготовления [47].</w:t>
      </w:r>
    </w:p>
    <w:p>
      <w:pPr>
        <w:pStyle w:val="FirstParagraph"/>
      </w:pPr>
      <w:r>
        <w:t xml:space="preserve">Второе опубликованное положение того же ведомства — ГБУ «Чкаловский дом-интернат для престарелых и инвалидов» — устроено так же: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[79]. О выборе блюд жителем в нём ничего нет.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в учреждении с такой документальной цепочкой выбор меняет не одну бумагу, а все звенья сразу. Порционник должен считать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 самостоятельная партия). Сценарий 13 гл. 7 разбирает эту цепочку как пакет документов.</w:t>
      </w:r>
    </w:p>
    <w:bookmarkEnd w:id="63"/>
    <w:bookmarkStart w:id="64"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[80].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[53]. Опубликованные меню и правила нужны вариативному меню в любом регионе: житель и семья должны знать, из чего выбирают.</w:t>
      </w:r>
    </w:p>
    <w:bookmarkEnd w:id="64"/>
    <w:bookmarkStart w:id="65"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[81].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показывает общую закономерность: диетологическую логику региональные нормы берут из здравоохранения.</w:t>
      </w:r>
    </w:p>
    <w:bookmarkEnd w:id="65"/>
    <w:bookmarkStart w:id="66"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норму стоит прочитать внимательно.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[46].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[46].</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[46]. СБКС (27 г) включена в нормы этих типов учреждений со сноской «по медицинским показаниям»; витаминно-минеральные комплексы — 50–100 % физиологической нормы [46]. Тем самым новосибирская норма воспроизводит федеральную конструкцию № 520н (смесь — по показаниям), а не петербургскую (смесь — в общей норме).</w:t>
      </w:r>
    </w:p>
    <w:p>
      <w:pPr>
        <w:pStyle w:val="BodyText"/>
      </w:pPr>
      <w:r>
        <w:t xml:space="preserve">Показательно: в регионе с самой развитой практикой выбора норма ни словом не упоминает ни выбор, ни варианты блюд, ни замену продуктов (проверено по тексту [46]). Новосибирские учреждения строили вариативное питание на той же нормативной основе, что и все остальные (толкование).</w:t>
      </w:r>
    </w:p>
    <w:bookmarkEnd w:id="66"/>
    <w:bookmarkStart w:id="67"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и двумя постановлениями 2021 г.) воспроизведён на сайте одного из краевых учреждений [44].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[44].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[44].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менялся ещё дважды [82]. Постановление от 06.02.2024 № 74-п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[82].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[82]. Официальные тексты обеих поправок на Официальном интернет-портале правовой информации отвечают на вопрос, меняли ли они граммы [82]. Постановление № 74-п граммов не касается. Постановление № 892-п, кроме наименований разделов 1, 2, 3, 5, 6, 7 и 10, меняет одно число — в таблице раздела 3 (нормы для детей) в графе 5 строки 34 «5» заменено на «3». Таблицы разделов 1 и 2 (нормы для взрослых) ни одна из поправок не затрагивает. Поэтому числа раздела 1 выше, данные по редакции 2021 г. и совпадающие с публичной редакцией 2016 г., действуют и в 2026 г., если после 892-п не было других изменений [44, 82].</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на пищеблоке четыре повара и четыре официанта, меню на день вывешивается на стенде у входа в столовую [44]. Так учреждение само раскрывает минимум сведений о питании; о выборе блюд в них ничего нет.</w:t>
      </w:r>
    </w:p>
    <w:bookmarkEnd w:id="67"/>
    <w:bookmarkStart w:id="68"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[45, 83]. Официальный текст приказа № 04-81 меняет три вещи: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Приложение 3 — нормы совершеннолетних, о которых идёт речь ниже, — приказ № 04-81 не затрагивает [83]. Расхождение реквизитов вынесено в гл. 9 (противоречие 31).</w:t>
      </w:r>
    </w:p>
    <w:p>
      <w:pPr>
        <w:pStyle w:val="BodyText"/>
      </w:pPr>
      <w:r>
        <w:t xml:space="preserve">Ленинградская норма даёт каждую позицию одновременно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[45]. СБКС (27 г) и витаминно-минеральные комплексы (50–100 %) включены в норму стационарного обслуживания без оговорки о медицинских показаниях [45]. Значения нетто почти совпадают с приказом № 520н (говядина 90, птица 22,2, рыба 32,5, творог 20, кисломолочные 121 г), хотя ленинградский приказ издан раньше, 30.12.2021, а № 520н — 13.09.2022 [32, 45]. Вероятное объяснение — общий источник обоих актов в более ранней федеральной рекомендации; это предположение, текст предшествующего федерального акта для доклада не сверялся.</w:t>
      </w:r>
    </w:p>
    <w:bookmarkEnd w:id="68"/>
    <w:bookmarkStart w:id="69"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была прочитана редакция постановления от 06.09.2014 № 327-п [70]. В ней нормы для совершеннолетних даны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[70]. После 2014 г. постановление № 306-п изменялось постановлениями от 27.03.2015 № 85-п, 30.12.2016 № 569-п, 09.06.2017 № 231-п, 01.10.2021 № 406-п и 12.08.2024 № 306-п [84]. Приложение 1 (нормы в стационарной форме) затронуто только изменениями от 06.09.2014 и 09.06.2017: постановлением № 231-п оно изложено в новой редакции, которая действует и сейчас [84].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[84]. Строки СБКС и витаминно-минеральных комплексов в приложении есть, но их значения в публичной версии справочной системы не отображаются; значения 27 г и 50–100 % выше подтверждены только для редакции 2014 г. [70, 84].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[45, 84]. То,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Отличие — фрукты: 200 г в ХМАО против 150 г в Ленинградской области и в № 520н [32, 45, 70].</w:t>
      </w:r>
    </w:p>
    <w:bookmarkEnd w:id="69"/>
    <w:bookmarkStart w:id="70"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два (Санкт-Петербург, Нижегородская область) — в нетто, два (Ленинградская область, ХМАО — Югра в действующей редакции 2017 г.) — в обеих величинах [33, 44–46, 69, 84]. Московский приказ № 1068 выражен в брутто [77], но его действие после принятия приказа № 228 не установлено, и в этот подсчёт он не входит. Прямое сопоставление «говядина 110 г в Новосибирской области против 90 г по № 520н» ошибочно: первая цифра — масса закладки до очистки и обвалки, вторая — масса после. Ленинградская норма даёт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Коэффициент нетто/брутто по ЛО [45]</w:t>
            </w:r>
          </w:p>
        </w:tc>
        <w:tc>
          <w:tcPr/>
          <w:p>
            <w:pPr>
              <w:pStyle w:val="Compact"/>
            </w:pPr>
            <w:r>
              <w:t xml:space="preserve">НСО, брутто [46]</w:t>
            </w:r>
          </w:p>
        </w:tc>
        <w:tc>
          <w:tcPr/>
          <w:p>
            <w:pPr>
              <w:pStyle w:val="Compact"/>
            </w:pPr>
            <w:r>
              <w:t xml:space="preserve">НСО, ≈ нетто</w:t>
            </w:r>
          </w:p>
        </w:tc>
        <w:tc>
          <w:tcPr/>
          <w:p>
            <w:pPr>
              <w:pStyle w:val="Compact"/>
            </w:pPr>
            <w:r>
              <w:t xml:space="preserve">Красноярский край, брутто [44]</w:t>
            </w:r>
          </w:p>
        </w:tc>
        <w:tc>
          <w:tcPr/>
          <w:p>
            <w:pPr>
              <w:pStyle w:val="Compact"/>
            </w:pPr>
            <w:r>
              <w:t xml:space="preserve">Красноярский край, ≈ нетто</w:t>
            </w:r>
          </w:p>
        </w:tc>
        <w:tc>
          <w:tcPr/>
          <w:p>
            <w:pPr>
              <w:pStyle w:val="Compact"/>
            </w:pPr>
            <w:r>
              <w:t xml:space="preserve">СПб, кроме ПНИ, нетто [33]</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r>
    </w:tbl>
    <w:p>
      <w:pPr>
        <w:pStyle w:val="BodyText"/>
      </w:pPr>
      <w:r>
        <w:t xml:space="preserve">¹ В Санкт-Петербурге — все группы овощей вместе (п. 3.2.3).</w:t>
      </w:r>
    </w:p>
    <w:p>
      <w:pPr>
        <w:pStyle w:val="BodyText"/>
      </w:pPr>
      <w:r>
        <w:t xml:space="preserve">Пересчёт — иллюстративная арифметика автора: коэффициенты ленинградского приказа зависят от вида сырья и способа обработки, и другой нормотворец мог закладывать другие. С этой оговоркой таблица даёт три наблюдения. Во-первых, красноярская норма после пересчёта почти совпадает с петербургской по рыбе (41,8 г), птице (40 г), картофелю (≈167 и 168 г), творогу и кисломолочным продуктам, но существенно уступает ей по мясу (≈56 против 90 г). Во-вторых, новосибирская норма после пересчёта близка к № 520н по рыбе, картофелю и молочным продуктам, по мясу ниже (≈78 против 90 г), по птице выше. В-третьих, «запас в белковых позициях», который облегчает пары «мясо — птица — рыба» (п. 3.2.3), в разных регионах распределён по-разному: в Красноярском крае он в рыбе и птице, в Санкт-Петербурге — в птице, рыбе и твороге, в Новосибирской области — в птице. Учреждению, которое переносит чужой опыт выбора, отсюда простой совет: проверять пары по своей региональной норме и в тех же единицах (брутто или нетто), в которых она выражена.</w:t>
      </w:r>
    </w:p>
    <w:bookmarkEnd w:id="70"/>
    <w:bookmarkStart w:id="71"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85]. Это учреждение здравоохранения, и его цифры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1"/>
    <w:bookmarkStart w:id="72"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(ред. № 561 от 27.06.2022)</w:t>
            </w:r>
          </w:p>
        </w:tc>
        <w:tc>
          <w:tcPr/>
          <w:p>
            <w:pPr>
              <w:pStyle w:val="Compact"/>
            </w:pPr>
            <w:r>
              <w:t xml:space="preserve">Нетто</w:t>
            </w:r>
          </w:p>
        </w:tc>
        <w:tc>
          <w:tcPr/>
          <w:p>
            <w:pPr>
              <w:pStyle w:val="Compact"/>
            </w:pPr>
            <w:r>
              <w:t xml:space="preserve">По типу учреждения и состоянию здоровья; две нормы для ПНИ</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[68]</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[47]</w:t>
            </w:r>
          </w:p>
        </w:tc>
        <w:tc>
          <w:tcPr/>
          <w:p>
            <w:pPr>
              <w:pStyle w:val="Compact"/>
            </w:pPr>
            <w:r>
              <w:t xml:space="preserve">Нормы в ред. № 617 проверены по тексту [69];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[46]</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[44]; официальные тексты изменений 2024–2025 гг. прочитаны: граммы взрослых норм не менялись [82]</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[45, 83]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[70, 84]</w:t>
            </w:r>
          </w:p>
        </w:tc>
      </w:tr>
    </w:tbl>
    <w:bookmarkEnd w:id="72"/>
    <w:bookmarkStart w:id="73"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и на практике его занимает привычка: одно меню на всех, потому что так проще считать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соответствует норме по каждой группе. Второе: варианты внутри группы продуктов норму не затрагивают, а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которая разрешала бы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[68].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нужен собственный порядок учёта замен.</w:t>
      </w:r>
    </w:p>
    <w:p>
      <w:pPr>
        <w:pStyle w:val="BodyText"/>
      </w:pPr>
      <w:r>
        <w:t xml:space="preserve">Четвёртое условие следует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сравнимую по величине с самим эффектом замены (иллюстративная оценка по коэффициентам ленинградского приказа: для мяса 0,705, для рыбы 0,550 [45]).</w:t>
      </w:r>
    </w:p>
    <w:bookmarkEnd w:id="73"/>
    <w:bookmarkEnd w:id="74"/>
    <w:bookmarkStart w:id="86"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5"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прочитано в два слоя: что источник говорит и о чём молчит. Новость учреждения или органа власти удостоверяет только то, что так было сказано на дату публикации; проверкой она не является. Ни к одному из кейсов ниже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она уточняет и первую редакцию, и рабочую базу знаний проекта [23].</w:t>
      </w:r>
    </w:p>
    <w:p>
      <w:pPr>
        <w:pStyle w:val="BodyText"/>
      </w:pPr>
      <w:r>
        <w:t xml:space="preserve">Место каждого кейса на шкале раздачи (М0–М5, п. 1.4) определено автором по тексту сообщений; это толкование.</w:t>
      </w:r>
    </w:p>
    <w:bookmarkEnd w:id="75"/>
    <w:bookmarkStart w:id="76"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через два года практика жива.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 первый документированный российский кейс [1, 23]. Точнее — первый кейс, вошедший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Болотнинский ПНИ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6"/>
    <w:bookmarkStart w:id="77"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трудно будет подойти к линии раздачи и выбрать блюдо; опасения не оправдались. Заодно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но его текст от 20.06.2025 с пометкой «Источник: Правительство Новосибирской области» перепечатан региональной лентой новостей [12]. По нему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среди основных особенностей названы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против падений, температура горячей пищи против ожогов,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найденное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салат из 5–6 ингредиентов, из которых житель берёт 2–3 в своих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Сведений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Как измеряли сокращение времени приёма пищи (что считали началом и концом, для скольких смен), не сказано; это остаётся утверждением учреждения. Стоимость названа только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друг другу не противоречат, если дату называть.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названы одновременно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как норматив нельзя, но порядок величин для сценария 14 гл. 7 они задают: самообслуживание может сокращать раздачу, а не удлинять её, если жители способны подойти к линии. Для тех, кто к линии не подходит, вопрос открыт (п. 7.16).</w:t>
      </w:r>
    </w:p>
    <w:bookmarkEnd w:id="77"/>
    <w:bookmarkStart w:id="78"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Лучший аппетит — слова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близость дат публикаций (13, 16 и 19 августа 2024 г.) наводит на мысль об общем региональном импульсе, но документа регионального органа, который бы это подтверждал, найти не удалось [5, 7, 9]. Сообщение министерства 2025 г. о шведском столе в Успенском ПНИ [12] относится к следующему этапу и о 2024 г. не говорит.</w:t>
      </w:r>
    </w:p>
    <w:bookmarkEnd w:id="78"/>
    <w:bookmarkStart w:id="79"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[13]:</w:t>
      </w:r>
    </w:p>
    <w:p>
      <w:pPr>
        <w:pStyle w:val="Compact"/>
        <w:numPr>
          <w:ilvl w:val="0"/>
          <w:numId w:val="1010"/>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10"/>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10"/>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10"/>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Только здесь из найденных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«цикличного 14-дневного меню» и «права выбора в обед» наглядно показывает: цикличность и вариативность — разные свойства одного меню (п. 1.2). Совет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79"/>
    <w:bookmarkStart w:id="80"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найдено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 он держится только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о числе блюд на выбор в нём ничего нет. Повторный поиск оригинала сообщения министерства от 14.02.2025 в октябре 2026 г. (поисковые системы, веб-архив — с бокса недоступен, агрегатор — закрыт защитой от автоматического доступа) результата не дал;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говорят.</w:t>
      </w:r>
    </w:p>
    <w:p>
      <w:pPr>
        <w:pStyle w:val="BodyText"/>
      </w:pPr>
      <w:r>
        <w:rPr>
          <w:b/>
          <w:bCs/>
        </w:rPr>
        <w:t xml:space="preserve">Чего источники не сообщают.</w:t>
      </w:r>
      <w:r>
        <w:t xml:space="preserve"> </w:t>
      </w:r>
      <w:r>
        <w:t xml:space="preserve">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только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0"/>
    <w:bookmarkStart w:id="81"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показывает, что к 2026 г. практика вышла за стены отдельных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[17].</w:t>
      </w:r>
    </w:p>
    <w:bookmarkEnd w:id="81"/>
    <w:bookmarkStart w:id="82"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в которых закреплено заказное питание (вариативное меню), в том числе для маломобильных жителей с приёмом пищи в жилых комнатах [28]. Сайт учреждения прекратил работу; правила доступны в веб-архиве (копия от 15.04.2026). По данным архивной копии сайта (февраль 2026 г.), учреждение обслуживало 1 004 человека, питание шестиразовое, с поздним вторым ужином [23, 28].</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[86] (конфликт интересов раскрыт выше). Закупочный след виден по карточкам агрегатора закупок: учреждение закупает по 223-ФЗ «оказание услуг по организации питания» — конкурс с начальной ценой 92 110 941,90 руб. на август — декабрь 2026 г. (извещение № 32616197209) и закупка у единственного поставщика на 591 326,10 руб. от 02.07.2026 (извещение № 32616171821); среди приложенных файлов значатся цикличные меню по основному варианту стандартной диеты и индивидуальному питанию [87]. Тексты извещений, технического задания и договора доклад не читал (Единая информационная система с бокса недоступна), поэтому условия договора о вариантах блюд и заказе накануне</w:t>
      </w:r>
      <w:r>
        <w:t xml:space="preserve"> </w:t>
      </w:r>
      <w:r>
        <w:rPr>
          <w:b/>
          <w:bCs/>
        </w:rPr>
        <w:t xml:space="preserve">не проверены</w:t>
      </w:r>
      <w:r>
        <w:t xml:space="preserve">: записан ли выбор в техническом задании или обеспечивается иначе, доклад не утверждает. Доли жителей, меню-пары и условия договора здесь не приводятся.</w:t>
      </w:r>
    </w:p>
    <w:p>
      <w:pPr>
        <w:pStyle w:val="BodyText"/>
      </w:pPr>
      <w:r>
        <w:t xml:space="preserve">Так ДСО «Серафимовский» становится единственным найденным российским кейсом вариативного меню (заказ накануне, М1) при аутсорсинге питания. Оговорка двойная: кейс — учреждение самого автора, и подтверждён он словами автора и вторичными карточками закупок, а не опубликованными условиями договора.</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 текстов технического задания и договора с организатором питания, в том числе условий о вариантах блюд.</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уделом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он показывает, что учреждение может закрепить вариативное питание в правилах внутреннего распорядка, но нормой ни для других учреждений, ни для проверяющего не служит.</w:t>
      </w:r>
    </w:p>
    <w:p>
      <w:pPr>
        <w:pStyle w:val="BodyText"/>
      </w:pPr>
      <w:r>
        <w:t xml:space="preserve">В сообщении Комитета две оценки, которые часто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здесь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[88].</w:t>
      </w:r>
    </w:p>
    <w:bookmarkEnd w:id="82"/>
    <w:bookmarkStart w:id="83"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3"/>
    <w:bookmarkStart w:id="84"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[86]</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4"/>
    <w:bookmarkStart w:id="85"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В сообщениях разных учреждений повторяются четыре элемента.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Честный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Кейс вариативного меню при аутсорсинге питания найден один — ДСО «Серафимовский», учреждение автора доклада: аутсорсинг подтверждён автором [86] и карточками закупок по 223-ФЗ [87], но условия договора о выборе не проверены.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 проектные решения, которые российская практика пока не подтверждает опубликованными договорами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нельзя ни подтвердить, ни опровергнуть.</w:t>
      </w:r>
    </w:p>
    <w:bookmarkEnd w:id="85"/>
    <w:bookmarkEnd w:id="86"/>
    <w:bookmarkStart w:id="102" w:name="научные-данные"/>
    <w:p>
      <w:pPr>
        <w:pStyle w:val="Heading1"/>
      </w:pPr>
      <w:r>
        <w:rPr>
          <w:rStyle w:val="SectionNumber"/>
        </w:rPr>
        <w:t xml:space="preserve">5</w:t>
      </w:r>
      <w:r>
        <w:tab/>
      </w:r>
      <w:r>
        <w:t xml:space="preserve">Научные данные</w:t>
      </w:r>
    </w:p>
    <w:bookmarkStart w:id="87"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ведут в основном двумя доводами: «выбор улучшает качество жизни» и «выбор ухудшит питание, потому что жители предпочтут вкусное вредное полезному». Оба довода эмпирические, и оба можно проверить.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вошли только работы, библиографические данные и основные числа которых сверены по аннотации или полному тексту.</w:t>
      </w:r>
    </w:p>
    <w:bookmarkEnd w:id="87"/>
    <w:bookmarkStart w:id="88"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Самая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[89].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[41]. Ограничения велики: одно учреждение, средний возраст 64,7 года, нет контрольной группы, и «улучшение у 73,5 %» нельзя приписать конкретному вмешательству. Для нашей темы ценна цифра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[52].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88"/>
    <w:bookmarkStart w:id="89"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Самая известная работа о выборе в институциональном питании — исследование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[90]. Две цифры из этой работы часто цитируют без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вторая относится к способу раздачи, а не к выбору [90]. Выборка удобная, данные собраны в 2003–2004 гг. Это одна из немногих работ, где самостоятельным фактором выделено время выбора, а не только число вариантов; отсюда довод в пользу того, чтобы различать на шкале раздачи М1 (выбор накануне) и М2 (выбор в момент еды).</w:t>
      </w:r>
    </w:p>
    <w:p>
      <w:pPr>
        <w:pStyle w:val="BodyText"/>
      </w:pPr>
      <w:r>
        <w:t xml:space="preserve">Abbey, Wright и Capra (2015) описали, как выбор на деле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у жителей на протёртой пище; меню редко планировали с расчётом на альтернативы. Авторы предложили усилить регулирование и мониторинг выбора в рамках национальных стандартов аккредитации [91]. Вывод прямо касается российских ПНИ и домов-интернатов: два блюда на линии раздачи ещё не значат,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[88].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[92].</w:t>
      </w:r>
    </w:p>
    <w:p>
      <w:pPr>
        <w:pStyle w:val="BodyText"/>
      </w:pPr>
      <w:r>
        <w:t xml:space="preserve">Для российского спора эти данные важны дважды. Во-первых, они не подтверждают опасения, что выбор неизбежно портит состав потребления: в исследовании съеденные блюда из нового меню содержали чуть больше белковых продуктов и овощей. Во-вторых, они называют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надо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[93]. Больничный контекст отличается от учреждения долговременного проживания (короткое пребывание, другой состав пациентов), поэтому результат приведён как аналогия, а не как доказательство для ДСО и ПНИ.</w:t>
      </w:r>
    </w:p>
    <w:bookmarkEnd w:id="89"/>
    <w:bookmarkStart w:id="90"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случается, даже когда его хотят». Три работы разных лет и стран описывают барьеры сходно.</w:t>
      </w:r>
    </w:p>
    <w:p>
      <w:pPr>
        <w:pStyle w:val="BodyText"/>
      </w:pPr>
      <w:r>
        <w:t xml:space="preserve">Wang и соавт. (2020) провели углублённые интервью с семью жителями и семью сотрудниками двух австралийских учреждений; анализ строился на теории самодетерминации. Выделены три темы: «питание на массу» (catering for the masses), организационные барьеры для выбора и влияние еды на благополучие [94]. Авторы называют недостаточный выбор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хотели сами принимать решения; их рассказы о еде в учреждении были противоречивыми,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[95].</w:t>
      </w:r>
    </w:p>
    <w:p>
      <w:pPr>
        <w:pStyle w:val="BodyText"/>
      </w:pPr>
      <w:r>
        <w:t xml:space="preserve">Mondkar и соавт. (2025) опросили 17 человек (жители, руководители, сотрудники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старался их поддерживать «где возможно» [96]. Но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[96]. Здесь прямо назван механизм неравенства, который вариативное меню может не устранить, а закрепить: выбор, построенный на вопросе «что вы хотите?», достаётся тем, кто способен ответить и настоять (толкование; ср. п. 7.16).</w:t>
      </w:r>
    </w:p>
    <w:p>
      <w:pPr>
        <w:pStyle w:val="BodyText"/>
      </w:pPr>
      <w:r>
        <w:t xml:space="preserve">Для российского учреждения эти работы ценны как список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что меняется, если у жителя нет денег и родственников.</w:t>
      </w:r>
    </w:p>
    <w:bookmarkEnd w:id="90"/>
    <w:bookmarkStart w:id="91"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 это М4 по шкале раздачи, и исследование показывает эффект целого комплекса перемен, а не одного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[97].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[98].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дешёвых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больший выбор блюд, удлинённые часы работы «ресторана», доступные закуски и автоматы с напитками — в трёх домах, при трёх контрольных [99].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[99]. Авторы признают, что рутинные данные удалось использовать лишь частично, а потери наблюдения и пропуски были велики. Работа поучительна как пример: учреждение может оценивать изменение питания по данным, которые оно и так собирает (падения, масса тела, обращения), но без строгого дизайна и при малой выборке такой анализ даёт лишь направление, а не доказательство.</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[100].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[101]. Общий итог: перемены в организации питания, включающие выбор, скорее улучшают удовлетворённость и потребление, чем ухудшают, но эффект на пищевой статус невелик и плохо измерен.</w:t>
      </w:r>
    </w:p>
    <w:bookmarkEnd w:id="91"/>
    <w:bookmarkStart w:id="92"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Самые крупные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[102]. Более высокие шансы быть удовлетворённым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[102]. Обстановка приёма пищи в этом исследовании измерялась вместе с другими элементами среды, поэтому вклад именно питания не выделяется; дизайн ретроспективный и наблюдательный. И всё же это первое из найденных национальных исследований, где среда приёма пищи вошла в число изменяемых факторов, связанных с достоинством жителя, — в одну модель с отношением персонала.</w:t>
      </w:r>
    </w:p>
    <w:p>
      <w:pPr>
        <w:pStyle w:val="BodyText"/>
      </w:pPr>
      <w:r>
        <w:t xml:space="preserve">Вывод для доклада ограниченный, но существенный (толкование): довод «выбор — вопрос достоинства», которым обосновывают вариативное меню, имеет эмпирическую опору на популяционном уровне, но опора касается среды приёма пищи в целом, а не числа вариантов блюд.</w:t>
      </w:r>
    </w:p>
    <w:bookmarkEnd w:id="92"/>
    <w:bookmarkStart w:id="93"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[103].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[104].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[105]. Оба исследования заключают: ответ на риск нездорового выбора —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93"/>
    <w:bookmarkStart w:id="94"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в них важны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[106].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[107].</w:t>
      </w:r>
    </w:p>
    <w:p>
      <w:pPr>
        <w:pStyle w:val="BodyText"/>
      </w:pPr>
      <w:r>
        <w:t xml:space="preserve">Юридически это рекомендации профессионального общества для клиницистов, а не нормы; в российском праве они не действуют. Ценны они тем, что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4"/>
    <w:bookmarkStart w:id="95"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[108]. Для сравнения обзор приводит больничные данные: по нарративному обзору Williams и Walton (2011), медиана отходов с тарелки в 32 исследованиях составила 30 % [109];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[108].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 не только для оценки меню, но и для расчёта фактически съеденного. Японское исследование CLEVER (Nishida и соавт., 2020) проверило этот расчёт на 46 жителях учреждений долговременного ухода, сравнив потребление энергии, вычисленное по рецептурам и отходам с тарелки за 14–15 дней, с потреблением, определённым методом дважды меченой воды [110].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[110]. Вывод авторов: потеря массы возможна, даже если расчёт по меню и отходам показывает положительный баланс. Для доклада отсюда двойное предупреждение: выполнение норм по раскладке не гарантирует, что житель съел положенное, а снижение отходов после введения выбора — ещё не доказательство роста потребления (толкование).</w:t>
      </w:r>
    </w:p>
    <w:p>
      <w:pPr>
        <w:pStyle w:val="BodyText"/>
      </w:pPr>
      <w:r>
        <w:t xml:space="preserve">Отходы с тарелки — самый доступный российскому учреждению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95"/>
    <w:bookmarkStart w:id="96"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[111]. Число дано как контекст, а не как оценка для России: публично долю таких жителей в российском ПНИ или доме-интернате никто не измерял. Вместе с работой Abbey и соавт. [91]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96"/>
    <w:bookmarkStart w:id="97"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[112].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[113]. Связь наблюдательная и причинности не доказывает, но согласуется с мыслью,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[114].</w:t>
      </w:r>
    </w:p>
    <w:bookmarkEnd w:id="97"/>
    <w:bookmarkStart w:id="98"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много жителей не едят самостоятельно, судьба вариативного меню решается персоналом. Самые подробные данные о нужном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[115]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[116]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[117]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[118]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Для российского учреждения из этих работ следуют три наблюдения. Первое: жителю, которому нужна только словесная подсказка и присутствие сотрудника, требовалось столько же времени (35–40 минут на приём пищи), сколько физически зависимому [117]; авторы заключают, что американская система оплаты ухода, учитывающая главным образом физическую зависимость, недооценивает это время. Второе: разрыв между временем, которое реально тратилось (5–9 минут), и временем, которое давало эффект (35–42 минуты), составлял четыре-восемь раз [115, 116, 118]. Третье: перекус между приёмами пищи с выбором требовал втрое-вчетверо меньше времени, чем помощь во время еды, и помогал почти половине тех, кому не помогла помощь во время еды [116, 118]; авторы считают его более осуществимым в повседневной практике.</w:t>
      </w:r>
    </w:p>
    <w:p>
      <w:pPr>
        <w:pStyle w:val="BodyText"/>
      </w:pPr>
      <w:r>
        <w:t xml:space="preserve">Перенос на российские условия ограничен (толкование): другие штатные нормативы, другой состав жителей, исследования проведены 18–25 лет назад. Но порядок величин помогает проверить реализм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а уже потом — на выбор (п. 7.15).</w:t>
      </w:r>
    </w:p>
    <w:bookmarkEnd w:id="98"/>
    <w:bookmarkStart w:id="99"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[119]. В докладе «Не просто накормить» 8 долларов названы стоимостью сырья [22]; по тексту статьи это стоимость всего кейтеринга. Вторая редакция это уточняет.</w:t>
      </w:r>
    </w:p>
    <w:p>
      <w:pPr>
        <w:pStyle w:val="BodyText"/>
      </w:pPr>
      <w:r>
        <w:t xml:space="preserve">Прямо пересчитывать австралийские цифры в рубли нельзя: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[88]). Российских опубликованных расчётов стоимости вариативного меню не найдено.</w:t>
      </w:r>
    </w:p>
    <w:bookmarkEnd w:id="99"/>
    <w:bookmarkStart w:id="100"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которые измеряли бы, получает ли выбор житель, не способный его выразить, — качественные работы лишь описывают, что такие жители выбором пользуются реже [96].</w:t>
      </w:r>
    </w:p>
    <w:bookmarkEnd w:id="100"/>
    <w:bookmarkStart w:id="101"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[89]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[41]</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[90]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[91]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[97]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[98]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[100]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[101]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[88]</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[108]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[113]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[103]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[93]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[99]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[94]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[95]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[96]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[102]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[110]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[115–118]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1"/>
    <w:bookmarkEnd w:id="102"/>
    <w:bookmarkStart w:id="116" w:name="зарубежное-регулирование"/>
    <w:p>
      <w:pPr>
        <w:pStyle w:val="Heading1"/>
      </w:pPr>
      <w:r>
        <w:rPr>
          <w:rStyle w:val="SectionNumber"/>
        </w:rPr>
        <w:t xml:space="preserve">6</w:t>
      </w:r>
      <w:r>
        <w:tab/>
      </w:r>
      <w:r>
        <w:t xml:space="preserve">Зарубежное регулирование</w:t>
      </w:r>
    </w:p>
    <w:bookmarkStart w:id="103"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ссылкой на них нельзя заменить российское основание для решения учреждения. Ценны они другим: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ставят другие правопорядки и где эти требования упираются в те же противоречия, что и у нас. Первая редакция обзора упоминала зарубежный опыт кратко и включала раздел о «практике стран СНГ» без источников [1]; вторая редакция этот раздел не повторяет, а зарубежный блок строит по первоисточникам.</w:t>
      </w:r>
    </w:p>
    <w:bookmarkEnd w:id="103"/>
    <w:bookmarkStart w:id="104"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[120].</w:t>
      </w:r>
    </w:p>
    <w:p>
      <w:pPr>
        <w:pStyle w:val="BodyText"/>
      </w:pPr>
      <w:r>
        <w:t xml:space="preserve">Конструкция поучительна тремя чертами. Предпочтения названы частью «потребности в питании», а не дополнительной услугой. Требования ограничены критерием разумности. Регламент 14(3) ставит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[120]. Коллизию «выбор против здоровья» английское право 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должны быть удовлетворены,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чтобы учитывать предпочтения, в том числе о времени, месте подачи и количестве еды [121]. Там же —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[121].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[121].</w:t>
      </w:r>
    </w:p>
    <w:p>
      <w:pPr>
        <w:pStyle w:val="BodyText"/>
      </w:pPr>
      <w:r>
        <w:t xml:space="preserve">Российскому читателю здесь важно соотношение уровней: выбор закреплён не в отдельном «стандарте меню», а в определении потребности в питании, нарушение которой может иметь уголовные последствия. Российский аналог по месту в системе — стандарт социальной услуги по обеспечению питанием в региональном порядке, но его содержание в проанализированных регионах ограничивается нормами продуктов (п. 3.15) (толкование).</w:t>
      </w:r>
    </w:p>
    <w:bookmarkEnd w:id="104"/>
    <w:bookmarkStart w:id="105"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[122].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[122].</w:t>
      </w:r>
    </w:p>
    <w:p>
      <w:pPr>
        <w:pStyle w:val="BodyText"/>
      </w:pPr>
      <w:r>
        <w:t xml:space="preserve">Шотландские стандарты —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5"/>
    <w:bookmarkStart w:id="106"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[123].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[123].</w:t>
      </w:r>
    </w:p>
    <w:p>
      <w:pPr>
        <w:pStyle w:val="BodyText"/>
      </w:pPr>
      <w:r>
        <w:t xml:space="preserve">Американская норма — самый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снят: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[124]. Замена должна соответствовать «обычному ассортименту» учреждения: пример руководства — вместо грейпфрутового сока предложить другой цитрусовый или богатый витамином C сок, который житель любит [124]. Процедура проверки: наблюдать за раздачей и, если житель отказывается от блюда или напитка, установить, предложили ли ему замену; опросные вопросы — как еда соответствует предпочтениям жителя, предлагают ли замену при отказе, как жителям сообщают об альтернативах, как сведения о предпочтениях доходят до персонала [124]. При выявлении нарушения инспектору предлагается проверить смежные требования: учтены ли предпочтения при комплексной оценке жителя, включены ли в план ухода, пересматривался ли план с участием жителя или его представителя [124]. Форма наблюдения за приёмом пищи (CMS-20053) отдельно предписывает начинать наблюдение с первого приёма пищи после прибытия проверяющих, в первую очередь в залах, где больше всего жителей, нуждающихся в помощи, и в разделе «Выбор» — выяснять реакцию персонала на отказ идти в столовую, отказ от блюда или просьбу о замене [125].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за столом не доели все; помогающий сидит рядом, а не стоит над жителем, и разговаривает с ним, а не с коллегами; жителю дают столько времени, сколько ему нужно [125].</w:t>
      </w:r>
    </w:p>
    <w:p>
      <w:pPr>
        <w:pStyle w:val="BodyText"/>
      </w:pPr>
      <w:r>
        <w:t xml:space="preserve">Американская процедура показывает, что выбор можно проверить, не считая блюд в меню: предмет проверки — ответ учреждения на отказ конкретного жителя, наблюдаемый в реальном приёме пищи и подтверждаемый опросом.</w:t>
      </w:r>
    </w:p>
    <w:bookmarkEnd w:id="106"/>
    <w:bookmarkStart w:id="107"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[126].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[126].</w:t>
      </w:r>
    </w:p>
    <w:p>
      <w:pPr>
        <w:pStyle w:val="BodyText"/>
      </w:pPr>
      <w:r>
        <w:t xml:space="preserve">Онтарийская норма показывает, что выбор и цикличность совместимы: цикл в 21 день сам предусматривает альтернативы на каждом приёме пищи. Видно в ней и разграничение, которого нет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только когда помогающий свободен; рассматривал ли совет жителей время приёмов пищи и перекусов; сообщаются ли все замены в меню жителям и персоналу [127].</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07"/>
    <w:bookmarkStart w:id="108"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[128].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[128]. В Австралии выбор в питании стал предметом государственного стандарта после серии исследований, показавших, как мало его на деле [91].</w:t>
      </w:r>
    </w:p>
    <w:bookmarkEnd w:id="108"/>
    <w:bookmarkStart w:id="109"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 рекомендация профессионального общества, а не закон [129]. Для российской дискуссии он ценен тем, что описывает выбор не как принцип, а как набор проверяемых операционных требований:</w:t>
      </w:r>
    </w:p>
    <w:p>
      <w:pPr>
        <w:pStyle w:val="Compact"/>
        <w:numPr>
          <w:ilvl w:val="0"/>
          <w:numId w:val="1011"/>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[129]. На плане меню несколько линий должны быть представлены наглядно, а рекомендуемая — выделена (первой строкой, цветом или символом) [129];</w:t>
      </w:r>
    </w:p>
    <w:p>
      <w:pPr>
        <w:pStyle w:val="Compact"/>
        <w:numPr>
          <w:ilvl w:val="0"/>
          <w:numId w:val="1011"/>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[129];</w:t>
      </w:r>
    </w:p>
    <w:p>
      <w:pPr>
        <w:pStyle w:val="Compact"/>
        <w:numPr>
          <w:ilvl w:val="0"/>
          <w:numId w:val="1011"/>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[129].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11"/>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[129];</w:t>
      </w:r>
    </w:p>
    <w:p>
      <w:pPr>
        <w:pStyle w:val="Compact"/>
        <w:numPr>
          <w:ilvl w:val="0"/>
          <w:numId w:val="1011"/>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[129];</w:t>
      </w:r>
    </w:p>
    <w:p>
      <w:pPr>
        <w:pStyle w:val="Compact"/>
        <w:numPr>
          <w:ilvl w:val="0"/>
          <w:numId w:val="1011"/>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[129];</w:t>
      </w:r>
    </w:p>
    <w:p>
      <w:pPr>
        <w:pStyle w:val="Compact"/>
        <w:numPr>
          <w:ilvl w:val="0"/>
          <w:numId w:val="1011"/>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[129];</w:t>
      </w:r>
    </w:p>
    <w:p>
      <w:pPr>
        <w:pStyle w:val="Compact"/>
        <w:numPr>
          <w:ilvl w:val="0"/>
          <w:numId w:val="1011"/>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[129];</w:t>
      </w:r>
    </w:p>
    <w:p>
      <w:pPr>
        <w:pStyle w:val="Compact"/>
        <w:numPr>
          <w:ilvl w:val="0"/>
          <w:numId w:val="1011"/>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[129];</w:t>
      </w:r>
    </w:p>
    <w:p>
      <w:pPr>
        <w:pStyle w:val="Compact"/>
        <w:numPr>
          <w:ilvl w:val="0"/>
          <w:numId w:val="1011"/>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[129], то есть то же ограничение, что в п. 32 СанПиН 4282-26 [3].</w:t>
      </w:r>
    </w:p>
    <w:p>
      <w:pPr>
        <w:pStyle w:val="FirstParagraph"/>
      </w:pPr>
      <w:r>
        <w:t xml:space="preserve">Из этого перечня российскому учреждению легче всего перенести четыре элемента (рекомендация): план меню с указанием основных компонентов и, где это нужно, с изображениями; пищевая биография при поступлении как основа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других вариантов. Последний приём — «подталкивание» (nudging) — стандарт DGE прямо рассматривает как альтернативу ограничению выбора [129].</w:t>
      </w:r>
    </w:p>
    <w:p>
      <w:pPr>
        <w:pStyle w:val="BodyText"/>
      </w:pPr>
      <w:r>
        <w:t xml:space="preserve">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[130].</w:t>
      </w:r>
    </w:p>
    <w:bookmarkEnd w:id="109"/>
    <w:bookmarkStart w:id="110"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[131].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 не более 11 часов; приёмы пищи должны быть многочисленными, небольшими, насыщенными энергией и белком и распределёнными по суткам [131].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только если съедена, «важнее, чтобы еда была вкусной и возбуждала аппетит, чем чтобы она точно соответствовала нормам питания» [131].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похожа на домашнюю [131]. Здесь «выбор» переведён в формулировки, пригодные для договора и проверки, причём первым критерием стоит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могут предлагать, каким должно быть меню и как сделать приём пищи спокойным [131].</w:t>
      </w:r>
    </w:p>
    <w:p>
      <w:pPr>
        <w:pStyle w:val="BodyText"/>
      </w:pPr>
      <w:r>
        <w:rPr>
          <w:b/>
          <w:bCs/>
        </w:rPr>
        <w:t xml:space="preserve">Базовое меню и закупка.</w:t>
      </w:r>
      <w:r>
        <w:t xml:space="preserve"> </w:t>
      </w:r>
      <w:r>
        <w:t xml:space="preserve">Первый из пяти шагов планирования — создать «базовое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[131]. Базовое меню служит одновременно для расчёта пищевой ценности на уровне группы, для учёта потребления, для внутренних расчётов и для закупки [131]. Второй шаг — готовить в объёме, который реально съедается, и строить систему заказа так, чтобы минимизировать отходы [131]. Так снимается российский вопрос о совместимости выбора с нормами (п. 3.15) и с закупкой (п. 7.13): нормы проверяют по базовому меню на уровне группы, а выбор живёт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более длинное время подачи, больше вариантов, возможность выбрать соседей по столу;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[131].</w:t>
      </w:r>
    </w:p>
    <w:bookmarkEnd w:id="110"/>
    <w:bookmarkStart w:id="111"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[132].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когда позволяет жителям дома престарелых отказываться от питания только целыми днями (с уведомлением до 12 часов предыдущего дня) и не позволяет отказываться от отдельных приёмов пищи [132].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[132].</w:t>
      </w:r>
    </w:p>
    <w:p>
      <w:pPr>
        <w:pStyle w:val="BodyText"/>
      </w:pPr>
      <w:r>
        <w:t xml:space="preserve">Здесь выбор понят не как выбор блюда, а как право не участвовать в общем питании в конкретный приём. В российском праве ближайшая конструкция — отказ от социальной услуги (ст. 18 442-ФЗ) [24], но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решают на уровне платы и договора, а не только меню.</w:t>
      </w:r>
    </w:p>
    <w:bookmarkEnd w:id="111"/>
    <w:bookmarkStart w:id="112"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[133]. Это путь финансового стимула: платят за измерение и управление питанием.</w:t>
      </w:r>
    </w:p>
    <w:p>
      <w:pPr>
        <w:pStyle w:val="BodyText"/>
      </w:pPr>
      <w:r>
        <w:t xml:space="preserve">Второй японский механизм прямо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должна взиматься отдельно и чётко отделяться от обычной платы [134]. Критерии такого питания установлены приказом-уведомлением № 123 [135]:</w:t>
      </w:r>
    </w:p>
    <w:p>
      <w:pPr>
        <w:pStyle w:val="Compact"/>
        <w:numPr>
          <w:ilvl w:val="0"/>
          <w:numId w:val="1012"/>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12"/>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12"/>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12"/>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12"/>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12"/>
        </w:numPr>
      </w:pPr>
      <w:r>
        <w:t xml:space="preserve">договор заключается после ясного объяснения, что это дополнительная плата сверх обычной [135].</w:t>
      </w:r>
    </w:p>
    <w:p>
      <w:pPr>
        <w:pStyle w:val="FirstParagraph"/>
      </w:pPr>
      <w:r>
        <w:t xml:space="preserve">Японская конструкция разводит два вопроса, которые в российской дискуссии часто смешивают: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Для российского учреждения прямой аналогии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2"/>
    <w:bookmarkStart w:id="113"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старых докладов считает верифицированными IDDSI, регламент 14 CQC и ст. 12 Конвенции о правах инвалидов, а каркас международного доклада на ту же дату пишет «проверено источников 0» [23]. Ниже — только то, что сверено с первоисточником для этой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[136]</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[136]</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[120]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[120]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[36]</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[36]</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3"/>
    <w:bookmarkStart w:id="114"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[120]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[122]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[123]</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[126]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[128]</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[129]</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[131]</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[132]</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[133]; приказы-уведомления № 419 и № 123 [134, 135]</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4"/>
    <w:bookmarkStart w:id="115" w:name="выводы-для-российской-дискуссии"/>
    <w:p>
      <w:pPr>
        <w:pStyle w:val="Heading2"/>
      </w:pPr>
      <w:r>
        <w:rPr>
          <w:rStyle w:val="SectionNumber"/>
        </w:rPr>
        <w:t xml:space="preserve">6.13</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другой: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Расширенный обзор этой редакции добавляет три операционных приёма, для которых не нужно менять законы: несколько «линий меню» с выделением рекомендуемой вместо запрета остальных (Германия); базовое меню, по которому проверяются нормы на уровне группы, с вариантами внутри него (Швеция); и критерии влияния жителя на приём пищи, сформулированные для договора и проверки, где первым стоит субъективное ощущение самого жителя (Швеция). Датский и японский примеры показывают другой уровень вопроса — плату: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15"/>
    <w:bookmarkEnd w:id="116"/>
    <w:bookmarkStart w:id="135"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1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вправе принять само, не выходя за действующие нормы. В конце каждого сказано,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где такой вопрос возникает, сказано, что решает врач.</w:t>
      </w:r>
    </w:p>
    <w:bookmarkEnd w:id="117"/>
    <w:bookmarkStart w:id="11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мясо (говядина, свинина) — 90 г нетто, рыба — 41,8 г нетто, птица — 40 г нетто [33]. Норма суточная, но учреждения обычно контролируют её по среднему за период (неделя, декада, месяц) через накопительную ведомость. Способ контроля в постановлении не определён (п. 3.15).</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41,8 × 7 × 100 = 29,26 кг нетто. Пусть в базовом меню все три дня на обед подают мясное второе с закладкой 75 г нетто мяса на порцию, а альтернативой вводят рыбу (треску).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40,5 кг (138,6 % нормы).</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39 %. Проверяющий, который сверяет нормы по группам, это расхождение увидит. Снять его можно тремя способами:</w:t>
      </w:r>
    </w:p>
    <w:p>
      <w:pPr>
        <w:pStyle w:val="Compact"/>
        <w:numPr>
          <w:ilvl w:val="0"/>
          <w:numId w:val="1013"/>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13"/>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13"/>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[31]. Источник таблицы нужно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18"/>
    <w:bookmarkStart w:id="11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Группа № 1284</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(все виды, включая консервированные и зелень)</w:t>
            </w:r>
          </w:p>
        </w:tc>
        <w:tc>
          <w:tcPr/>
          <w:p>
            <w:pPr>
              <w:pStyle w:val="Compact"/>
            </w:pPr>
            <w:r>
              <w:t xml:space="preserve">Винегрет / салат из свёклы / салат из свежих овощей</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 между группами: печень в постановлении № 1284 не входит в группу «говядина, свинина».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19"/>
    <w:bookmarkStart w:id="12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кухня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[90]. По Wheeler и соавт., переход к выбору в момент еды увеличил производственные отходы с 55 до 90 г на жителя в день [88].</w:t>
      </w:r>
    </w:p>
    <w:p>
      <w:pPr>
        <w:pStyle w:val="BodyText"/>
      </w:pPr>
      <w:r>
        <w:rPr>
          <w:b/>
          <w:bCs/>
        </w:rPr>
        <w:t xml:space="preserve">Санитарное ограничение.</w:t>
      </w:r>
      <w:r>
        <w:t xml:space="preserve"> </w:t>
      </w:r>
      <w:r>
        <w:t xml:space="preserve">СанПиН 4282-26 запрещает реализовать готовые блюда на следующий день и замораживать нереализованные (п. 32) [3]. Всё, что приготовлено под прогноз и не роздано, уходит в отходы, поэтому выбор в момент еды требует прогноза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поправляют по статистике. Качество прогноза показывает доля жителей, не получивших выбранного варианта; она должна стремиться к нулю. Потери показывает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(именно так это сделано в правилах внутреннего распорядка ДСО «Серафимовский» [28]),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0"/>
    <w:bookmarkStart w:id="12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Проблема частая и незаметная: при едином меню в отделение привозят готовые порции, а с выбором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Работают два решения: лист заказа накануне (сценарий 3) или поднос с обоими вариантами малыми порциями и выбор на месте; во втором случае надо решить, что делать с остатком. Доклад «Не просто накормить» формулирует правило «два варианта на подносе, а не вторая линия в коридоре» [22] — это рекомендация.</w:t>
      </w:r>
    </w:p>
    <w:p>
      <w:pPr>
        <w:pStyle w:val="BodyText"/>
      </w:pPr>
      <w:r>
        <w:rPr>
          <w:b/>
          <w:bCs/>
        </w:rPr>
        <w:t xml:space="preserve">Время.</w:t>
      </w:r>
      <w:r>
        <w:t xml:space="preserve"> </w:t>
      </w:r>
      <w:r>
        <w:t xml:space="preserve">Если выбор в момент еды растягивает раздачу, надо проверить, укладывается ли последняя порция в три часа с момента изготовления; если нет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1"/>
    <w:bookmarkStart w:id="12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 самостоятельный объект санитарного контроля. Для каждого варианта учреждение должно иметь:</w:t>
      </w:r>
    </w:p>
    <w:p>
      <w:pPr>
        <w:pStyle w:val="Compact"/>
        <w:numPr>
          <w:ilvl w:val="0"/>
          <w:numId w:val="1014"/>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4"/>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4"/>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14"/>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2"/>
    <w:bookmarkStart w:id="12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[54, 55].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[62].</w:t>
      </w:r>
    </w:p>
    <w:p>
      <w:pPr>
        <w:pStyle w:val="BodyText"/>
      </w:pPr>
      <w:r>
        <w:rPr>
          <w:b/>
          <w:bCs/>
        </w:rPr>
        <w:t xml:space="preserve">Выбор и контракт.</w:t>
      </w:r>
      <w:r>
        <w:t xml:space="preserve"> </w:t>
      </w:r>
      <w:r>
        <w:t xml:space="preserve">С выбором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[54].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[54].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[55]. Автономное учреждение может предусмотреть рамочные договоры с ценой единицы и заявочной поставкой. Поэтому 223-ФЗ для выбора гибче, но гибкость задаёт текст положения, а не закон.</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3"/>
    <w:bookmarkStart w:id="12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До начала пилота разумно собрать следующий комплект (рекомендация):</w:t>
      </w:r>
    </w:p>
    <w:p>
      <w:pPr>
        <w:pStyle w:val="Compact"/>
        <w:numPr>
          <w:ilvl w:val="0"/>
          <w:numId w:val="1015"/>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Пример локальной формы — правила внутреннего распорядка ДСО «Серафимовский», утверждённые приказом № 124 [28]; это не образец для обязательного применения.</w:t>
      </w:r>
    </w:p>
    <w:p>
      <w:pPr>
        <w:pStyle w:val="Compact"/>
        <w:numPr>
          <w:ilvl w:val="0"/>
          <w:numId w:val="1015"/>
        </w:numPr>
      </w:pPr>
      <w:r>
        <w:t xml:space="preserve">Утверждённое цикличное меню с указанием вариантов.</w:t>
      </w:r>
    </w:p>
    <w:p>
      <w:pPr>
        <w:pStyle w:val="Compact"/>
        <w:numPr>
          <w:ilvl w:val="0"/>
          <w:numId w:val="1015"/>
        </w:numPr>
      </w:pPr>
      <w:r>
        <w:t xml:space="preserve">Таблица замен с указанием источника и расчёт выполнения норм за период с учётом замен.</w:t>
      </w:r>
    </w:p>
    <w:p>
      <w:pPr>
        <w:pStyle w:val="Compact"/>
        <w:numPr>
          <w:ilvl w:val="0"/>
          <w:numId w:val="1015"/>
        </w:numPr>
      </w:pPr>
      <w:r>
        <w:t xml:space="preserve">Технологические документы на каждый вариант.</w:t>
      </w:r>
    </w:p>
    <w:p>
      <w:pPr>
        <w:pStyle w:val="Compact"/>
        <w:numPr>
          <w:ilvl w:val="0"/>
          <w:numId w:val="1015"/>
        </w:numPr>
      </w:pPr>
      <w:r>
        <w:t xml:space="preserve">Журналы бракеража и суточных проб с записями по каждому варианту.</w:t>
      </w:r>
    </w:p>
    <w:p>
      <w:pPr>
        <w:pStyle w:val="Compact"/>
        <w:numPr>
          <w:ilvl w:val="0"/>
          <w:numId w:val="1015"/>
        </w:numPr>
      </w:pPr>
      <w:r>
        <w:t xml:space="preserve">Учёт выбора: лист заказа (при заказе накануне) или ежедневная статистика распределения выбора.</w:t>
      </w:r>
    </w:p>
    <w:p>
      <w:pPr>
        <w:pStyle w:val="Compact"/>
        <w:numPr>
          <w:ilvl w:val="0"/>
          <w:numId w:val="1015"/>
        </w:numPr>
      </w:pPr>
      <w:r>
        <w:t xml:space="preserve">Протоколы совета (комиссии) по питанию, если такой создан.</w:t>
      </w:r>
    </w:p>
    <w:p>
      <w:pPr>
        <w:pStyle w:val="Compact"/>
        <w:numPr>
          <w:ilvl w:val="0"/>
          <w:numId w:val="1015"/>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4"/>
    <w:bookmarkStart w:id="12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4.11).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[88]. Средняя стоимость кейтеринга в австралийских учреждениях — 8,00 доллара в день, из них сырьё — 6,08 доллара [119].</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[88].</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 581,33 руб. в день (кроме ПНИ и ДСО) и 574,43 руб. в день (ПНИ и ДСО) [74]. Если допустить, что организация выбора увеличит расходы на питание на 10–20 % — допущение, близкое к результату Wheeler и соавт. [88], —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сравнения порядка величин: годовой рост тарифа ПНИ и ДСО с 2025 по 2026 г. составил 2,80 руб. в день (571,63 → 574,43) [73, 74], то есть допущенный прирост в 20–40 раз больше годовой индексации. Арифметика показывает лишь одно: полный переход крупного учреждения — вопрос учредителя, а не только кухни.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канон из своего текста удалил: стоимость зависит от модели раздачи и измеряется замером; утверждать без данных нельзя ни экономию, ни невозможность [22, гл. 29.1]. Доклад держится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живёт в штатном расписании, а не в продуктовом бюджете,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выводы делаются по повторяемости замеров, а не по одному. Снижение остатков после введения выбора — гипотеза, которую подтверждает только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планировал цикл. ДСО «Серафимовский» как автономное учреждение закупает по 223-ФЗ и своему положению о закупке, причём предмет закупки — не продукты, а услуга по организации питания (аутсорсинг подтверждён автором [86]; конкурс № 32616197209 на август — декабрь 2026 г., начальная цена 92 110 941,90 руб., и закупка у единственного поставщика № 32616171821 на 591 326,10 руб. — по карточкам агрегатора [87]). При закупке услуги перераспределение между мясом и рыбой — забота исполнителя, но только если варианты и порядок их учёта записаны в техническом задании; для продуктовой закупки по рамочному договору с ценой единицы — заявки без изменения договора (сценарии 6 и 12) [55]. Как выбор закреплён в договоре «Серафимовского», доклад не проверял.</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ДСО «Тесовый берег» как бюджетное учреждение закупает по 44-ФЗ открытым конкурсом [62]: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[54].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25"/>
    <w:bookmarkStart w:id="12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Эта редакция раскладывает 90 дней по месяцам так, чтобы первый месяц ушёл на цифры «до», второй — на документы и обучение, а сам выбор начался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Вспомогательные показатели —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выдумкой.</w:t>
      </w:r>
    </w:p>
    <w:p>
      <w:pPr>
        <w:pStyle w:val="BodyText"/>
      </w:pPr>
      <w:r>
        <w:rPr>
          <w:b/>
          <w:bCs/>
        </w:rPr>
        <w:t xml:space="preserve">Что доказывает пилот.</w:t>
      </w:r>
      <w:r>
        <w:t xml:space="preserve"> </w:t>
      </w:r>
      <w:r>
        <w:t xml:space="preserve">Что выбор исполним и безопасен в конкретном учреждении, но не то, как он влияет на пищевой статус: для этого нет контрольной группы и мало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Это разные масштабы задачи — перестройка всего дома против пилота, — а не ошибка одной из работ.</w:t>
      </w:r>
    </w:p>
    <w:bookmarkEnd w:id="126"/>
    <w:bookmarkStart w:id="12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[91].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докладе был внутренний разнобой о порядке этих каналов: в гл. 15.4 первым назван зафиксированный в биографии выбор, в гл. 15.9 — текущее выраженное предпочтение [22]. В этой редакции он снят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Сначала о том,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говорит иначе и точнее: кормление против воли недопустимо, опираясь на ч. 2 ст. 5 Закона № 3185-1 [22]. Разложение по классам: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[137]</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канон заимствует из зарубежной (онтарийской) практики, российской нормой они не являются</w:t>
            </w:r>
          </w:p>
        </w:tc>
      </w:tr>
    </w:tbl>
    <w:p>
      <w:pPr>
        <w:pStyle w:val="BodyText"/>
      </w:pPr>
      <w:r>
        <w:t xml:space="preserve">Отсюда граница для кухни и персонала: персонал не кормит силой и не оставляет без помощи; при отказе он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6"/>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6"/>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отдельной кухни.</w:t>
      </w:r>
    </w:p>
    <w:p>
      <w:pPr>
        <w:pStyle w:val="Compact"/>
        <w:numPr>
          <w:ilvl w:val="0"/>
          <w:numId w:val="1016"/>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6"/>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6"/>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6"/>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Чего протокол не делает: не назначает диету, текстуру, обогащение, лекарства и не решает вопрос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Организационно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не более 14 часов (16 часов при перекусе) в США [123], не более 11 часов в шведских рекомендациях [131]. Доклад «Не просто накормить» использует рабочий ориентир не более 13 часов [22] —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27"/>
    <w:bookmarkStart w:id="12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одном дне, как учреждение (кроме ПНИ,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 по постановлению № 1284 [33],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41,8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В пересчёте на базовый продукт 2,91 кг птицы эквивалентны 2,91 / 0,97 = 3,0 кг говядины, и «мясо с учётом замен» составляет 6,0 + 3,0 = 9,0 кг — ровно план дня (100 × 90 г).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ходовая пара гарниров — «картофель или каша» — таблицей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или учитывать гарнирные группы раздельно и выравнивать их в остальные дни недели (сценарий 1, способ 2). Первый путь легче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Если учреждение хочет, чтобы недельная ведомость сходилась без пересчёта, пары между группами (мясо — птица) должны чередоваться с днями, где птица и так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28"/>
    <w:bookmarkStart w:id="12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[55]. Закупка продуктов для питания проживающих — закупка для оказания услуги конкретным получателям, то есть для нужд самого учреждения; по логике постановления АС Дальневосточного округа № Ф03-3556/25 она остаётся в контуре 223-ФЗ (толкование; текст определения ВС № 303-ЭС25-15393 не проверен) [57, 61].</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 норма × число жителей × число дней. Для 100 жителей на 91 день: мясо 90 г × 100 × 91 = 819 кг нетто, рыба 41,8 г × 100 × 91 ≈ 380 кг нетто (иллюстративная арифметика по нормам № 1284 [33]). Если поставщик продаёт брутто, объём закупки пересчитывается учреждением по его собственным коэффициентам отходов; для иллюстрации по коэффициентам ленинградского приказа (мясо 0,705, рыба 0,550 [45]) это около 1 162 кг мяса и 692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рыбы — увеличится примерно на 147 кг (+38,6 %) (иллюстративная арифметика: 13 × 9,0 кг и 13 × 11,3 кг). Такой сдвиг не помещается в 10-процентный коридор изменения количества по 44-ФЗ (подп. «б» п. 1 ч. 1 ст. 95) [54]; это главный довод за то,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Разумная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группе № 1284 [33]), и устанавливаются цена единицы и максимальная сумма договора;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Та же логика — в шведских национальных рекомендациях: «базовое меню» с несколькими блюдами на выбор служит одновременно основой расчёта пищевой ценности на уровне группы и основой закупки [131].</w:t>
      </w:r>
    </w:p>
    <w:p>
      <w:pPr>
        <w:pStyle w:val="BodyText"/>
      </w:pPr>
      <w:r>
        <w:rPr>
          <w:b/>
          <w:bCs/>
        </w:rPr>
        <w:t xml:space="preserve">Шаг 4. Что записать в положение о закупке.</w:t>
      </w:r>
      <w:r>
        <w:t xml:space="preserve"> </w:t>
      </w:r>
      <w:r>
        <w:t xml:space="preserve">Возможность рамочного договора с ценой единицы и заявочной поставкой; порядок изменения количества по отдельным позициям в пределах цены договора; основание для закупки у единственного поставщика при срыве поставки (если положение это допускает). Без этих пунктов гибкость 223-ФЗ остаётся на бумаге: её задаёт текст положения, а не закон [55].</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[66, 67]. Связь размера лота с риском сговора — толкование, но дробление лотов по группам продуктов служит сразу и вариативному меню, и конкуренции. Обратный риск — искусственное дробление для ухода от конкурентных процедур; критерии допустимого дробления устанавливает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29"/>
    <w:bookmarkStart w:id="13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[47]. Ниже показано,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[47]</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технологические документы на каждый вариант (п. 11), бракераж (подп. 13 п. 56), время с момента изготовления до раздачи (п. 32), отсутствие реализации остатков (п. 32) [3]. Роструд — для государственной организации субъекта, орган субъекта — для негосударственного поставщика (п. 8.3–8.4): выполнение норм питания по ведомости, условия для соблюдения поста (подп. 15 п. 20 Правил, утверждённых приказом № 305н), соответствие организации питания порядку предоставления услуг (вопросы 64, 75, 65 проверочного листа) [27, 38]. Учредитель: обоснование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находят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только в ходе проверки, на омлет существовали две карты с разной рецептурой; при закладке не докладывали продукты (маргарин в омлет, сахар в какао) и заменяли их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Отбирать ли суточную пробу каждого варианта на собственном пищеблоке организации социального обслуживания, при том что прямой нормы об этом для таких организаций в разделе VII СанПиН 4282-26 нет (п. 2.7, сценарий 5), — оставлено открытым по решению автора. Нижегородское положение отвечает на него положительно для единого меню («от каждой партии… отдельно каждое блюдо») [47];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0"/>
    <w:bookmarkStart w:id="13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 в стандарте DGE [129]. Порционирование в отделении допускается только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[47].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 35–42 минуты на жителя за приём пищи против 5–9 минут при обычном уходе; перекус между приёмами — 12–13 минут [115–118].</w:t>
      </w:r>
    </w:p>
    <w:p>
      <w:pPr>
        <w:pStyle w:val="BodyText"/>
      </w:pPr>
      <w:r>
        <w:rPr>
          <w:b/>
          <w:bCs/>
        </w:rPr>
        <w:t xml:space="preserve">Иллюстрация (условное отделение на 60 жителей).</w:t>
      </w:r>
      <w:r>
        <w:t xml:space="preserve"> </w:t>
      </w:r>
      <w:r>
        <w:t xml:space="preserve">40 жителей едят самостоятельно и подходят к линии; 14 нуждаются в подсказке и присутствии сотрудника; 6 нуждаются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может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[115–118]). В трёхчасовое окно п. 32 при этом укладываются 4–5 сотрудников, занятых только помощью при еде (иллюстративная арифметика: 700–840 мин / 180 мин). Это не норматив, а проверка реализма: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 меньше половины нижней границы времени помощи (35 минут), при которой в американских исследованиях рос объём съеденного [115–118]. Сопоставление условно: исследования измеряли иное вмешательство и иную группу жителей (толкование). Но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Разделить приём пищи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переносить в момент, когда на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[116, 118].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1"/>
    <w:bookmarkStart w:id="13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[96]; в австралийских — выбор был особенно низок у жителей на протёртой пище [91]. Для ПНИ и ДСО, где многие жители не говорят или говорят с трудом, это вопрос не второстепенный.</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[129]; лондонские дома — сбор предпочтений при поступлении [96];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[129]</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[131]</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источник сведений и дата (биография — родственник, 03.2026); наблюдение (за 10 обедов с показом двух вариантов — выбор рыбного блюда 7 раз, отказ от второго блюда 1 раз); вывод на ближайший месяц; дата пересмотра. Карта прикладывается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только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[135]. Наблюдаемый отказ (отодвинутая порция, сжатые губы) — тоже выражение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Канон называет четыре канала воли — показ двух порций, наблюдение за съеденным, пищевую биографию, сведения близких [22] — но в двух местах ставит их в разном порядке. Противоречие снимается, если различить, может ли житель выразить предпочтение сейчас.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Правовая опора этого порядка — не норма о питании (её нет), а общие положения: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(п. 2 ст. 29 ГК РФ) [138] — норма о сделках, которую для бытового выбора доклад применяет как ориентир порядка (толкование); меры, связанные с реализацией правоспособности, должны ориентироваться на «уважение прав, воли и предпочтений лица» (п. 4 ст. 12 Конвенции о правах инвалидов) [36]. Выбор блюда на раздаче — не сделка и не медицинское вмешательство;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для неговорящего жителя — сотрудник, законный представитель или комиссия — и как часто его пересматривают; порядок каналов выше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кухня не решает сама.</w:t>
      </w:r>
    </w:p>
    <w:p>
      <w:pPr>
        <w:pStyle w:val="Compact"/>
        <w:numPr>
          <w:ilvl w:val="0"/>
          <w:numId w:val="1017"/>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значит: подавать компоненты раздельно, если житель так ест; показывать оба варианта рядом и в одной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7"/>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 маркировка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7"/>
        </w:numPr>
      </w:pPr>
      <w:r>
        <w:rPr>
          <w:i/>
          <w:iCs/>
        </w:rPr>
        <w:t xml:space="preserve">Текстура по шкале IDDSI</w:t>
      </w:r>
      <w:r>
        <w:t xml:space="preserve"> </w:t>
      </w:r>
      <w:r>
        <w:t xml:space="preserve">(уровни 0–7, п. 6.11) [136]: если врач назначил жителю определённый уровень, кухня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перепутал. Уровень назначает не кухня и не доклад; шкала здесь — общий язык маркировки между врачом, кухней и раздачей (рекомендация).</w:t>
      </w:r>
    </w:p>
    <w:p>
      <w:pPr>
        <w:pStyle w:val="FirstParagraph"/>
      </w:pPr>
      <w:r>
        <w:t xml:space="preserve">Граница «кухня ≠ клиника» не сдвигается: ни один из пунктов выше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2"/>
    <w:bookmarkStart w:id="13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решает за него, какой пост и как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8"/>
        </w:numPr>
      </w:pPr>
      <w:r>
        <w:rPr>
          <w:b/>
          <w:bCs/>
        </w:rPr>
        <w:t xml:space="preserve">Рыбные дни.</w:t>
      </w:r>
      <w:r>
        <w:t xml:space="preserve"> </w:t>
      </w:r>
      <w:r>
        <w:t xml:space="preserve">По приложению № 11 100 г говядины заменяются 125 г трески [3]; порция трески — 75 × 1,25 ≈ 94 г. За неделю: −1,8 кг мяса, +2,25 кг рыбы (12 × 75 г × 2 и 12 × 94 г × 2). Это замена, предусмотренная таблицей, и она отражается в ведомости строкой «с учётом замен» (сценарий 11).</w:t>
      </w:r>
    </w:p>
    <w:p>
      <w:pPr>
        <w:pStyle w:val="Compact"/>
        <w:numPr>
          <w:ilvl w:val="0"/>
          <w:numId w:val="1018"/>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то есть увеличивает её расход, а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8"/>
        </w:numPr>
      </w:pPr>
      <w:r>
        <w:rPr>
          <w:b/>
          <w:bCs/>
        </w:rPr>
        <w:t xml:space="preserve">Масштаб.</w:t>
      </w:r>
      <w:r>
        <w:t xml:space="preserve"> </w:t>
      </w:r>
      <w:r>
        <w:t xml:space="preserve">Всего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его придётся объяснить.</w:t>
      </w:r>
    </w:p>
    <w:p>
      <w:pPr>
        <w:pStyle w:val="FirstParagraph"/>
      </w:pPr>
      <w:r>
        <w:rPr>
          <w:b/>
          <w:bCs/>
        </w:rPr>
        <w:t xml:space="preserve">Как оформить (рекомендация).</w:t>
      </w:r>
      <w:r>
        <w:t xml:space="preserve"> </w:t>
      </w:r>
      <w:r>
        <w:t xml:space="preserve">В локальном акте о питании — пункт о порядке заявления жителем о соблюдении поста и о перечне постных вариантов; в меню периода — постные блюда как варианты, а не как отдельная «постная кухня» (сценарий 10); в ведомости — отдельная строка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нельзя сбалансировать обязанность по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а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3"/>
    <w:bookmarkStart w:id="13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4.11) их не публикуют. Отчасти потому, что в отечественном социальном обслуживании нет общепринятых инструментов, оценивающих питание глазами жителя. В зарубежной литературе они есть; ниже —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путать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самый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[108].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[108]. Результат приведён не как совет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[139].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[88]. Российскому учреждению его измерить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[140]. Wright и соавт. использовали Resident Foodservice Satisfaction Questionnaire и связали удовлетворённость с числом вариантов и со временем между выбором и подачей [90]. Wheeler и соавт. обошлись пятибалльной шкалой Лайкерта [88].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[141]. Опросник дополняет анкеты для жителей и для персонала, разработанные той же университетской группой [141]. Русскоязычной версии нет; для учреждения ценна сама идея — спрашивать родственников отдельно и отдельно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предлагают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[131].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[129]. При этом расчёт фактически съеденного по меню и отходам систематически завышает потребление: в японском исследовании CLEVER — в среднем на 232 ккал в сутки (15,3 %) по сравнению с методом дважды меченой воды [110]. Снижение возвратов после введения выбора — довод в пользу выбора, но не доказательство того,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[142].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[143]. Вывод для российского ДСО простой: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потому, что учреждение её уже ведёт; толкует её врач. Научного исследования эти показатели не составляют: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34"/>
    <w:bookmarkEnd w:id="135"/>
    <w:bookmarkStart w:id="153" w:name="контроль-кто-и-что-проверяет"/>
    <w:p>
      <w:pPr>
        <w:pStyle w:val="Heading1"/>
      </w:pPr>
      <w:r>
        <w:rPr>
          <w:rStyle w:val="SectionNumber"/>
        </w:rPr>
        <w:t xml:space="preserve">8</w:t>
      </w:r>
      <w:r>
        <w:tab/>
      </w:r>
      <w:r>
        <w:t xml:space="preserve">Контроль: кто и что проверяет</w:t>
      </w:r>
    </w:p>
    <w:bookmarkStart w:id="136"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и каждый смотрит на своё. Большинство конфликтов при проверках рождается из путаницы предметов: учреждение отвечает санитарному инспектору о качестве социальной услуги, а ведомственному контролёру — о санитарных нормах.</w:t>
      </w:r>
    </w:p>
    <w:bookmarkEnd w:id="136"/>
    <w:bookmarkStart w:id="137"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но каждое блюдо проверяется по общим правилам (сценарий 5). Ответственность — ст. 6.6 КоАП (п. 2.11).</w:t>
      </w:r>
    </w:p>
    <w:bookmarkEnd w:id="137"/>
    <w:bookmarkStart w:id="138"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которое вступило в силу 01.07.2021 [144]. Предмет контроля в обоих случаях один: соблюдение требований 442-ФЗ, иных федеральных актов и актов субъекта, регулирующих социальное обслуживание, — то есть и региональных норм питания (ч. 2 ст. 33 442-ФЗ; п. 2 Положения) [24, 144].</w:t>
      </w:r>
    </w:p>
    <w:p>
      <w:pPr>
        <w:pStyle w:val="BodyText"/>
      </w:pPr>
      <w:r>
        <w:rPr>
          <w:b/>
          <w:bCs/>
        </w:rPr>
        <w:t xml:space="preserve">Исправление.</w:t>
      </w:r>
      <w:r>
        <w:t xml:space="preserve"> </w:t>
      </w:r>
      <w:r>
        <w:t xml:space="preserve">В предыдущей версии этой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проверяющий орган —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 регионального контроля Комитета по социальной политике —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[145].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[38].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[38]. Косвенно к питанию относятся вопросы 65 (соблюдение порядка предоставления социальных услуг) и 70 (услуги в объёмах не менее установленных стандартом) [38].</w:t>
      </w:r>
    </w:p>
    <w:p>
      <w:pPr>
        <w:pStyle w:val="BodyText"/>
      </w:pPr>
      <w:r>
        <w:t xml:space="preserve">Выводы для вариативного меню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один раз — в вопросе 46, применительно к размещению по спальням [38]; это та же асимметрия, что в самих Правилах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ограничивает проверку: приказ прямо оговаривает, что выездные проверки не сводятся к вопросам листа [38].</w:t>
      </w:r>
    </w:p>
    <w:bookmarkEnd w:id="138"/>
    <w:bookmarkStart w:id="139"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 — те же обязательные требования, включая региональные нормы питания, но в отношении негосударственных организаций и индивидуальных предпринимателей [24, 145]. Для вариативного меню это различие важно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39"/>
    <w:bookmarkStart w:id="140"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меняет структуру расходов на питание, штат или оборудование. Для государственного дома-интерната субъекта учредитель — тот же орган, который в отношении негосударственных поставщиков осуществляет региональный контроль: в Санкт-Петербурге — Комитет по социальной политике (п. 1.3 Положения по постановлению № 985) [145]. Петербургское сообщение о вариативном меню прозвучало на заседании рабочей группы при Комитете по социальной политике [21]; такой формат — учредителя извещают и с ним обсуждают — снижает риск, что практику примут за самовольное отступление от порядка.</w:t>
      </w:r>
    </w:p>
    <w:bookmarkEnd w:id="140"/>
    <w:bookmarkStart w:id="141"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В Санкт-Петербурге после отмены полномочия Управления социального питания по региональному контролю за соблюдением норм питания (п. 8.3) [145] у Управления осталась другая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[146]. Это не государственный контроль (надзор) по 248-ФЗ, а оценка с рекомендациями и мониторингом их исполнения (толкование по тексту отчёта).</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[146]. Учреждению присваивается категория: высшая (100 баллов), 1-я (85–99), 2-я (60–84), 3-я (30–59), 4-я (менее 30) [146].</w:t>
      </w:r>
    </w:p>
    <w:p>
      <w:pPr>
        <w:pStyle w:val="BodyText"/>
      </w:pPr>
      <w:r>
        <w:rPr>
          <w:b/>
          <w:bCs/>
        </w:rPr>
        <w:t xml:space="preserve">Результаты.</w:t>
      </w:r>
      <w:r>
        <w:t xml:space="preserve"> </w:t>
      </w:r>
      <w:r>
        <w:t xml:space="preserve">За первое полугодие 2025 г. проведено 418 оценок; в учреждениях социального обслуживания населения — 15, из них 7 получили 1-ю категорию и 8 — 2-ю; средний балл учреждений социального обслуживания (83,83) — самый низкий среди всех типов учреждений при общем среднем 88,02 [146]. По всем учреждениям выдано 1 564 рекомендации; 232 из них связаны с технологией приготовления, и среди оснований названы ошибки в технологической документации и бракеражном журнале и «факты несоответствия ежедневных меню цикличному меню» [146]. Учреждения по итогам претензионной работы выставили поставщикам штрафы на 1 754 034,89 руб. за полугодие [146].</w:t>
      </w:r>
    </w:p>
    <w:p>
      <w:pPr>
        <w:pStyle w:val="BodyText"/>
      </w:pPr>
      <w:r>
        <w:t xml:space="preserve">Для вариативного меню из этой процедуры следуют два вывода (толкование). Первый: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а аналогичного механизма участия жителей учреждений социального обслуживания отчёт не описывает [146]. Второй: несоответствие ежедневного меню цикличному фиксируется как недочёт. Поэтому учреждению, вводящему выбор, надо оформить варианты внутри утверждённого цикличного меню (оба — позициями цикла), а не как отступление от него, иначе в отчёте вариативность предстанет нарушением (рекомендация; противоречие внесено в гл. 9).</w:t>
      </w:r>
    </w:p>
    <w:bookmarkEnd w:id="141"/>
    <w:bookmarkStart w:id="142"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 —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 такой проверки —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у каждой замены должно быть документальное основание (сценарий 13).</w:t>
      </w:r>
    </w:p>
    <w:bookmarkEnd w:id="142"/>
    <w:bookmarkStart w:id="144"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[64].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Start w:id="143" w:name="X8cd7eede49bea8b984be4bc4b58613bfb01ee1e"/>
    <w:p>
      <w:pPr>
        <w:pStyle w:val="Heading3"/>
      </w:pPr>
      <w:r>
        <w:rPr>
          <w:rStyle w:val="SectionNumber"/>
        </w:rPr>
        <w:t xml:space="preserve">8.8.1</w:t>
      </w:r>
      <w:r>
        <w:tab/>
      </w:r>
      <w:r>
        <w:t xml:space="preserve">Правовой «чемоданчик»: как отвечать на запрос прокурора</w:t>
      </w:r>
    </w:p>
    <w:p>
      <w:pPr>
        <w:pStyle w:val="FirstParagraph"/>
      </w:pPr>
      <w:r>
        <w:rPr>
          <w:b/>
          <w:bCs/>
        </w:rPr>
        <w:t xml:space="preserve">Какие составы могут прозвучать (норма).</w:t>
      </w:r>
      <w:r>
        <w:t xml:space="preserve"> </w:t>
      </w:r>
      <w:r>
        <w:t xml:space="preserve">Ст. 6.6 КоАП — специальная: нарушение санитарно-эпидемиологических требований к организации питания населения; ст. 6.3 КоАП — общая: нарушение законодательства о санитарно-эпидемиологическом благополучии (п. 2.11) [63]. Для претензий к питанию в стационаре применяется ст. 6.6 [64]. Ни один из этих составов не наказывает за наличие второго варианта блюда; оба — за нарушение санитарных требований к тому, что подано. Отдельно — нарушение региональных норм питания (количество и состав рациона): это предмет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найдено;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любую сторону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«так теперь везде» — неправда и не довод; «нам разрешил диетолог» — должности может не быть в штате; «жители сами захотели» без документа — устная воля непроверяема; «принудительное кормление запрещено законом» —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согласия на него не требуется ни от жителя как юридического акта, ни от опекуна [22, гл. 16.3]. Поэтому в документах учреждения не пишут:</w:t>
      </w:r>
    </w:p>
    <w:p>
      <w:pPr>
        <w:pStyle w:val="Compact"/>
        <w:numPr>
          <w:ilvl w:val="0"/>
          <w:numId w:val="1019"/>
        </w:numPr>
      </w:pPr>
      <w:r>
        <w:t xml:space="preserve">«с согласия недееспособного» — как юридическое основание чего бы то ни было: сделки за недееспособного совершает опекун с учётом его мнения (п. 2 ст. 29 ГК РФ) [138];</w:t>
      </w:r>
    </w:p>
    <w:p>
      <w:pPr>
        <w:pStyle w:val="Compact"/>
        <w:numPr>
          <w:ilvl w:val="0"/>
          <w:numId w:val="1019"/>
        </w:numPr>
      </w:pPr>
      <w:r>
        <w:t xml:space="preserve">«недееспособный дал согласие на диету / зондовое питание / ограничение рациона» —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[137]; подменять его записью о «согласии» жителя нельзя;</w:t>
      </w:r>
    </w:p>
    <w:p>
      <w:pPr>
        <w:pStyle w:val="Compact"/>
        <w:numPr>
          <w:ilvl w:val="0"/>
          <w:numId w:val="1019"/>
        </w:numPr>
      </w:pPr>
      <w:r>
        <w:t xml:space="preserve">«согласие недееспособного на участие в вариативном меню» — согласие не требуется, а такая строка создаёт видимость, что без неё выбор незаконен.</w:t>
      </w:r>
    </w:p>
    <w:p>
      <w:pPr>
        <w:pStyle w:val="FirstParagraph"/>
      </w:pPr>
      <w:r>
        <w:t xml:space="preserve">Корректная формула локального акта: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43"/>
    <w:bookmarkEnd w:id="144"/>
    <w:bookmarkStart w:id="145"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[66, 67]. Для вариативного меню риск в том, что спецификацию, составленную под конкретный вариант блюда, сочтут ограничивающей конкуренцию.</w:t>
      </w:r>
    </w:p>
    <w:bookmarkEnd w:id="145"/>
    <w:bookmarkStart w:id="146"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но создают учреждению публичную репутацию,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[75], а не в организациях социального обслуживания взрослых (п. 3.2).</w:t>
      </w:r>
    </w:p>
    <w:bookmarkEnd w:id="146"/>
    <w:bookmarkStart w:id="147"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проверка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суточная проба от каждой партии; раздача не позднее двух часов после приготовления [47]. Все эти процедуры переходят на вариативное меню без изменения сути, только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[129]. Для внутреннего контроля вариативного меню это естественный показатель: возвраты по каждому варианту показывают, что выбирают и не доедают. Предел показателю ставит японское исследование CLEVER: расчёт потребления по рецептурам и отходам завышал фактическое потребление в среднем на 15,3 % [110], поэтому низкие возвраты не доказывают достаточности питания конкретного жителя (п. 5.9).</w:t>
      </w:r>
    </w:p>
    <w:bookmarkEnd w:id="147"/>
    <w:bookmarkStart w:id="148"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проверяют, как учреждение отвечает на волю жителя, — и смотрят это в реальном приёме пищи.</w:t>
      </w:r>
    </w:p>
    <w:p>
      <w:pPr>
        <w:pStyle w:val="Compact"/>
        <w:numPr>
          <w:ilvl w:val="0"/>
          <w:numId w:val="1020"/>
        </w:numPr>
      </w:pPr>
      <w:r>
        <w:rPr>
          <w:b/>
          <w:bCs/>
        </w:rPr>
        <w:t xml:space="preserve">США.</w:t>
      </w:r>
      <w:r>
        <w:t xml:space="preserve"> </w:t>
      </w:r>
      <w:r>
        <w:t xml:space="preserve">Инспектор наблюдает раздачу с первого приёма пищи после прибытия и при отказе жителя от блюда устанавливает, предложена ли замена; опрашивает жителей о соответствии еды их предпочтениям и персонал — о том, как сведения о предпочтениях доходят до кухни; при выявлении нарушения проверяет, учтены ли предпочтения в оценке и плане ухода [124, 125].</w:t>
      </w:r>
    </w:p>
    <w:p>
      <w:pPr>
        <w:pStyle w:val="Compact"/>
        <w:numPr>
          <w:ilvl w:val="0"/>
          <w:numId w:val="1020"/>
        </w:numPr>
      </w:pPr>
      <w:r>
        <w:rPr>
          <w:b/>
          <w:bCs/>
        </w:rPr>
        <w:t xml:space="preserve">Онтарио.</w:t>
      </w:r>
      <w:r>
        <w:t xml:space="preserve"> </w:t>
      </w:r>
      <w:r>
        <w:t xml:space="preserve">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[127].</w:t>
      </w:r>
    </w:p>
    <w:p>
      <w:pPr>
        <w:pStyle w:val="Compact"/>
        <w:numPr>
          <w:ilvl w:val="0"/>
          <w:numId w:val="1020"/>
        </w:numPr>
      </w:pPr>
      <w:r>
        <w:rPr>
          <w:b/>
          <w:bCs/>
        </w:rPr>
        <w:t xml:space="preserve">Англия.</w:t>
      </w:r>
      <w:r>
        <w:t xml:space="preserve"> </w:t>
      </w:r>
      <w:r>
        <w:t xml:space="preserve">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[121].</w:t>
      </w:r>
    </w:p>
    <w:p>
      <w:pPr>
        <w:pStyle w:val="Compact"/>
        <w:numPr>
          <w:ilvl w:val="0"/>
          <w:numId w:val="1020"/>
        </w:numPr>
      </w:pPr>
      <w:r>
        <w:rPr>
          <w:b/>
          <w:bCs/>
        </w:rPr>
        <w:t xml:space="preserve">Швеция.</w:t>
      </w:r>
      <w:r>
        <w:t xml:space="preserve"> </w:t>
      </w:r>
      <w:r>
        <w:t xml:space="preserve">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[131].</w:t>
      </w:r>
    </w:p>
    <w:p>
      <w:pPr>
        <w:pStyle w:val="Compact"/>
        <w:numPr>
          <w:ilvl w:val="0"/>
          <w:numId w:val="1020"/>
        </w:numPr>
      </w:pPr>
      <w:r>
        <w:rPr>
          <w:b/>
          <w:bCs/>
        </w:rPr>
        <w:t xml:space="preserve">Дания.</w:t>
      </w:r>
      <w:r>
        <w:t xml:space="preserve"> </w:t>
      </w:r>
      <w:r>
        <w:t xml:space="preserve">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[132].</w:t>
      </w:r>
    </w:p>
    <w:p>
      <w:pPr>
        <w:pStyle w:val="Compact"/>
        <w:numPr>
          <w:ilvl w:val="0"/>
          <w:numId w:val="1020"/>
        </w:numPr>
      </w:pPr>
      <w:r>
        <w:rPr>
          <w:b/>
          <w:bCs/>
        </w:rPr>
        <w:t xml:space="preserve">Япония.</w:t>
      </w:r>
      <w:r>
        <w:t xml:space="preserve"> </w:t>
      </w:r>
      <w:r>
        <w:t xml:space="preserve">Для «особого питания» по выбору проверяемы формальные гарантии: публичное объявление содержания и цены, согласие, подтверждение врача, отсутствие ухудшения обычного питания [135].</w:t>
      </w:r>
    </w:p>
    <w:p>
      <w:pPr>
        <w:pStyle w:val="FirstParagraph"/>
      </w:pPr>
      <w:r>
        <w:t xml:space="preserve">Ни одна из этих процедур не требует определённого числа блюд. Общий знаменатель — наблюдение приёма пищи, опрос жителя и проверка связи между записанным предпочтением и тем, что подали (толкование).</w:t>
      </w:r>
    </w:p>
    <w:bookmarkEnd w:id="148"/>
    <w:bookmarkStart w:id="149"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придётся сделать самому. Ниже — вопросы, составленные по образцу американской формы CMS-20053 и онтарийского протокола [125, 127] и привязанные к российским основаниям там, где они есть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[127]</w:t>
            </w:r>
          </w:p>
        </w:tc>
        <w:tc>
          <w:tcPr/>
          <w:p>
            <w:pPr>
              <w:pStyle w:val="Compact"/>
            </w:pPr>
            <w:r>
              <w:t xml:space="preserve">Вопрос 17 проверочного листа Роструда — открытость информации об условиях питания [38]</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[125, 127]</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[124, 125]</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[125, 127]</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[127]</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[125]</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[127]</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[124]</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38]</w:t>
            </w:r>
          </w:p>
        </w:tc>
      </w:tr>
    </w:tbl>
    <w:p>
      <w:pPr>
        <w:pStyle w:val="BodyText"/>
      </w:pPr>
      <w:r>
        <w:t xml:space="preserve">Ответы фиксируются по одному наблюдению на отделение в неделю (рекомендация). Чек-лист дополняет, а не заменяет бракераж, взвешивание порций и суточную пробу.</w:t>
      </w:r>
    </w:p>
    <w:bookmarkEnd w:id="149"/>
    <w:bookmarkStart w:id="150"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разным контролёрам. Ниже — какое звено на чей вопрос отвечает (толкование; формы — по нижегородскому положению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[38]</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[47]</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[129]</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[38]</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[38]</w:t>
            </w:r>
          </w:p>
        </w:tc>
        <w:tc>
          <w:tcPr/>
          <w:p>
            <w:pPr>
              <w:pStyle w:val="Compact"/>
            </w:pPr>
            <w:r>
              <w:t xml:space="preserve">—</w:t>
            </w:r>
          </w:p>
        </w:tc>
        <w:tc>
          <w:tcPr/>
          <w:p>
            <w:pPr>
              <w:pStyle w:val="Compact"/>
            </w:pPr>
            <w:r>
              <w:t xml:space="preserve">Пересмотр меню</w:t>
            </w:r>
          </w:p>
        </w:tc>
      </w:tr>
    </w:tbl>
    <w:bookmarkEnd w:id="150"/>
    <w:bookmarkStart w:id="151"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[38]. Проверяющий вправе спросить, как житель, соблюдающий пост, получает питание; учреждение без вариативного или индивидуального постного варианта должно показать иной способ (толкование). Одновременно вопрос 64 того же листа проверяет выполнение региональных норм питания [38],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Выходит, что два вопроса одного проверочного листа могут требовать от учреждения трудно совместимого: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список жителей, заявивших о соблюдении поста (с датой и подписью или отметкой о способе выражения воли); постный вариант в утверждённом меню; накопительная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1"/>
    <w:bookmarkStart w:id="152" w:name="сводка"/>
    <w:p>
      <w:pPr>
        <w:pStyle w:val="Heading2"/>
      </w:pPr>
      <w:r>
        <w:rPr>
          <w:rStyle w:val="SectionNumber"/>
        </w:rPr>
        <w:t xml:space="preserve">8.16</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2"/>
    <w:bookmarkEnd w:id="153"/>
    <w:bookmarkStart w:id="157"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54"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писались в разное время, разными методами и при разном доступе к источникам, и расхождения между ними неизбежны. Ниже они перечислены без сглаживания: в чём расхождение, как его разрешает первоисточник и что остаётся открытым. Номера в скобках — пункты перечня противоречий рабочей базы знаний [23], где он есть.</w:t>
      </w:r>
    </w:p>
    <w:bookmarkEnd w:id="154"/>
    <w:bookmarkStart w:id="155"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[63]</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[34]</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[88];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[75]</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[22])</w:t>
            </w:r>
          </w:p>
        </w:tc>
        <w:tc>
          <w:tcPr/>
          <w:p>
            <w:pPr>
              <w:pStyle w:val="Compact"/>
            </w:pPr>
            <w:r>
              <w:t xml:space="preserve">8,00 — весь кейтеринг; сырьё — 6,08 [119]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[54]</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[138] и п. 4 ст. 12 КПИ («воля и предпочтения») [36].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(канон,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[137];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 1068 — приказ Департамента социальной защиты населения Москвы от 24.12.2014, а не постановление «-ПП» [76]; в приказе № 228 прочитаны п. 1–2.1, в том числе допуск ±5 % калорийности по приёмам пищи при соблюдении среднего за неделю [68]; текст № 1068 прочитан: брутто, три графы, в том числе психоневрологические организации [77]. Оба приказа — акты одного ведомства, иерархии между ними нет; № 228 утверждает нормы для тех же адресатов позднее [68, 77]</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[81]</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[45]</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144]; в Санкт-Петербурге полномочие Управления социального питания по контролю норм питания отменено с 01.01.2022 [145]</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[58])</w:t>
            </w:r>
          </w:p>
        </w:tc>
        <w:tc>
          <w:tcPr/>
          <w:p>
            <w:pPr>
              <w:pStyle w:val="Compact"/>
            </w:pPr>
            <w:r>
              <w:t xml:space="preserve">Постановление округа ставит критерием цель закупки, а не источник денег [57]; комментарий ГАРАНТ.РУ делает более узкий вывод [61]; блог неверно излагает предмет договора и позицию апелляции; под этим номером в открытой базе найдено только определение об отсрочке госпошлины [59]; дата (28.01.2026) и итог подтверждены вторым вторичным источником, который излагает позицию через цель закупки [60]</w:t>
            </w:r>
          </w:p>
        </w:tc>
        <w:tc>
          <w:tcPr/>
          <w:p>
            <w:pPr>
              <w:pStyle w:val="Compact"/>
            </w:pPr>
            <w:r>
              <w:t xml:space="preserve">Частично снято: отказ подтверждён вторично; текст определения по существу не найден; вывод п. 2.10 — толкование</w:t>
            </w:r>
          </w:p>
        </w:tc>
      </w:tr>
      <w:tr>
        <w:tc>
          <w:tcPr/>
          <w:p>
            <w:pPr>
              <w:pStyle w:val="Compact"/>
            </w:pPr>
            <w:r>
              <w:t xml:space="preserve">34</w:t>
            </w:r>
          </w:p>
        </w:tc>
        <w:tc>
          <w:tcPr/>
          <w:p>
            <w:pPr>
              <w:pStyle w:val="Compact"/>
            </w:pPr>
            <w:r>
              <w:t xml:space="preserve">Тарифы на питание в Санкт-Петербурге при неизменных нормах № 1284: разница «с СБКС / без СБКС» в ПНИ 90,77 руб. (2025) и 43,21 руб. (2026); тариф ПНИ выше общего в 2025 г. и ниже в 2026 г.</w:t>
            </w:r>
          </w:p>
        </w:tc>
        <w:tc>
          <w:tcPr/>
          <w:p>
            <w:pPr>
              <w:pStyle w:val="Compact"/>
            </w:pPr>
            <w:r>
              <w:t xml:space="preserve">Нормы с 27.06.2022 не менялись [33]; тарифы — [73, 74]; методика расчёта не опубликована</w:t>
            </w:r>
          </w:p>
        </w:tc>
        <w:tc>
          <w:tcPr/>
          <w:p>
            <w:pPr>
              <w:pStyle w:val="Compact"/>
            </w:pPr>
            <w:r>
              <w:t xml:space="preserve">Открыто: причина изменения не установлена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[129]</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против включения в общую норму (Санкт-Петербург, Ленинградская обл., ХМАО — Югра по ред. 2014 г.)</w:t>
            </w:r>
          </w:p>
        </w:tc>
        <w:tc>
          <w:tcPr/>
          <w:p>
            <w:pPr>
              <w:pStyle w:val="Compact"/>
            </w:pPr>
            <w:r>
              <w:t xml:space="preserve">Разные региональные модели [33, 45, 46, 70]; в действующей редакции ХМАО (2017) строка СБКС есть, значение в публичной версии не видно [84]</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38]</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[146]</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Санкт-Петербурга и Нижегородской области — в нетто, Ленинградской области и ХМАО (ред. 2017 г.) — в обеих величинах [33, 44–46, 69, 84]</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[57, 59]</w:t>
            </w:r>
          </w:p>
        </w:tc>
        <w:tc>
          <w:tcPr/>
          <w:p>
            <w:pPr>
              <w:pStyle w:val="Compact"/>
            </w:pPr>
            <w:r>
              <w:t xml:space="preserve">Техническое расхождение</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48]</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[86]; закупки по 223-ФЗ — по карточкам агрегатора [87]. Один кейс — учреждение автора; извещения, ТЗ и договор не прочитаны, условия о выборе не проверены</w:t>
            </w:r>
          </w:p>
        </w:tc>
        <w:tc>
          <w:tcPr/>
          <w:p>
            <w:pPr>
              <w:pStyle w:val="Compact"/>
            </w:pPr>
            <w:r>
              <w:t xml:space="preserve">Снято: кейс внесён (п. 4.8) с оговоркой о непроверенных условиях договора</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[36, 120, 136]</w:t>
            </w:r>
          </w:p>
        </w:tc>
        <w:tc>
          <w:tcPr/>
          <w:p>
            <w:pPr>
              <w:pStyle w:val="Compact"/>
            </w:pPr>
            <w:r>
              <w:t xml:space="preserve">Снято для трёх опор (п. 6.11); каркас остаётся каркасом</w:t>
            </w:r>
          </w:p>
        </w:tc>
      </w:tr>
    </w:tbl>
    <w:bookmarkEnd w:id="155"/>
    <w:bookmarkStart w:id="156"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30–32, 35 и 41–43 — исправленные факты или восполненные пробелы; вторая редакция пользуется исправленными версиями. Четыре из них (32, 35, 42 и 43) исправляют ошибки самой второй редакции, найденные при дополнении: правило называть расхождения явно доклад распространяет и на себя. Пункты 9, 15, 24, 26, 29, 33, 34, 37 и 38 — открытые вопросы; сверх установленного доклад по ним ничего не утверждает. Пункты 17 и 18 сняты решением автора в пятом проходе: порядок каналов воли — как рекомендация, формула о «запрете принудительного кормления» — как неверная, с разведением нормы и толкования; пункт 44 снят подтверждением автора (с оговоркой о непроверенном договоре), пункт 45 — для трёх международных опор. Пункты 19, 20 и 36 отражают разные задачи, определения или региональные модели и выбирать между ними не требуется; пункты 39 и 40 — методические и технические.</w:t>
      </w:r>
    </w:p>
    <w:bookmarkEnd w:id="156"/>
    <w:bookmarkEnd w:id="157"/>
    <w:bookmarkStart w:id="161"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 При каждом предложении сказано, на какую проблему из глав 2–9 оно отвечает и на какой образец опирается; где образца нет, это оговорено.</w:t>
      </w:r>
    </w:p>
    <w:bookmarkStart w:id="158" w:name="федеральный-уровень"/>
    <w:p>
      <w:pPr>
        <w:pStyle w:val="Heading2"/>
      </w:pPr>
      <w:r>
        <w:rPr>
          <w:rStyle w:val="SectionNumber"/>
        </w:rPr>
        <w:t xml:space="preserve">10.1</w:t>
      </w:r>
      <w:r>
        <w:tab/>
      </w:r>
      <w:r>
        <w:t xml:space="preserve">Федеральный уровень</w:t>
      </w:r>
    </w:p>
    <w:p>
      <w:pPr>
        <w:pStyle w:val="Compact"/>
        <w:numPr>
          <w:ilvl w:val="0"/>
          <w:numId w:val="1021"/>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Без общего словаря одну и ту же практику разные проверяющие оценивают по-разному.</w:t>
      </w:r>
    </w:p>
    <w:p>
      <w:pPr>
        <w:pStyle w:val="Compact"/>
        <w:numPr>
          <w:ilvl w:val="0"/>
          <w:numId w:val="1021"/>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Пока учреждения применяют детскую таблицу по аналогии (п. 2.6).</w:t>
      </w:r>
    </w:p>
    <w:p>
      <w:pPr>
        <w:pStyle w:val="Compact"/>
        <w:numPr>
          <w:ilvl w:val="0"/>
          <w:numId w:val="1021"/>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Единственная найденная региональная опора для взрослых — п. 2.1 московского приказа № 228, допускающий отклонение калорийности по приёмам пищи на ±5 % при соблюдении среднего за неделю [68]; она годится как образец формулировки.</w:t>
      </w:r>
    </w:p>
    <w:p>
      <w:pPr>
        <w:pStyle w:val="Compact"/>
        <w:numPr>
          <w:ilvl w:val="0"/>
          <w:numId w:val="1021"/>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21"/>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[123], и на онтарийскую модель цикла меню с выбором, утверждаемого диетологом при участии совета жителей [126]. Американское руководство для инспекторов показывает, что такая формула проверяема: предмет проверки — ответ учреждения на отказ конкретного жителя от блюда [124].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выбрать словами.</w:t>
      </w:r>
    </w:p>
    <w:p>
      <w:pPr>
        <w:pStyle w:val="Compact"/>
        <w:numPr>
          <w:ilvl w:val="0"/>
          <w:numId w:val="1021"/>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Сейчас в проверочном листе Роструда соседствуют вопрос 64 о соблюдении норм питания и вопрос 75 об условиях для соблюдения постов [38], а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Хватило бы дополнить таблицу замен строками растительных источников белка с коэффициентами по белку (предложение 2).</w:t>
      </w:r>
    </w:p>
    <w:p>
      <w:pPr>
        <w:pStyle w:val="Compact"/>
        <w:numPr>
          <w:ilvl w:val="0"/>
          <w:numId w:val="1021"/>
        </w:numPr>
      </w:pPr>
      <w:r>
        <w:rPr>
          <w:b/>
          <w:bCs/>
        </w:rPr>
        <w:t xml:space="preserve">Брутто и нетто.</w:t>
      </w:r>
      <w:r>
        <w:t xml:space="preserve"> </w:t>
      </w:r>
      <w:r>
        <w:t xml:space="preserve">В рекомендуемых нормах (приказ № 520н) и в методических материалах для субъектов прямо указывать, в каких единицах (брутто или нетто) выражена каждая позиция, и рекомендовать субъектам делать то же. Из шести прочитанных региональных актов два выражены в брутто, два в нетто, два в обеих величинах, и сравнивать граммы между ними и с № 520н напрямую нельзя (п. 3.12; гл. 9, позиция 39).</w:t>
      </w:r>
    </w:p>
    <w:p>
      <w:pPr>
        <w:pStyle w:val="Compact"/>
        <w:numPr>
          <w:ilvl w:val="0"/>
          <w:numId w:val="1021"/>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 [88, 108]; пределы отходов как меры съеденного показало исследование CLEVER [110].</w:t>
      </w:r>
    </w:p>
    <w:p>
      <w:pPr>
        <w:pStyle w:val="Compact"/>
        <w:numPr>
          <w:ilvl w:val="0"/>
          <w:numId w:val="1021"/>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[124, 127]. Действующий лист содержит 79 вопросов, из которых ни один не касается учёта предпочтений в питании; предпочтения упомянуты только применительно к размещению в спальнях (вопрос 46) [38]. Такой вопрос не требует от учреждения определённого числа блюд и совместим с действующими нормами.</w:t>
      </w:r>
    </w:p>
    <w:p>
      <w:pPr>
        <w:pStyle w:val="Compact"/>
        <w:numPr>
          <w:ilvl w:val="0"/>
          <w:numId w:val="1021"/>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[131] и онтарийского требования о рассмотрении времени приёмов пищи советом жителей [127].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[146].</w:t>
      </w:r>
    </w:p>
    <w:bookmarkEnd w:id="158"/>
    <w:bookmarkStart w:id="159"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22"/>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Образец локальной формы — таблицы взаимозаменяемости и замены по белкам и углеводам, утверждённые положением нижегородского дома-интерната [47].</w:t>
      </w:r>
    </w:p>
    <w:p>
      <w:pPr>
        <w:pStyle w:val="Compact"/>
        <w:numPr>
          <w:ilvl w:val="0"/>
          <w:numId w:val="1022"/>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хотя бы стоимость набора по группам продуктов. В Санкт-Петербурге при неизменных нормах № 1284 разница между двумя ПНИ-тарифами за год уменьшилась с 90,77 до 43,21 руб., а соотношение тарифов ПНИ и общего поменяло знак; по опубликованным документам нельзя установить, что изменилось — цены или методика (п. 3.2; гл. 9, позиция 34). Без методики учреждение не может доказать учредителю ни того, что выбор стоит денег, ни того, что не стоит.</w:t>
      </w:r>
    </w:p>
    <w:p>
      <w:pPr>
        <w:pStyle w:val="Compact"/>
        <w:numPr>
          <w:ilvl w:val="0"/>
          <w:numId w:val="1022"/>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22"/>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[146]),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22"/>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только описаний.</w:t>
      </w:r>
    </w:p>
    <w:bookmarkEnd w:id="159"/>
    <w:bookmarkStart w:id="160" w:name="уровень-учреждения"/>
    <w:p>
      <w:pPr>
        <w:pStyle w:val="Heading2"/>
      </w:pPr>
      <w:r>
        <w:rPr>
          <w:rStyle w:val="SectionNumber"/>
        </w:rPr>
        <w:t xml:space="preserve">10.3</w:t>
      </w:r>
      <w:r>
        <w:tab/>
      </w:r>
      <w:r>
        <w:t xml:space="preserve">Уровень учреждения</w:t>
      </w:r>
    </w:p>
    <w:p>
      <w:pPr>
        <w:pStyle w:val="Compact"/>
        <w:numPr>
          <w:ilvl w:val="0"/>
          <w:numId w:val="1023"/>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23"/>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23"/>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23"/>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23"/>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[129] и опроса семьи у Yaxley и соавт. [141]; эти сведения — основа решений за тех, кто не может выразить выбор (сценарий 15).</w:t>
      </w:r>
    </w:p>
    <w:p>
      <w:pPr>
        <w:pStyle w:val="Compact"/>
        <w:numPr>
          <w:ilvl w:val="0"/>
          <w:numId w:val="1023"/>
        </w:numPr>
      </w:pPr>
      <w:r>
        <w:rPr>
          <w:b/>
          <w:bCs/>
        </w:rPr>
        <w:t xml:space="preserve">Измерять до и после</w:t>
      </w:r>
      <w:r>
        <w:t xml:space="preserve"> </w:t>
      </w:r>
      <w:r>
        <w:t xml:space="preserve">хотя бы отходы с тарелки, возвраты по каждому варианту и распределение выбора (сценарий 8, п. 7.18), помня, что низкие возвраты не доказывают достаточности питания конкретного жителя [110].</w:t>
      </w:r>
    </w:p>
    <w:p>
      <w:pPr>
        <w:pStyle w:val="Compact"/>
        <w:numPr>
          <w:ilvl w:val="0"/>
          <w:numId w:val="1023"/>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[125, 127].</w:t>
      </w:r>
    </w:p>
    <w:p>
      <w:pPr>
        <w:pStyle w:val="Compact"/>
        <w:numPr>
          <w:ilvl w:val="0"/>
          <w:numId w:val="1023"/>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23"/>
        </w:numPr>
      </w:pPr>
      <w:r>
        <w:rPr>
          <w:b/>
          <w:bCs/>
        </w:rPr>
        <w:t xml:space="preserve">Публиковать результаты</w:t>
      </w:r>
      <w:r>
        <w:t xml:space="preserve"> </w:t>
      </w:r>
      <w:r>
        <w:t xml:space="preserve">с датами и числами, включая неудачи. Пока российские сообщения — это описания без измерений (п. 4.11), спор о пользе и вреде выбора останется спором мнений.</w:t>
      </w:r>
    </w:p>
    <w:bookmarkEnd w:id="160"/>
    <w:bookmarkEnd w:id="161"/>
    <w:bookmarkStart w:id="162" w:name="заключение"/>
    <w:p>
      <w:pPr>
        <w:pStyle w:val="Heading1"/>
      </w:pPr>
      <w:r>
        <w:rPr>
          <w:rStyle w:val="SectionNumber"/>
        </w:rPr>
        <w:t xml:space="preserve">11</w:t>
      </w:r>
      <w:r>
        <w:tab/>
      </w:r>
      <w:r>
        <w:t xml:space="preserve">Заключение</w:t>
      </w:r>
    </w:p>
    <w:p>
      <w:pPr>
        <w:pStyle w:val="FirstParagraph"/>
      </w:pPr>
      <w:r>
        <w:t xml:space="preserve">Исследование сводится к десяти выводам. Класс каждого утверждения указан в соответствующем разделе; ссылки, уже приведённые в тексте, здесь повторяются не везде.</w:t>
      </w:r>
    </w:p>
    <w:p>
      <w:pPr>
        <w:numPr>
          <w:ilvl w:val="0"/>
          <w:numId w:val="1024"/>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38, 39, 144].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Поэтому постный вариант блюда в пост — исполнение обязанности, а не инициатива кухни.</w:t>
      </w:r>
    </w:p>
    <w:p>
      <w:pPr>
        <w:numPr>
          <w:ilvl w:val="0"/>
          <w:numId w:val="1024"/>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о числе вариантов молчит, но требованиями к технологическому документу на каждое блюдо (п. 11), трёхчасовым пределом на раздаче и запретом реализовать остатки на следующий день (п. 32), бракеражем каждого блюда (подп. 13 п. 56) превращает каждый дополнительный вариант в отдельный объект производственного контроля.</w:t>
      </w:r>
    </w:p>
    <w:p>
      <w:pPr>
        <w:numPr>
          <w:ilvl w:val="0"/>
          <w:numId w:val="1024"/>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не содержат ни постановление Санкт-Петербурга № 1284,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Поэтому выбор между мясом и рыбой юридически уязвимее выбора между гречкой и рисом, хотя по пищевой ценности обе пары могут быть равноценны.</w:t>
      </w:r>
    </w:p>
    <w:p>
      <w:pPr>
        <w:numPr>
          <w:ilvl w:val="0"/>
          <w:numId w:val="1024"/>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группам продуктов; внутри группы (крупы, овощи,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24"/>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а министр социального развития Иркутской области подтвердил запуск вариативного питания в регионе в 2025 г. [18];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выбора при аутсорсинге питания; условия договора о выборе не проверены).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 самоотчёты, а не результаты проверки.</w:t>
      </w:r>
    </w:p>
    <w:p>
      <w:pPr>
        <w:numPr>
          <w:ilvl w:val="0"/>
          <w:numId w:val="1024"/>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[88]. Те же данные показывают цену выбора в момент еды: рост производственных отходов и стоимости примерно на 9–20 % [88]. Систематические обзоры оценивают эффект вмешательств в организацию питания на пищевой статус как небольшой и плохо измеренный [100, 101].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[103] и в условиях нормированного набора не проверено.</w:t>
      </w:r>
    </w:p>
    <w:p>
      <w:pPr>
        <w:numPr>
          <w:ilvl w:val="0"/>
          <w:numId w:val="1024"/>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[120, 123, 126];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[129, 131, 135]. Ни один из изученных актов не устанавливает минимального числа вторых блюд. Перенести эти формулы в российское право можно только актом федерального или регионального уровня.</w:t>
      </w:r>
    </w:p>
    <w:p>
      <w:pPr>
        <w:numPr>
          <w:ilvl w:val="0"/>
          <w:numId w:val="1024"/>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[91], и канадские данные о том, что пища изменённой консистенции назначена 47 % жителей [111], показывают: вариативное меню, рассчитанное на ходячих и говорящих, может не дойти до значительной части дома. Включить маломобильных и невербальных жителей — условие, а не следующий этап.</w:t>
      </w:r>
    </w:p>
    <w:p>
      <w:pPr>
        <w:numPr>
          <w:ilvl w:val="0"/>
          <w:numId w:val="1024"/>
        </w:numPr>
      </w:pPr>
      <w:r>
        <w:rPr>
          <w:b/>
          <w:bCs/>
        </w:rPr>
        <w:t xml:space="preserve">Проверка смотрит на нормы, а не на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144].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[38]. Зарубежные процедуры, напротив, проверяют ответ учреждения на волю жителя, наблюдаемый в реальном приёме пищи [124, 125, 127]. Пока у нас этого нет, проверить, реален ли выбор, может только внутренний контроль учреждения.</w:t>
      </w:r>
    </w:p>
    <w:p>
      <w:pPr>
        <w:numPr>
          <w:ilvl w:val="0"/>
          <w:numId w:val="1024"/>
        </w:numPr>
      </w:pPr>
      <w:r>
        <w:rPr>
          <w:b/>
          <w:bCs/>
        </w:rPr>
        <w:t xml:space="preserve">Противоречия не устранены, а названы.</w:t>
      </w:r>
      <w:r>
        <w:t xml:space="preserve"> </w:t>
      </w:r>
      <w:r>
        <w:t xml:space="preserve">Глава 9 перечисляет 40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снимет только орган, уполномоченный разъяснять или издавать нормы.</w:t>
      </w:r>
    </w:p>
    <w:p>
      <w:pPr>
        <w:pStyle w:val="FirstParagraph"/>
      </w:pPr>
      <w:r>
        <w:t xml:space="preserve">Для руководителя учреждения практический итог — четыре требования, обоснованные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 рекомендации автора; позицию какого-либо органа они не выражают.</w:t>
      </w:r>
    </w:p>
    <w:bookmarkEnd w:id="162"/>
    <w:bookmarkStart w:id="163"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25"/>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25"/>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25"/>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25"/>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25"/>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25"/>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25"/>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25"/>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25"/>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25"/>
        </w:numPr>
      </w:pPr>
      <w:r>
        <w:t xml:space="preserve">[н] Софин Р. Шведский стол за 3 млн приучил к аккуратности жильцов психинтерната НСО // Прецедент TV. 27.07.2026. — URL: https://precedent.tv/shvedskij-stol-za-3-mln-priuchil-k-akkuratnosti-zhiltsov-psihinternata-nso (дата обращения: 05.10.2026).</w:t>
      </w:r>
    </w:p>
    <w:p>
      <w:pPr>
        <w:pStyle w:val="Compact"/>
        <w:numPr>
          <w:ilvl w:val="0"/>
          <w:numId w:val="1025"/>
        </w:numPr>
      </w:pPr>
      <w:r>
        <w:t xml:space="preserve">[н] Наша главная задача — не просто накормить, а создать домашнюю атмосферу / ГАУССО НСО «Успенский психоневрологический интернат». 27.07.2026. — URL: https://upni.nso.ru/news/5804 (дата обращения: 05.10.2026).</w:t>
      </w:r>
    </w:p>
    <w:p>
      <w:pPr>
        <w:pStyle w:val="Compact"/>
        <w:numPr>
          <w:ilvl w:val="0"/>
          <w:numId w:val="1025"/>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Лента новостей Новосибирска. 20.06.2025. — URL: https://novosibirsk-news.net/society/2025/06/20/338927.html (дата обращения: 05.10.2026).</w:t>
      </w:r>
    </w:p>
    <w:p>
      <w:pPr>
        <w:pStyle w:val="Compact"/>
        <w:numPr>
          <w:ilvl w:val="0"/>
          <w:numId w:val="1025"/>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25"/>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25"/>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25"/>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25"/>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25"/>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Областная газета. 04.02.2026. № 11 (2949). — URL: https://www.ogirk.ru/2026/02/04/vladimir-rodionov-na-prieme-v-sluzhbah-soczashhity-net-ocheredej/ (дата обращения: 05.10.2026).</w:t>
      </w:r>
    </w:p>
    <w:p>
      <w:pPr>
        <w:pStyle w:val="Compact"/>
        <w:numPr>
          <w:ilvl w:val="0"/>
          <w:numId w:val="1025"/>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URL: http://nldi.ru/files/8983.pdf (дата обращения: 05.10.2026).</w:t>
      </w:r>
    </w:p>
    <w:p>
      <w:pPr>
        <w:pStyle w:val="Compact"/>
        <w:numPr>
          <w:ilvl w:val="0"/>
          <w:numId w:val="1025"/>
        </w:numPr>
      </w:pPr>
      <w:r>
        <w:t xml:space="preserve">[н] Иркутский дом-интернат для престарелых и инвалидов продолжает совершенствоваться / Пресс-служба Правительства Иркутской области // Областная газета. 21.01.2025. — URL: https://www.ogirk.ru/2025/01/21/irkutskij-dom-internat-dlja-prestarelyh-i-invalidov-prodolzhaet-sovershenstvovatsja/ (дата обращения: 05.10.2026).</w:t>
      </w:r>
    </w:p>
    <w:p>
      <w:pPr>
        <w:pStyle w:val="Compact"/>
        <w:numPr>
          <w:ilvl w:val="0"/>
          <w:numId w:val="1025"/>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25"/>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25"/>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25"/>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25"/>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25"/>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25"/>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25"/>
        </w:numPr>
      </w:pPr>
      <w:r>
        <w:t xml:space="preserve">[н] Правила внутреннего распорядка СПб ГАСУСОН «ДСО „Серафимовский“» (утв. приказом от 10.03.2026 № 124). Архивная копия сайта учреждения от 15.04.2026. — URL: https://web.archive.org/web/20260415001233/https://www.pni9.ru/правила-внутреннего-распорядка/ (дата обращения: 21.08.2026).</w:t>
      </w:r>
    </w:p>
    <w:p>
      <w:pPr>
        <w:pStyle w:val="Compact"/>
        <w:numPr>
          <w:ilvl w:val="0"/>
          <w:numId w:val="1025"/>
        </w:numPr>
      </w:pPr>
      <w:r>
        <w:t xml:space="preserve">[н] Питание / ГАСУСО МО «Добрый дом „Солнечногорский“». — URL: https://ddsol.ru/about/pitanie/ (дата обращения: 05.10.2026).</w:t>
      </w:r>
    </w:p>
    <w:p>
      <w:pPr>
        <w:pStyle w:val="Compact"/>
        <w:numPr>
          <w:ilvl w:val="0"/>
          <w:numId w:val="1025"/>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25"/>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25"/>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25"/>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 URL: https://base.garant.ru/22921449/ (дата обращения: 05.10.2026).</w:t>
      </w:r>
    </w:p>
    <w:p>
      <w:pPr>
        <w:pStyle w:val="Compact"/>
        <w:numPr>
          <w:ilvl w:val="0"/>
          <w:numId w:val="1025"/>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URL: https://normacs.net/Doclist/doc/200DS.html (дата обращения: 05.10.2026).</w:t>
      </w:r>
    </w:p>
    <w:p>
      <w:pPr>
        <w:pStyle w:val="Compact"/>
        <w:numPr>
          <w:ilvl w:val="0"/>
          <w:numId w:val="1025"/>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25"/>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25"/>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25"/>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URL: http://publication.pravo.gov.ru/document/0001202602130013 ; https://pravo.ppt.ru/prikaz/rostrud/n-18-326901 ; https://www.consultant.ru/document/cons_doc_LAW_526542/ (дата обращения: 05.10.2026).</w:t>
      </w:r>
    </w:p>
    <w:p>
      <w:pPr>
        <w:pStyle w:val="Compact"/>
        <w:numPr>
          <w:ilvl w:val="0"/>
          <w:numId w:val="1025"/>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25"/>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25"/>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25"/>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25"/>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25"/>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URL: https://ctonus.ru/f/normy_pitaniya.docx (дата обращения: 05.10.2026).</w:t>
      </w:r>
    </w:p>
    <w:p>
      <w:pPr>
        <w:pStyle w:val="Compact"/>
        <w:numPr>
          <w:ilvl w:val="0"/>
          <w:numId w:val="1025"/>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URL: https://luga-pni.ru/f/prikazom_komiteta_po_socialnoj_zashchite_naseleniya_leningradskoj_oblasti_no04_ot_30122021_goda_ob_utverzhdenii_normativov_o.pdf (дата обращения: 05.10.2026).</w:t>
      </w:r>
    </w:p>
    <w:p>
      <w:pPr>
        <w:pStyle w:val="Compact"/>
        <w:numPr>
          <w:ilvl w:val="0"/>
          <w:numId w:val="1025"/>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25"/>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URL: https://soc52.ru/sorm-di-documents/statement/item/447-statement-food (дата обращения: 05.10.2026).</w:t>
      </w:r>
    </w:p>
    <w:p>
      <w:pPr>
        <w:pStyle w:val="Compact"/>
        <w:numPr>
          <w:ilvl w:val="0"/>
          <w:numId w:val="1025"/>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URL: http://publication.pravo.gov.ru/Document/View/0001202011120001 (дата обращения: 05.10.2026).</w:t>
      </w:r>
    </w:p>
    <w:p>
      <w:pPr>
        <w:pStyle w:val="Compact"/>
        <w:numPr>
          <w:ilvl w:val="0"/>
          <w:numId w:val="1025"/>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25"/>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25"/>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25"/>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25"/>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25"/>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25"/>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25"/>
        </w:numPr>
      </w:pPr>
      <w:r>
        <w:t xml:space="preserve">[н] Письмо Минфина России от 29.12.2014 № 02-02-08/68298. — URL: https://base.garant.ru/70853116/ (дата обращения: 05.10.2026).</w:t>
      </w:r>
    </w:p>
    <w:p>
      <w:pPr>
        <w:pStyle w:val="Compact"/>
        <w:numPr>
          <w:ilvl w:val="0"/>
          <w:numId w:val="1025"/>
        </w:numPr>
      </w:pPr>
      <w:r>
        <w:t xml:space="preserve">[н] Постановление Арбитражного суда Дальневосточного округа от 05.12.2025 № Ф03-3556/25 по делу № А73-20917/2024. — URL: https://base.garant.ru/37266612/ ; https://www.garant.ru/files/6/0/2049606/postanovlenie_arbitragnogo_suda_dalnevostochnogo_okruga_ot_5_dekabrya_2025_g_n_f0.pdf (дата обращения: 05.10.2026).</w:t>
      </w:r>
    </w:p>
    <w:p>
      <w:pPr>
        <w:pStyle w:val="Compact"/>
        <w:numPr>
          <w:ilvl w:val="0"/>
          <w:numId w:val="1025"/>
        </w:numPr>
      </w:pPr>
      <w:r>
        <w:t xml:space="preserve">[н] Красавин Е. Верховный Суд: закупки по госзаданию автономные учреждения обязаны проводить по 44-ФЗ. Определение № 303-ЭС25-15393 // Блог pro-ability.ru. 25.02.2026. — URL: https://www.pro-ability.ru/tpost/sbdtgydex1-verhovnii-sud-zakupki-po-goszadaniyu-avt (дата обращения: 05.10.2026).</w:t>
      </w:r>
    </w:p>
    <w:p>
      <w:pPr>
        <w:pStyle w:val="Compact"/>
        <w:numPr>
          <w:ilvl w:val="0"/>
          <w:numId w:val="1025"/>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 А73-20917/2024). — URL: https://sudact.ru/vsrf/doc/aZCIdQcDpC5v/ (дата обращения: 05.10.2026).</w:t>
      </w:r>
    </w:p>
    <w:p>
      <w:pPr>
        <w:pStyle w:val="Compact"/>
        <w:numPr>
          <w:ilvl w:val="0"/>
          <w:numId w:val="1025"/>
        </w:numPr>
      </w:pPr>
      <w:r>
        <w:t xml:space="preserve">[н] Кулаков А. Обзор решений Верховного суда РФ по закупкам [в т. ч. определение ВС РФ от 28.01.2026 № 303-ЭС25-15393 по делу № А73-20917/2024]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25"/>
        </w:numPr>
      </w:pPr>
      <w:r>
        <w:t xml:space="preserve">[н] Когда автономные учреждения не вправе контрактоваться по Закону № 223-ФЗ / ГАРАНТ.РУ; воспроизведено: Информационный портал закупок. 2026. — URL: https://www.zakupki-portal.ru/novosti/main-news/kogda-avtonomnye-uchrezhdeniya-ne-vprave-kontraktovat-sya-po-zakonu-223-fz/ (дата обращения: 05.10.2026).</w:t>
      </w:r>
    </w:p>
    <w:p>
      <w:pPr>
        <w:pStyle w:val="Compact"/>
        <w:numPr>
          <w:ilvl w:val="0"/>
          <w:numId w:val="1025"/>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25"/>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25"/>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25"/>
        </w:numPr>
      </w:pPr>
      <w:r>
        <w:t xml:space="preserve">[н] Постановление Верховного Суда РФ от 21.02.2019 № 11-АД19-4. — URL: https://www.garant.ru/products/ipo/prime/doc/72095418/ (дата обращения: 05.10.2026).</w:t>
      </w:r>
    </w:p>
    <w:p>
      <w:pPr>
        <w:pStyle w:val="Compact"/>
        <w:numPr>
          <w:ilvl w:val="0"/>
          <w:numId w:val="1025"/>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25"/>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25"/>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URL: https://base.garant.ru/405012407/ (дата обращения: 05.10.2026).</w:t>
      </w:r>
    </w:p>
    <w:p>
      <w:pPr>
        <w:pStyle w:val="Compact"/>
        <w:numPr>
          <w:ilvl w:val="0"/>
          <w:numId w:val="1025"/>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URL: https://nn-gov.ru/doc/123332 (дата обращения: 05.10.2026).</w:t>
      </w:r>
    </w:p>
    <w:p>
      <w:pPr>
        <w:pStyle w:val="Compact"/>
        <w:numPr>
          <w:ilvl w:val="0"/>
          <w:numId w:val="1025"/>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[30е]). — URL: https://lawmix.ru/zakonodatelstvo/1941538 (дата обращения: 05.10.2026).</w:t>
      </w:r>
    </w:p>
    <w:p>
      <w:pPr>
        <w:pStyle w:val="Compact"/>
        <w:numPr>
          <w:ilvl w:val="0"/>
          <w:numId w:val="1025"/>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25"/>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25"/>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 официальная публикация (номер 7801202412170003): http://publication.pravo.gov.ru/Document/View/7801202412170003 (дата обращения: 05.10.2026).</w:t>
      </w:r>
    </w:p>
    <w:p>
      <w:pPr>
        <w:pStyle w:val="Compact"/>
        <w:numPr>
          <w:ilvl w:val="0"/>
          <w:numId w:val="1025"/>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URL: http://publication.pravo.gov.ru/document/7801202512190004 (дата обращения: 05.10.2026).</w:t>
      </w:r>
    </w:p>
    <w:p>
      <w:pPr>
        <w:pStyle w:val="Compact"/>
        <w:numPr>
          <w:ilvl w:val="0"/>
          <w:numId w:val="1025"/>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25"/>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URL: https://navigator.osoboepravo.ru/explanation/417.html (дата обращения: 05.10.2026).</w:t>
      </w:r>
    </w:p>
    <w:p>
      <w:pPr>
        <w:pStyle w:val="Compact"/>
        <w:numPr>
          <w:ilvl w:val="0"/>
          <w:numId w:val="1025"/>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URL: https://pvt31.ru/files/fload/NPA/prikaz_departamenta_socialnoy_zashchity_naseleniya_goroda_moskvy_ot_24_dekabrya_2014_g._no_1068_.pdf (дата обращения: 05.10.2026).</w:t>
      </w:r>
    </w:p>
    <w:p>
      <w:pPr>
        <w:pStyle w:val="Compact"/>
        <w:numPr>
          <w:ilvl w:val="0"/>
          <w:numId w:val="1025"/>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25"/>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URL: http://chk-di.soc52.ru/chk-di-documents/statement/3786-statement-nutrition (дата обращения: 05.10.2026).</w:t>
      </w:r>
    </w:p>
    <w:p>
      <w:pPr>
        <w:pStyle w:val="Compact"/>
        <w:numPr>
          <w:ilvl w:val="0"/>
          <w:numId w:val="1025"/>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25"/>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25"/>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URL: https://base.garant.ru/408512695/ ; https://base.garant.ru/412848299/ ; https://base.garant.ru/29905144/53f89421bbdaf741eb2d1ecc4ddb4c33/ (дата обращения: 05.10.2026).</w:t>
      </w:r>
    </w:p>
    <w:p>
      <w:pPr>
        <w:pStyle w:val="Compact"/>
        <w:numPr>
          <w:ilvl w:val="0"/>
          <w:numId w:val="1025"/>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URL: http://publication.pravo.gov.ru/document/4701202508060002 ; http://publication.pravo.gov.ru/file/pdf?eoNumber=4701202508060002 (дата обращения: 05.10.2026).</w:t>
      </w:r>
    </w:p>
    <w:p>
      <w:pPr>
        <w:pStyle w:val="Compact"/>
        <w:numPr>
          <w:ilvl w:val="0"/>
          <w:numId w:val="1025"/>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URL: https://base.garant.ru/18936377/ ; https://base.garant.ru/18936377/53f89421bbdaf741eb2d1ecc4ddb4c33/ (дата обращения: 05.10.2026).</w:t>
      </w:r>
    </w:p>
    <w:p>
      <w:pPr>
        <w:pStyle w:val="Compact"/>
        <w:numPr>
          <w:ilvl w:val="0"/>
          <w:numId w:val="1025"/>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25"/>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25"/>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[карточки агрегатора закупок; Единая информационная система с бокса недоступна, извещения по ней не сверялись]. — URL: https://orenburg.bt.su/tender/336737354.html ; https://orenburg.bt.su/tender/336248763.html (дата обращения: 05.10.2026).</w:t>
      </w:r>
    </w:p>
    <w:p>
      <w:pPr>
        <w:pStyle w:val="Compact"/>
        <w:numPr>
          <w:ilvl w:val="0"/>
          <w:numId w:val="1025"/>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25"/>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25"/>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25"/>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25"/>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25"/>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25"/>
        </w:numPr>
      </w:pPr>
      <w:r>
        <w:t xml:space="preserve">[н] Wang D., Everett B., Brunero S. et al. Perspectives of residents and staff regarding food choice in residential aged care: A qualitative study // Journal of Clinical Nursing. 2020. Vol. 29, № 3–4. P. 626–637. DOI: 10.1111/jocn.15115.</w:t>
      </w:r>
    </w:p>
    <w:p>
      <w:pPr>
        <w:pStyle w:val="Compact"/>
        <w:numPr>
          <w:ilvl w:val="0"/>
          <w:numId w:val="1025"/>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Contemporary Nurse. 2017. Vol. 53, № 6. P. 597–606. DOI: 10.1080/10376178.2017.1361334.</w:t>
      </w:r>
    </w:p>
    <w:p>
      <w:pPr>
        <w:pStyle w:val="Compact"/>
        <w:numPr>
          <w:ilvl w:val="0"/>
          <w:numId w:val="1025"/>
        </w:numPr>
      </w:pPr>
      <w:r>
        <w:t xml:space="preserve">[н] Mondkar A., Murdoch M., Gallagher J. E., Patel R. What’s on the menu? A qualitative study on the views of care home staff and residents on nutritional practices and implications for oral health // BDJ Open. 2025. Vol. 11. Art. 33. DOI: 10.1038/s41405-025-00325-9.</w:t>
      </w:r>
    </w:p>
    <w:p>
      <w:pPr>
        <w:pStyle w:val="Compact"/>
        <w:numPr>
          <w:ilvl w:val="0"/>
          <w:numId w:val="1025"/>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25"/>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25"/>
        </w:numPr>
      </w:pPr>
      <w:r>
        <w:t xml:space="preserve">[н] Kenkmann A., Price G. M., Bolton J., Hooper L. Health, wellbeing and nutritional status of older people living in UK care homes: an exploratory evaluation of changes in food and drink provision // BMC Geriatrics. 2010. Vol. 10. Art. 28. DOI: 10.1186/1471-2318-10-28.</w:t>
      </w:r>
    </w:p>
    <w:p>
      <w:pPr>
        <w:pStyle w:val="Compact"/>
        <w:numPr>
          <w:ilvl w:val="0"/>
          <w:numId w:val="1025"/>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25"/>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25"/>
        </w:numPr>
      </w:pPr>
      <w:r>
        <w:t xml:space="preserve">[н] Roos C., Alam M., Swall A. et al. Factors associated with older persons’ perceptions of dignity and well-being over a three-year period. A retrospective national study in residential care facilities // BMC Geriatrics. 2022. Vol. 22. Art. 515. DOI: 10.1186/s12877-022-03205-1.</w:t>
      </w:r>
    </w:p>
    <w:p>
      <w:pPr>
        <w:pStyle w:val="Compact"/>
        <w:numPr>
          <w:ilvl w:val="0"/>
          <w:numId w:val="1025"/>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25"/>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25"/>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25"/>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25"/>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25"/>
        </w:numPr>
      </w:pPr>
      <w:r>
        <w:t xml:space="preserve">[н] Roulston M., Thompson C., Pelly F., Cave D. Food waste in residential aged care: A scoping review // Nutrition &amp; Dietetics. 2026. Vol. 83, № 1. P. 56–73. DOI: 10.1111/1747-0080.70034.</w:t>
      </w:r>
    </w:p>
    <w:p>
      <w:pPr>
        <w:pStyle w:val="Compact"/>
        <w:numPr>
          <w:ilvl w:val="0"/>
          <w:numId w:val="1025"/>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25"/>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Nutrients. 2020. Vol. 12, № 9. Art. 2677. DOI: 10.3390/nu12092677.</w:t>
      </w:r>
    </w:p>
    <w:p>
      <w:pPr>
        <w:pStyle w:val="Compact"/>
        <w:numPr>
          <w:ilvl w:val="0"/>
          <w:numId w:val="1025"/>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25"/>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25"/>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25"/>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25"/>
        </w:numPr>
      </w:pPr>
      <w:r>
        <w:t xml:space="preserve">[н] Simmons S. F., Osterweil D., Schnelle J. F. Improving food intake in nursing home residents with feeding assistance: a staffing analysis // The Journals of Gerontology. Series A. 2001. Vol. 56, № 12. P. M790–M794. DOI: 10.1093/gerona/56.12.m790.</w:t>
      </w:r>
    </w:p>
    <w:p>
      <w:pPr>
        <w:pStyle w:val="Compact"/>
        <w:numPr>
          <w:ilvl w:val="0"/>
          <w:numId w:val="1025"/>
        </w:numPr>
      </w:pPr>
      <w:r>
        <w:t xml:space="preserve">[н] Simmons S. F., Schnelle J. F. Individualized feeding assistance care for nursing home residents: staffing requirements to implement two interventions // The Journals of Gerontology. Series A. 2004. Vol. 59, № 9. P. M966–M973. DOI: 10.1093/gerona/59.9.m966.</w:t>
      </w:r>
    </w:p>
    <w:p>
      <w:pPr>
        <w:pStyle w:val="Compact"/>
        <w:numPr>
          <w:ilvl w:val="0"/>
          <w:numId w:val="1025"/>
        </w:numPr>
      </w:pPr>
      <w:r>
        <w:t xml:space="preserve">[н] Simmons S. F., Schnelle J. F. Feeding assistance needs of long-stay nursing home residents and staff time to provide care // Journal of the American Geriatrics Society. 2006. Vol. 54, № 6. P. 919–924. DOI: 10.1111/j.1532-5415.2006.00812.x.</w:t>
      </w:r>
    </w:p>
    <w:p>
      <w:pPr>
        <w:pStyle w:val="Compact"/>
        <w:numPr>
          <w:ilvl w:val="0"/>
          <w:numId w:val="1025"/>
        </w:numPr>
      </w:pPr>
      <w:r>
        <w:t xml:space="preserve">[н] Simmons S. F., Keeler E., Zhuo X. et al. Prevention of unintentional weight loss in nursing home residents: a controlled trial of feeding assistance // Journal of the American Geriatrics Society. 2008. Vol. 56, № 8. P. 1466–1473. DOI: 10.1111/j.1532-5415.2008.01801.x.</w:t>
      </w:r>
    </w:p>
    <w:p>
      <w:pPr>
        <w:pStyle w:val="Compact"/>
        <w:numPr>
          <w:ilvl w:val="0"/>
          <w:numId w:val="1025"/>
        </w:numPr>
      </w:pPr>
      <w:r>
        <w:t xml:space="preserve">[н] Hugo C., Isenring E., Sinclair D., Agarwal E. What does it cost to feed aged care residents in Australia? // Nutrition &amp; Dietetics. 2018. Vol. 75, № 1. P. 6–10. DOI: 10.1111/1747-0080.12368.</w:t>
      </w:r>
    </w:p>
    <w:p>
      <w:pPr>
        <w:pStyle w:val="Compact"/>
        <w:numPr>
          <w:ilvl w:val="0"/>
          <w:numId w:val="1025"/>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25"/>
        </w:numPr>
      </w:pPr>
      <w:r>
        <w:t xml:space="preserve">[н] Care Quality Commission. Regulations for service providers and managers. Regulation 14: Meeting nutritional and hydration needs (guidance; page last updated 16.05.2025). — URL: https://www.cqc.org.uk/guidance-providers/regulations/regulation-14-meeting-nutritional-hydration-needs (дата обращения: 05.10.2026).</w:t>
      </w:r>
    </w:p>
    <w:p>
      <w:pPr>
        <w:pStyle w:val="Compact"/>
        <w:numPr>
          <w:ilvl w:val="0"/>
          <w:numId w:val="1025"/>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25"/>
        </w:numPr>
      </w:pPr>
      <w:r>
        <w:t xml:space="preserve">[н] 42 CFR § 483.60. Food and nutrition services. — URL: https://www.law.cornell.edu/cfr/text/42/483.60 (дата обращения: 05.10.2026).</w:t>
      </w:r>
    </w:p>
    <w:p>
      <w:pPr>
        <w:pStyle w:val="Compact"/>
        <w:numPr>
          <w:ilvl w:val="0"/>
          <w:numId w:val="1025"/>
        </w:numPr>
      </w:pPr>
      <w:r>
        <w:t xml:space="preserve">[н] Centers for Medicare &amp; Medicaid Services. State Operations Manual. Appendix PP — Guidance to Surveyors for Long Term Care Facilities (Rev. 225, issued 08.08.2024). F806 «Resident Allergies, Preferences and Substitutes» (Rev. 173, effective 28.11.2017). — URL: https://www.cms.gov/medicare/provider-enrollment-and-certification/guidanceforlawsandregulations/downloads/appendix-pp-state-operations-manual.pdf (дата обращения: 05.10.2026).</w:t>
      </w:r>
    </w:p>
    <w:p>
      <w:pPr>
        <w:pStyle w:val="Compact"/>
        <w:numPr>
          <w:ilvl w:val="0"/>
          <w:numId w:val="1025"/>
        </w:numPr>
      </w:pPr>
      <w:r>
        <w:t xml:space="preserve">[н] Centers for Medicare &amp; Medicaid Services. Form CMS-20053 «Dining Observation» (8/2015). — URL: https://www.cms.gov/files/document/cms-20053-diningpdf (дата обращения: 05.10.2026).</w:t>
      </w:r>
    </w:p>
    <w:p>
      <w:pPr>
        <w:pStyle w:val="Compact"/>
        <w:numPr>
          <w:ilvl w:val="0"/>
          <w:numId w:val="1025"/>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25"/>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URL: https://www.ltchomes.net/LTCHPORTAL/Content/Snippets/Dining%20Observation.pdf (дата обращения: 05.10.2026).</w:t>
      </w:r>
    </w:p>
    <w:p>
      <w:pPr>
        <w:pStyle w:val="Compact"/>
        <w:numPr>
          <w:ilvl w:val="0"/>
          <w:numId w:val="1025"/>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25"/>
        </w:numPr>
      </w:pPr>
      <w:r>
        <w:t xml:space="preserve">[н] Deutsche Gesellschaft für Ernährung e. V. DGE-Qualitätsstandard für die Verpflegung mit „Essen auf Rädern“ und in Senioreneinrichtungen. 1. Auflage, 1. korrigierter Nachdruck. Bonn, 2022. — URL: https://www.dge.de/fileadmin/dok/gemeinschaftsgastronomie/dge-qualitaetsstandards/DGE-Qualitaetsstandard_Essen_auf_Raedern_Senioreneinrichtungen_aktualisiert.pdf (дата обращения: 05.10.2026).</w:t>
      </w:r>
    </w:p>
    <w:p>
      <w:pPr>
        <w:pStyle w:val="Compact"/>
        <w:numPr>
          <w:ilvl w:val="0"/>
          <w:numId w:val="1025"/>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25"/>
        </w:numPr>
      </w:pPr>
      <w:r>
        <w:t xml:space="preserve">[н] Livsmedelsverket. Bra måltider i äldreomsorgen: nationella riktlinjer för måltider i äldreomsorgen. Uppsala, 2019 (uppdaterad maj 2024). ISBN 978-91-7714-262-1. — URL: https://www.livsmedelsverket.se/globalassets/publikationsdatabas/broschyrer-foldrar/riktlinjer_for_maltider_aldreomsorgen.pdf (дата обращения: 05.10.2026).</w:t>
      </w:r>
    </w:p>
    <w:p>
      <w:pPr>
        <w:pStyle w:val="Compact"/>
        <w:numPr>
          <w:ilvl w:val="0"/>
          <w:numId w:val="1025"/>
        </w:numPr>
      </w:pPr>
      <w:r>
        <w:t xml:space="preserve">[н] Ankestyrelsen. Tilsynsudtalelse om Fredericia Kommunes kvalitetsstandard for personlig pleje og praktisk hjælp (servicelovens § 83), 17.05.2024 (воспроизведено: DanmarkC TV, 07.06.2024). — URL: https://danmarkc.tv/afgoerelse-ankestyrelsen-vurderer-at-fredericia-kommune-handler-i-strid-med-lovgivningen/ (дата обращения: 05.10.2026).</w:t>
      </w:r>
    </w:p>
    <w:p>
      <w:pPr>
        <w:pStyle w:val="Compact"/>
        <w:numPr>
          <w:ilvl w:val="0"/>
          <w:numId w:val="1025"/>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25"/>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URL: https://www.mhlw.go.jp/web/t_doc?dataId=82aa7416&amp;dataType=0&amp;pageNo=1 (дата обращения: 05.10.2026).</w:t>
      </w:r>
    </w:p>
    <w:p>
      <w:pPr>
        <w:pStyle w:val="Compact"/>
        <w:numPr>
          <w:ilvl w:val="0"/>
          <w:numId w:val="1025"/>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URL: https://www.mhlw.go.jp/web/t_doc?dataId=82aa0441&amp;dataType=0&amp;pageNo=1 (дата обращения: 05.10.2026).</w:t>
      </w:r>
    </w:p>
    <w:p>
      <w:pPr>
        <w:pStyle w:val="Compact"/>
        <w:numPr>
          <w:ilvl w:val="0"/>
          <w:numId w:val="1025"/>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Dysphagia. 2017. Vol. 32, no. 2. P. 293–314. — DOI: 10.1007/s00455-016-9758-y. — URL: https://pmc.ncbi.nlm.nih.gov/articles/PMC5380696/ (дата обращения: 05.10.2026).</w:t>
      </w:r>
    </w:p>
    <w:p>
      <w:pPr>
        <w:pStyle w:val="Compact"/>
        <w:numPr>
          <w:ilvl w:val="0"/>
          <w:numId w:val="1025"/>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p>
      <w:pPr>
        <w:pStyle w:val="Compact"/>
        <w:numPr>
          <w:ilvl w:val="0"/>
          <w:numId w:val="1025"/>
        </w:numPr>
      </w:pPr>
      <w:r>
        <w:t xml:space="preserve">[о] Гражданский кодекс Российской Федерации (часть первая) от 30.11.1994 № 51-ФЗ. Ст. 29 (в ред. Федерального закона от 30.12.2012 № 302-ФЗ). — URL: https://www.consultant.ru/document/cons_doc_LAW_5142/97405e31b8cb1f1e528d52e98e8e60a7a2da9dea/ (дата обращения: 05.10.2026).</w:t>
      </w:r>
    </w:p>
    <w:p>
      <w:pPr>
        <w:pStyle w:val="Compact"/>
        <w:numPr>
          <w:ilvl w:val="0"/>
          <w:numId w:val="1025"/>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25"/>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25"/>
        </w:numPr>
      </w:pPr>
      <w:r>
        <w:t xml:space="preserve">[н] Yaxley A., Pankhurst M., Morgillo S., Miller M. A world-first food service satisfaction questionnaire for use with family members of nursing home residents // The Journal of Nutrition, Health and Aging. 2024. Vol. 28, № 1. Art. 100015. DOI: 10.1016/j.jnha.2023.100015.</w:t>
      </w:r>
    </w:p>
    <w:p>
      <w:pPr>
        <w:pStyle w:val="Compact"/>
        <w:numPr>
          <w:ilvl w:val="0"/>
          <w:numId w:val="1025"/>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25"/>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25"/>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URL: https://pravo.ppt.ru/postanovlenie/pravitelstvo/n-999-251824 (дата обращения: 05.10.2026).</w:t>
      </w:r>
    </w:p>
    <w:p>
      <w:pPr>
        <w:pStyle w:val="Compact"/>
        <w:numPr>
          <w:ilvl w:val="0"/>
          <w:numId w:val="1025"/>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URL: https://base.garant.ru/403267034/ (дата обращения: 05.10.2026).</w:t>
      </w:r>
    </w:p>
    <w:p>
      <w:pPr>
        <w:pStyle w:val="Compact"/>
        <w:numPr>
          <w:ilvl w:val="0"/>
          <w:numId w:val="1025"/>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URL: https://www.gov.spb.ru/gov/otrasl/socpit/kachestvo-prodovolstvennogo-obespecheniya-socialnyh-uchrezhdenij/ (дата обращения: 05.10.2026).</w:t>
      </w:r>
    </w:p>
    <w:p>
      <w:pPr>
        <w:pStyle w:val="Compact"/>
        <w:numPr>
          <w:ilvl w:val="0"/>
          <w:numId w:val="1025"/>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25"/>
        </w:numPr>
      </w:pPr>
      <w:r>
        <w:t xml:space="preserve">[о] Федеральный закон от 02.01.2000 № 29-ФЗ «О качестве и безопасности пищевых продуктов». — URL: https://base.garant.ru/12117866/ (дата обращения: 05.10.2026).</w:t>
      </w:r>
    </w:p>
    <w:bookmarkEnd w:id="163"/>
    <w:bookmarkStart w:id="164"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[35]</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[36]</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[147]</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[148]</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[137]</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[54]</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[55]</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[63]</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[40]</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48]</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[42]</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[49]</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[50]</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[51]</w:t>
            </w:r>
          </w:p>
        </w:tc>
      </w:tr>
      <w:tr>
        <w:tc>
          <w:tcPr/>
          <w:p>
            <w:pPr>
              <w:pStyle w:val="Compact"/>
            </w:pPr>
            <w:r>
              <w:t xml:space="preserve">22</w:t>
            </w:r>
          </w:p>
        </w:tc>
        <w:tc>
          <w:tcPr/>
          <w:p>
            <w:pPr>
              <w:pStyle w:val="Compact"/>
            </w:pPr>
            <w:r>
              <w:t xml:space="preserve">Пост. Правительства СПб от 29.12.2014 № 1284 (ред. 27.06.2022 № 561)</w:t>
            </w:r>
          </w:p>
        </w:tc>
        <w:tc>
          <w:tcPr/>
          <w:p>
            <w:pPr>
              <w:pStyle w:val="Compact"/>
            </w:pPr>
            <w:r>
              <w:t xml:space="preserve">Н</w:t>
            </w:r>
          </w:p>
        </w:tc>
        <w:tc>
          <w:tcPr/>
          <w:p>
            <w:pPr>
              <w:pStyle w:val="Compact"/>
            </w:pPr>
            <w:r>
              <w:t xml:space="preserve">Нормы питания СПб; две нормы для ПНИ</w:t>
            </w:r>
          </w:p>
        </w:tc>
        <w:tc>
          <w:tcPr/>
          <w:p>
            <w:pPr>
              <w:pStyle w:val="Compact"/>
            </w:pPr>
            <w:r>
              <w:t xml:space="preserve">[33]</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[72]</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[73, 74]</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[71]</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[68]</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[43]</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[69, 78]</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[80]</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[81]</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[44, 82]</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заказное питание</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[120]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[122]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[123]</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[126]</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[144]</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[38]</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[145]</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[76, 77]</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[45, 83]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[70, 84]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[46]</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[47, 79]</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[57]</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 по вторичным источникам)</w:t>
            </w:r>
          </w:p>
        </w:tc>
        <w:tc>
          <w:tcPr/>
          <w:p>
            <w:pPr>
              <w:pStyle w:val="Compact"/>
            </w:pPr>
            <w:r>
              <w:t xml:space="preserve">С</w:t>
            </w:r>
          </w:p>
        </w:tc>
        <w:tc>
          <w:tcPr/>
          <w:p>
            <w:pPr>
              <w:pStyle w:val="Compact"/>
            </w:pPr>
            <w:r>
              <w:t xml:space="preserve">Текст определения по существу не найден; обзор [60] излагает позицию через цель закупки</w:t>
            </w:r>
          </w:p>
        </w:tc>
        <w:tc>
          <w:tcPr/>
          <w:p>
            <w:pPr>
              <w:pStyle w:val="Compact"/>
            </w:pPr>
            <w:r>
              <w:t xml:space="preserve">[59, 60]</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[121]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[124, 125]</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[127]</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[129]</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[131]</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[132]</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[134, 135]</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[138]</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[136]</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извещения № 32616197209 и № 32616171821 (2026)</w:t>
            </w:r>
          </w:p>
        </w:tc>
        <w:tc>
          <w:tcPr/>
          <w:p>
            <w:pPr>
              <w:pStyle w:val="Compact"/>
            </w:pPr>
            <w:r>
              <w:t xml:space="preserve">Закупочные документы (по агрегатору)</w:t>
            </w:r>
          </w:p>
        </w:tc>
        <w:tc>
          <w:tcPr/>
          <w:p>
            <w:pPr>
              <w:pStyle w:val="Compact"/>
            </w:pPr>
            <w:r>
              <w:t xml:space="preserve">Кейс выбора при аутсорсинге (подтверждён автором); извещения, ТЗ и договор не прочитаны, условия о выборе не проверены</w:t>
            </w:r>
          </w:p>
        </w:tc>
        <w:tc>
          <w:tcPr/>
          <w:p>
            <w:pPr>
              <w:pStyle w:val="Compact"/>
            </w:pPr>
            <w:r>
              <w:t xml:space="preserve">[86, 87]</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Заказное питание, в том числе для маломобильных; иных локальных актов о питании в открытом доступе нет (прил. Г)</w:t>
            </w:r>
          </w:p>
        </w:tc>
        <w:tc>
          <w:tcPr/>
          <w:p>
            <w:pPr>
              <w:pStyle w:val="Compact"/>
            </w:pPr>
            <w:r>
              <w:t xml:space="preserve">[28]</w:t>
            </w:r>
          </w:p>
        </w:tc>
      </w:tr>
    </w:tbl>
    <w:bookmarkEnd w:id="164"/>
    <w:bookmarkStart w:id="165"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Нетто, граммы на человека в сутки, если не указано иное [33]. Столбцы: (1) учреждения, кроме ПНИ; (2) ПНИ, норма с СБКС; (3) лица с сахарным диабетом; (4) лица с заболеваниями ЖКТ; (5) ПНИ, норма без СБКС; (6)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100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150</w:t>
            </w:r>
          </w:p>
        </w:tc>
      </w:tr>
      <w:tr>
        <w:tc>
          <w:tcPr/>
          <w:p>
            <w:pPr>
              <w:pStyle w:val="Compact"/>
            </w:pPr>
            <w:r>
              <w:t xml:space="preserve">Мука пшеничная</w:t>
            </w:r>
          </w:p>
        </w:tc>
        <w:tc>
          <w:tcPr/>
          <w:p>
            <w:pPr>
              <w:pStyle w:val="Compact"/>
            </w:pPr>
            <w:r>
              <w:t xml:space="preserve">45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r>
      <w:tr>
        <w:tc>
          <w:tcPr/>
          <w:p>
            <w:pPr>
              <w:pStyle w:val="Compact"/>
            </w:pPr>
            <w:r>
              <w:t xml:space="preserve">Мука картофельная (крахмал)</w:t>
            </w:r>
          </w:p>
        </w:tc>
        <w:tc>
          <w:tcPr/>
          <w:p>
            <w:pPr>
              <w:pStyle w:val="Compact"/>
            </w:pPr>
            <w:r>
              <w:t xml:space="preserve">2,5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80</w:t>
            </w:r>
          </w:p>
        </w:tc>
      </w:tr>
      <w:tr>
        <w:tc>
          <w:tcPr/>
          <w:p>
            <w:pPr>
              <w:pStyle w:val="Compact"/>
            </w:pPr>
            <w:r>
              <w:t xml:space="preserve">Овощи (все группы)</w:t>
            </w:r>
          </w:p>
        </w:tc>
        <w:tc>
          <w:tcPr/>
          <w:p>
            <w:pPr>
              <w:pStyle w:val="Compact"/>
            </w:pPr>
            <w:r>
              <w:t xml:space="preserve">318</w:t>
            </w:r>
          </w:p>
        </w:tc>
        <w:tc>
          <w:tcPr/>
          <w:p>
            <w:pPr>
              <w:pStyle w:val="Compact"/>
            </w:pPr>
            <w:r>
              <w:t xml:space="preserve">380</w:t>
            </w:r>
          </w:p>
        </w:tc>
        <w:tc>
          <w:tcPr/>
          <w:p>
            <w:pPr>
              <w:pStyle w:val="Compact"/>
            </w:pPr>
            <w:r>
              <w:t xml:space="preserve">402</w:t>
            </w:r>
          </w:p>
        </w:tc>
        <w:tc>
          <w:tcPr/>
          <w:p>
            <w:pPr>
              <w:pStyle w:val="Compact"/>
            </w:pPr>
            <w:r>
              <w:t xml:space="preserve">233,6</w:t>
            </w:r>
          </w:p>
        </w:tc>
        <w:tc>
          <w:tcPr/>
          <w:p>
            <w:pPr>
              <w:pStyle w:val="Compact"/>
            </w:pPr>
            <w:r>
              <w:t xml:space="preserve">380</w:t>
            </w:r>
          </w:p>
        </w:tc>
        <w:tc>
          <w:tcPr/>
          <w:p>
            <w:pPr>
              <w:pStyle w:val="Compact"/>
            </w:pPr>
            <w:r>
              <w:t xml:space="preserve">394,5¹</w:t>
            </w:r>
          </w:p>
        </w:tc>
      </w:tr>
      <w:tr>
        <w:tc>
          <w:tcPr/>
          <w:p>
            <w:pPr>
              <w:pStyle w:val="Compact"/>
            </w:pPr>
            <w:r>
              <w:t xml:space="preserve">Картофель</w:t>
            </w:r>
          </w:p>
        </w:tc>
        <w:tc>
          <w:tcPr/>
          <w:p>
            <w:pPr>
              <w:pStyle w:val="Compact"/>
            </w:pPr>
            <w:r>
              <w:t xml:space="preserve">168</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r>
      <w:tr>
        <w:tc>
          <w:tcPr/>
          <w:p>
            <w:pPr>
              <w:pStyle w:val="Compact"/>
            </w:pPr>
            <w:r>
              <w:t xml:space="preserve">Фрукты и ягоды свежие</w:t>
            </w:r>
          </w:p>
        </w:tc>
        <w:tc>
          <w:tcPr/>
          <w:p>
            <w:pPr>
              <w:pStyle w:val="Compact"/>
            </w:pPr>
            <w:r>
              <w:t xml:space="preserve">200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r>
      <w:tr>
        <w:tc>
          <w:tcPr/>
          <w:p>
            <w:pPr>
              <w:pStyle w:val="Compact"/>
            </w:pPr>
            <w:r>
              <w:t xml:space="preserve">Сухофрукты, шиповник</w:t>
            </w:r>
          </w:p>
        </w:tc>
        <w:tc>
          <w:tcPr/>
          <w:p>
            <w:pPr>
              <w:pStyle w:val="Compact"/>
            </w:pPr>
            <w:r>
              <w:t xml:space="preserve">10</w:t>
            </w:r>
          </w:p>
        </w:tc>
        <w:tc>
          <w:tcPr/>
          <w:p>
            <w:pPr>
              <w:pStyle w:val="Compact"/>
            </w:pPr>
            <w:r>
              <w:t xml:space="preserve">16</w:t>
            </w:r>
          </w:p>
        </w:tc>
        <w:tc>
          <w:tcPr/>
          <w:p>
            <w:pPr>
              <w:pStyle w:val="Compact"/>
            </w:pPr>
            <w:r>
              <w:t xml:space="preserve">81</w:t>
            </w:r>
          </w:p>
        </w:tc>
        <w:tc>
          <w:tcPr/>
          <w:p>
            <w:pPr>
              <w:pStyle w:val="Compact"/>
            </w:pPr>
            <w:r>
              <w:t xml:space="preserve">10</w:t>
            </w:r>
          </w:p>
        </w:tc>
        <w:tc>
          <w:tcPr/>
          <w:p>
            <w:pPr>
              <w:pStyle w:val="Compact"/>
            </w:pPr>
            <w:r>
              <w:t xml:space="preserve">16</w:t>
            </w:r>
          </w:p>
        </w:tc>
        <w:tc>
          <w:tcPr/>
          <w:p>
            <w:pPr>
              <w:pStyle w:val="Compact"/>
            </w:pPr>
            <w:r>
              <w:t xml:space="preserve">20 + 15²</w:t>
            </w:r>
          </w:p>
        </w:tc>
      </w:tr>
      <w:tr>
        <w:tc>
          <w:tcPr/>
          <w:p>
            <w:pPr>
              <w:pStyle w:val="Compact"/>
            </w:pPr>
            <w:r>
              <w:t xml:space="preserve">Соки</w:t>
            </w:r>
          </w:p>
        </w:tc>
        <w:tc>
          <w:tcPr/>
          <w:p>
            <w:pPr>
              <w:pStyle w:val="Compact"/>
            </w:pPr>
            <w:r>
              <w:t xml:space="preserve">60</w:t>
            </w:r>
          </w:p>
        </w:tc>
        <w:tc>
          <w:tcPr/>
          <w:p>
            <w:pPr>
              <w:pStyle w:val="Compact"/>
            </w:pPr>
            <w:r>
              <w:t xml:space="preserve">60</w:t>
            </w:r>
          </w:p>
        </w:tc>
        <w:tc>
          <w:tcPr/>
          <w:p>
            <w:pPr>
              <w:pStyle w:val="Compact"/>
            </w:pPr>
            <w:r>
              <w:t xml:space="preserve">66³</w:t>
            </w:r>
          </w:p>
        </w:tc>
        <w:tc>
          <w:tcPr/>
          <w:p>
            <w:pPr>
              <w:pStyle w:val="Compact"/>
            </w:pPr>
            <w:r>
              <w:t xml:space="preserve">74</w:t>
            </w:r>
          </w:p>
        </w:tc>
        <w:tc>
          <w:tcPr/>
          <w:p>
            <w:pPr>
              <w:pStyle w:val="Compact"/>
            </w:pPr>
            <w:r>
              <w:t xml:space="preserve">60</w:t>
            </w:r>
          </w:p>
        </w:tc>
        <w:tc>
          <w:tcPr/>
          <w:p>
            <w:pPr>
              <w:pStyle w:val="Compact"/>
            </w:pPr>
            <w:r>
              <w:t xml:space="preserve">100 мл</w:t>
            </w:r>
          </w:p>
        </w:tc>
      </w:tr>
      <w:tr>
        <w:tc>
          <w:tcPr/>
          <w:p>
            <w:pPr>
              <w:pStyle w:val="Compact"/>
            </w:pPr>
            <w:r>
              <w:t xml:space="preserve">Мясо (говядина, свинина)</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90</w:t>
            </w:r>
          </w:p>
        </w:tc>
      </w:tr>
      <w:tr>
        <w:tc>
          <w:tcPr/>
          <w:p>
            <w:pPr>
              <w:pStyle w:val="Compact"/>
            </w:pPr>
            <w:r>
              <w:t xml:space="preserve">Птица</w:t>
            </w:r>
          </w:p>
        </w:tc>
        <w:tc>
          <w:tcPr/>
          <w:p>
            <w:pPr>
              <w:pStyle w:val="Compact"/>
            </w:pPr>
            <w:r>
              <w:t xml:space="preserve">40</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r>
      <w:tr>
        <w:tc>
          <w:tcPr/>
          <w:p>
            <w:pPr>
              <w:pStyle w:val="Compact"/>
            </w:pPr>
            <w:r>
              <w:t xml:space="preserve">Колбаса, колбасные изделия</w:t>
            </w:r>
          </w:p>
        </w:tc>
        <w:tc>
          <w:tcPr/>
          <w:p>
            <w:pPr>
              <w:pStyle w:val="Compact"/>
            </w:pPr>
            <w:r>
              <w:t xml:space="preserve">25</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r>
      <w:tr>
        <w:tc>
          <w:tcPr/>
          <w:p>
            <w:pPr>
              <w:pStyle w:val="Compact"/>
            </w:pPr>
            <w:r>
              <w:t xml:space="preserve">Рыба, рыбопродукты</w:t>
            </w:r>
          </w:p>
        </w:tc>
        <w:tc>
          <w:tcPr/>
          <w:p>
            <w:pPr>
              <w:pStyle w:val="Compact"/>
            </w:pPr>
            <w:r>
              <w:t xml:space="preserve">41,8</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r>
      <w:tr>
        <w:tc>
          <w:tcPr/>
          <w:p>
            <w:pPr>
              <w:pStyle w:val="Compact"/>
            </w:pPr>
            <w:r>
              <w:t xml:space="preserve">Сыр</w:t>
            </w:r>
          </w:p>
        </w:tc>
        <w:tc>
          <w:tcPr/>
          <w:p>
            <w:pPr>
              <w:pStyle w:val="Compact"/>
            </w:pPr>
            <w:r>
              <w:t xml:space="preserve">14</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r>
      <w:tr>
        <w:tc>
          <w:tcPr/>
          <w:p>
            <w:pPr>
              <w:pStyle w:val="Compact"/>
            </w:pPr>
            <w:r>
              <w:t xml:space="preserve">Яйцо</w:t>
            </w:r>
          </w:p>
        </w:tc>
        <w:tc>
          <w:tcPr/>
          <w:p>
            <w:pPr>
              <w:pStyle w:val="Compact"/>
            </w:pPr>
            <w:r>
              <w:t xml:space="preserve">4 шт./нед</w:t>
            </w:r>
          </w:p>
        </w:tc>
        <w:tc>
          <w:tcPr/>
          <w:p>
            <w:pPr>
              <w:pStyle w:val="Compact"/>
            </w:pPr>
            <w:r>
              <w:t xml:space="preserve">4 шт./нед</w:t>
            </w:r>
          </w:p>
        </w:tc>
        <w:tc>
          <w:tcPr/>
          <w:p>
            <w:pPr>
              <w:pStyle w:val="Compact"/>
            </w:pPr>
            <w:r>
              <w:t xml:space="preserve">3,5 шт./нед</w:t>
            </w:r>
          </w:p>
        </w:tc>
        <w:tc>
          <w:tcPr/>
          <w:p>
            <w:pPr>
              <w:pStyle w:val="Compact"/>
            </w:pPr>
            <w:r>
              <w:t xml:space="preserve">4 шт./нед</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продукты</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 мл</w:t>
            </w:r>
          </w:p>
        </w:tc>
      </w:tr>
      <w:tr>
        <w:tc>
          <w:tcPr/>
          <w:p>
            <w:pPr>
              <w:pStyle w:val="Compact"/>
            </w:pPr>
            <w:r>
              <w:t xml:space="preserve">Творог</w:t>
            </w:r>
          </w:p>
        </w:tc>
        <w:tc>
          <w:tcPr/>
          <w:p>
            <w:pPr>
              <w:pStyle w:val="Compact"/>
            </w:pPr>
            <w:r>
              <w:t xml:space="preserve">40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20 мл</w:t>
            </w:r>
          </w:p>
        </w:tc>
      </w:tr>
      <w:tr>
        <w:tc>
          <w:tcPr/>
          <w:p>
            <w:pPr>
              <w:pStyle w:val="Compact"/>
            </w:pPr>
            <w:r>
              <w:t xml:space="preserve">Маргарин</w:t>
            </w:r>
          </w:p>
        </w:tc>
        <w:tc>
          <w:tcPr/>
          <w:p>
            <w:pPr>
              <w:pStyle w:val="Compact"/>
            </w:pPr>
            <w:r>
              <w:t xml:space="preserve">10</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Сметана</w:t>
            </w:r>
          </w:p>
        </w:tc>
        <w:tc>
          <w:tcPr/>
          <w:p>
            <w:pPr>
              <w:pStyle w:val="Compact"/>
            </w:pPr>
            <w:r>
              <w:t xml:space="preserve">10</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50⁴</w:t>
            </w:r>
          </w:p>
        </w:tc>
      </w:tr>
      <w:tr>
        <w:tc>
          <w:tcPr/>
          <w:p>
            <w:pPr>
              <w:pStyle w:val="Compact"/>
            </w:pPr>
            <w:r>
              <w:t xml:space="preserve">Сахар</w:t>
            </w:r>
          </w:p>
        </w:tc>
        <w:tc>
          <w:tcPr/>
          <w:p>
            <w:pPr>
              <w:pStyle w:val="Compact"/>
            </w:pPr>
            <w:r>
              <w:t xml:space="preserve">57</w:t>
            </w:r>
          </w:p>
        </w:tc>
        <w:tc>
          <w:tcPr/>
          <w:p>
            <w:pPr>
              <w:pStyle w:val="Compact"/>
            </w:pPr>
            <w:r>
              <w:t xml:space="preserve">57</w:t>
            </w:r>
          </w:p>
        </w:tc>
        <w:tc>
          <w:tcPr/>
          <w:p>
            <w:pPr>
              <w:pStyle w:val="Compact"/>
            </w:pPr>
            <w:r>
              <w:t xml:space="preserve">15⁵</w:t>
            </w:r>
          </w:p>
        </w:tc>
        <w:tc>
          <w:tcPr/>
          <w:p>
            <w:pPr>
              <w:pStyle w:val="Compact"/>
            </w:pPr>
            <w:r>
              <w:t xml:space="preserve">53</w:t>
            </w:r>
          </w:p>
        </w:tc>
        <w:tc>
          <w:tcPr/>
          <w:p>
            <w:pPr>
              <w:pStyle w:val="Compact"/>
            </w:pPr>
            <w:r>
              <w:t xml:space="preserve">57</w:t>
            </w:r>
          </w:p>
        </w:tc>
        <w:tc>
          <w:tcPr/>
          <w:p>
            <w:pPr>
              <w:pStyle w:val="Compact"/>
            </w:pPr>
            <w:r>
              <w:t xml:space="preserve">(в составе 50⁴)</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кофейный напиток, какао</w:t>
            </w:r>
          </w:p>
        </w:tc>
        <w:tc>
          <w:tcPr/>
          <w:p>
            <w:pPr>
              <w:pStyle w:val="Compact"/>
            </w:pPr>
            <w:r>
              <w:t xml:space="preserve">1,5</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r>
      <w:tr>
        <w:tc>
          <w:tcPr/>
          <w:p>
            <w:pPr>
              <w:pStyle w:val="Compact"/>
            </w:pPr>
            <w:r>
              <w:t xml:space="preserve">Соль</w:t>
            </w:r>
          </w:p>
        </w:tc>
        <w:tc>
          <w:tcPr/>
          <w:p>
            <w:pPr>
              <w:pStyle w:val="Compact"/>
            </w:pPr>
            <w:r>
              <w:t xml:space="preserve">10</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r>
      <w:tr>
        <w:tc>
          <w:tcPr/>
          <w:p>
            <w:pPr>
              <w:pStyle w:val="Compact"/>
            </w:pPr>
            <w:r>
              <w:t xml:space="preserve">СБКС</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1 драже 3 раза в неделю</w:t>
            </w:r>
          </w:p>
        </w:tc>
        <w:tc>
          <w:tcPr/>
          <w:p>
            <w:pPr>
              <w:pStyle w:val="Compact"/>
            </w:pPr>
            <w:r>
              <w:t xml:space="preserve">1 драже 3 раза в неделю</w:t>
            </w:r>
          </w:p>
        </w:tc>
        <w:tc>
          <w:tcPr/>
          <w:p>
            <w:pPr>
              <w:pStyle w:val="Compact"/>
            </w:pPr>
            <w:r>
              <w:t xml:space="preserve">—</w:t>
            </w:r>
          </w:p>
        </w:tc>
        <w:tc>
          <w:tcPr/>
          <w:p>
            <w:pPr>
              <w:pStyle w:val="Compact"/>
            </w:pPr>
            <w:r>
              <w:t xml:space="preserve">—</w:t>
            </w:r>
          </w:p>
        </w:tc>
        <w:tc>
          <w:tcPr/>
          <w:p>
            <w:pPr>
              <w:pStyle w:val="Compact"/>
            </w:pPr>
            <w:r>
              <w:t xml:space="preserve">1 драже 3 раза в неделю</w:t>
            </w:r>
          </w:p>
        </w:tc>
        <w:tc>
          <w:tcPr/>
          <w:p>
            <w:pPr>
              <w:pStyle w:val="Compact"/>
            </w:pPr>
            <w:r>
              <w:t xml:space="preserve">50–100 % физиол. нормы по мед. показаниям</w:t>
            </w:r>
          </w:p>
        </w:tc>
      </w:tr>
    </w:tbl>
    <w:p>
      <w:pPr>
        <w:pStyle w:val="BodyText"/>
      </w:pPr>
      <w:r>
        <w:t xml:space="preserve">¹ Сумма: свежие 340 + солёные и маринованные 15 + зелень 14,8 + консервированные 24,7. ² Сухофрукты 20 и шиповник 15 указаны в приказе № 520н раздельно. ³ Для лиц с сахарным диабетом — «сок без сахара». ⁴ В приказе № 520н — единая позиция «сахар, варенье, печенье, кондитерские изделия». ⁵ Для лиц с сахарным диабетом сахар не входит в рецептуру блюд и выдаётся отдельно (примечание к постановлению № 1284).</w:t>
      </w:r>
    </w:p>
    <w:bookmarkEnd w:id="165"/>
    <w:bookmarkStart w:id="170"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63]</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72, 73, 75]</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[120–133, 136]</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41, 52, 88–93, 97, 98, 100, 101, 106–109, 111–113, 119]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73, 88, 119]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66"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расширен только за счёт новых источников; число позиций в списке источников выросло с 98 до 132 (по данным сборки), в третьем проходе — до 136, в четвёртом — до 143. Ниже — что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66"/>
    <w:bookmarkStart w:id="167"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вычитан и переписан литературно: убраны канцелярские связки и пустые обороты, длинные абзацы о деле № А73-20917/2024 разбиты, формулировки сокращены. Каждое утверждение с источником, числа, ссылки, классы утверждений, словарь различений, 40 противоречий, 16 сценариев и 24 предложения сохранены; сверка ссылок и чисел до и после правки проведена по каждой главе. Новые факты внесены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[69]; изменения красноярского акта постановлениями № 74-п (2024) и № 892-п (2025) и отдельный раздел норм для ПНИ (с 2026 г. — ДСО) [82]; изменение ленинградского приказа от 04.08.2025 № 04-81 [83]</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[127]</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115–118]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[38]</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67"/>
    <w:bookmarkStart w:id="168" w:name="X4bb1c9e9b3804963a91cce012a1711de9d8f73d"/>
    <w:p>
      <w:pPr>
        <w:pStyle w:val="Heading2"/>
      </w:pPr>
      <w:r>
        <w:t xml:space="preserve">Четвёртый проход: незакрытые вопросы (октябрь 2026 г.)</w:t>
      </w:r>
    </w:p>
    <w:p>
      <w:pPr>
        <w:pStyle w:val="FirstParagraph"/>
      </w:pPr>
      <w:r>
        <w:t xml:space="preserve">Проверены вопросы, оставшиеся открытыми после третьего прохода. Новые факты внесены только с источниками; где первоисточник не найден, вопрос закрыт как непроверенный с перечнем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с бокса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[59, 60];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[68, 77];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[79];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[82];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[83];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[34];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[90];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[88]</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68"/>
    <w:bookmarkStart w:id="169" w:name="Xbaab12f218524ef5d07d435baa3db50c1420963"/>
    <w:p>
      <w:pPr>
        <w:pStyle w:val="Heading2"/>
      </w:pPr>
      <w:r>
        <w:t xml:space="preserve">Пятый проход: 12 точек из канона и gaps (октябрь 2026 г.)</w:t>
      </w:r>
    </w:p>
    <w:p>
      <w:pPr>
        <w:pStyle w:val="FirstParagraph"/>
      </w:pPr>
      <w:r>
        <w:t xml:space="preserve">Перед правкой перечитаны канон — доклад «Не просто накормить» [22] —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внесены только с источниками; от имени Минтруда России доклад не говорит; диет, текстур и лекарств не назначает. Число позиций в списке источников —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[48]</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[36, 138]</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[136]</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Правовой «чемоданчик»</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[87]. Автор как руководитель учреждения 05.10.2026 подтвердил аутсорсинг питания [86]; кейс внесён в п. 4.8, 4.10, 4.11, сценарий 8 (с рекомендацией записывать выбор в ТЗ договора услуг), гл. 9 (поз. 44 снята) и заключение. Тексты извещений, ТЗ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с бокса недоступна.</w:t>
      </w:r>
    </w:p>
    <w:bookmarkEnd w:id="169"/>
    <w:bookmarkEnd w:id="170"/>
    <w:bookmarkStart w:id="171"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просит приложить к докладу локальные акты ДСО «Серафимовский» сверх приказа № 124, полный текст постановления Санкт-Петербурга № 1284 и распоряжение № 1366-р [23]. Файлы, которые удалось получить из публичных источников, лежат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питании сверх приказа от 10.03.2026 № 124 (положение о питании, формы меню-пар, журналы заказа)</w:t>
            </w:r>
          </w:p>
        </w:tc>
        <w:tc>
          <w:tcPr/>
          <w:p>
            <w:pPr>
              <w:pStyle w:val="Compact"/>
            </w:pPr>
            <w:r>
              <w:t xml:space="preserve">—</w:t>
            </w:r>
          </w:p>
        </w:tc>
        <w:tc>
          <w:tcPr/>
          <w:p>
            <w:pPr>
              <w:pStyle w:val="Compact"/>
            </w:pPr>
            <w:r>
              <w:t xml:space="preserve">Сайт учреждения (pni9.ru) прекратил работу; в веб-архиве найдены только правила внутреннего распорядка [28]; закупочная документация 2026 г. видна лишь в перечне файлов агрегатора [87]</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t xml:space="preserve">Полный текст в действующей редакции; не официальная публикация. Нормы для взрослых — прил. Б [33]</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[73]</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[74]; приложен для сравнения с 2025 г. (сценарий 8)</w:t>
            </w:r>
          </w:p>
        </w:tc>
      </w:tr>
    </w:tbl>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2026-10-05T15:44:16Z</dcterms:created>
  <dcterms:modified xsi:type="dcterms:W3CDTF">2026-10-05T15:44:16Z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