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9 октября 2026 г.</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позиции, перепроверенные в седьмом проходе, — на 06.10.2026, сведения об определении Верховного Суда № 303-ЭС25-15393 и о документации конкурса ДСО «Серафимовский» № 32616197209 — на 07.10.2026, сведения о закупках учреждений Самарской области — на 08.10.2026 (дополнение перечня — 13.10.2026), обзор событий госсектора за 28.09–09.10.2026 — на 09.10.2026, ежедневная проверка 09.10–13.10.2026 — на 13.10.2026 (прил.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десяти субъектов, причём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подробно разобрано постановление Правительства Санкт-Петербурга от 29.12.2014 № 1284. Изучены описанные в открытых источниках практики восьми российских учреждений и сообщение министра Иркутской области, закупки семи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и процедуры проверки десяти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он возникает там, где его вводит само учреждение, и исчезает вместе с тем, кто его ввёл.</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Руководитель учреждения формулирует вопрос предельно просто: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Простого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1"/>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1"/>
        </w:numPr>
      </w:pPr>
      <w:r>
        <w:t xml:space="preserve">описать российские практики с указанием того, что источник сообщает и о чём умалчивает (глава 4);</w:t>
      </w:r>
    </w:p>
    <w:p>
      <w:pPr>
        <w:pStyle w:val="Compact"/>
        <w:numPr>
          <w:ilvl w:val="0"/>
          <w:numId w:val="1001"/>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1"/>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1"/>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и подменять их доклад не берётся.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t xml:space="preserve">Понятия и разграничения</w:t>
      </w:r>
    </w:p>
    <w:bookmarkStart w:id="25" w:name="X145fd992fdaadf4695d7a7a026f0ba37950c54b"/>
    <w:p>
      <w:pPr>
        <w:pStyle w:val="Heading2"/>
      </w:pP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содержимого тарелки жителя: пост для проживающего в ПНИ — его право, а не снисхождение пищеблока.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что для ПНИ составляет заметный пропуск.</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 из их смешения проистекает бо́льшая часть споров — как с проверяющими, так и внутри самих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формула «четырнадцать дней без повторов» характеризует меню, а не свободу человека.</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защищает норму, а не выбор; гречка, заменённая рисом «по остаткам», есть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разграничивает один вопрос: что изменилось сегодня в тарелке конкретного жителя и кто принял это решение?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 и это расхождение необходимо удерживать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для проверки: его исполнение видно в журнале и на линии раздачи. Широкое удобно для отчёта, поскольку под него подпадает почти любая перемена. Доклад пользуется узким определением и особо оговаривает случаи предварительного заказа. Заказ накануне, на котором построена практика ДСО «Серафимовский» [21], по узкому определению признаётся выбором при условии, что заказанное блюдо фактически подаётся заказавшему; заказ на неделю вперёд представляет собой выбор с отсрочкой, при котором право изменить решение в день подачи становится самостоятельным вопросом.</w:t>
      </w:r>
    </w:p>
    <w:bookmarkStart w:id="27" w:name="что-вариативным-меню-не-является"/>
    <w:p>
      <w:pPr>
        <w:pStyle w:val="Heading3"/>
      </w:pP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w:t>
      </w:r>
      <w:r>
        <w:t xml:space="preserve"> </w:t>
      </w:r>
      <w:r>
        <w:rPr>
          <w:b/>
          <w:bCs/>
        </w:rPr>
        <w:t xml:space="preserve">Выбор в момент еды</w:t>
      </w:r>
      <w:r>
        <w:t xml:space="preserve"> </w:t>
      </w:r>
      <w:r>
        <w:t xml:space="preserve">— на линии раздачи или у тележки — представляет узкое определение в чистом виде.</w:t>
      </w:r>
      <w:r>
        <w:t xml:space="preserve"> </w:t>
      </w:r>
      <w:r>
        <w:rPr>
          <w:b/>
          <w:bCs/>
        </w:rPr>
        <w:t xml:space="preserve">Предварительный заказ</w:t>
      </w:r>
      <w:r>
        <w:t xml:space="preserve">, накануне или на неделю, признаётся выбором при условии, что заказанное подано заказавшему и в день подачи решение может быть изменено.</w:t>
      </w:r>
      <w:r>
        <w:t xml:space="preserve"> </w:t>
      </w:r>
      <w:r>
        <w:rPr>
          <w:b/>
          <w:bCs/>
        </w:rPr>
        <w:t xml:space="preserve">Самостоятельная комплектация</w:t>
      </w:r>
      <w:r>
        <w:t xml:space="preserve"> </w:t>
      </w:r>
      <w:r>
        <w:t xml:space="preserve">— линия самообслуживания или ежедневный «шведский стол» — соответствует модели М3. Предварительный заказ без права изменить решение в день подачи доклад квалифицирует как выбор с отсрочкой и предлагает отмечать его в отчёте особо (толкование).</w:t>
      </w:r>
    </w:p>
    <w:bookmarkEnd w:id="27"/>
    <w:bookmarkEnd w:id="28"/>
    <w:bookmarkStart w:id="30" w:name="три-шкалы-которые-нельзя-склеивать"/>
    <w:p>
      <w:pPr>
        <w:pStyle w:val="Heading2"/>
      </w:pP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t xml:space="preserve">М1 и ступень 1: одинаковая цифра, разные вещи</w:t>
      </w:r>
    </w:p>
    <w:p>
      <w:pPr>
        <w:pStyle w:val="FirstParagraph"/>
      </w:pPr>
      <w:r>
        <w:t xml:space="preserve">Совпадение цифр у двух шкал — главный источник путаницы, причём в отчётах она встречается чаще, чем в спорах.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t xml:space="preserve">Краткая история регулирования</w:t>
      </w:r>
    </w:p>
    <w:p>
      <w:pPr>
        <w:pStyle w:val="FirstParagraph"/>
      </w:pPr>
      <w:r>
        <w:t xml:space="preserve">Хронология необходима потому, что в современной практике одновременно действуют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t xml:space="preserve">Выводы по главе 1</w:t>
      </w:r>
    </w:p>
    <w:p>
      <w:pPr>
        <w:pStyle w:val="FirstParagraph"/>
      </w:pPr>
      <w:r>
        <w:t xml:space="preserve">Понятийный аппарат доклада держится на нескольких разграничениях, каждое из которых имеет практическое следствие.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 Эти разграничения задают рамку анализа федерального права в главе 2.</w:t>
      </w:r>
    </w:p>
    <w:bookmarkEnd w:id="33"/>
    <w:bookmarkEnd w:id="34"/>
    <w:bookmarkStart w:id="55" w:name="федеральное-право"/>
    <w:p>
      <w:pPr>
        <w:pStyle w:val="Heading1"/>
      </w:pPr>
      <w:r>
        <w:t xml:space="preserve">Федеральное право</w:t>
      </w:r>
    </w:p>
    <w:bookmarkStart w:id="35" w:name="X8bd04afd5948cd527cf061bf897c66d1e5a54d5"/>
    <w:p>
      <w:pPr>
        <w:pStyle w:val="Heading2"/>
      </w:pP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два вторых блюда из них не вывести; выводится иное: ограничения в повседневной жизни жителя должны иметь основание, а не проистекать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«может ли этот человек выбрать» следует ставить как вопрос о том, какая поддержка необходима, чтобы выбор принадлежал ему, а не закрывать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противоречия нет, есть лишь разная глубина ссылки.</w:t>
      </w:r>
    </w:p>
    <w:p>
      <w:pPr>
        <w:pStyle w:val="BodyText"/>
      </w:pPr>
      <w:r>
        <w:t xml:space="preserve">Для вариативного меню существеннее другое.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Им установлено,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весомее Примерного порядка: в отличие от приказа № 935н, Правила обращены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Из сказанного вытекают три следствия для вариативного меню (толкование). Прежде всего,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Далее, выбора блюд как такового Правила не требуют, и обосновывать приказом № 305н ежедневный выбор из двух вторых значило бы толковать его расширительно. Наконец,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t xml:space="preserve">Нормы питания: приказ № 520н и методические рекомендации 2002 г.</w:t>
      </w:r>
    </w:p>
    <w:bookmarkStart w:id="39" w:name="приказ-520н"/>
    <w:p>
      <w:pPr>
        <w:pStyle w:val="Heading3"/>
      </w:pP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Именно здесь находится основное законное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40"/>
    <w:bookmarkStart w:id="41" w:name="нормы-физиологических-потребностей"/>
    <w:p>
      <w:pPr>
        <w:pStyle w:val="Heading3"/>
      </w:pP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что по существу это верно, однако правовой адрес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[45–47].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[48]. Это локальная форма, а не норма, но она свидетельствует, что механизм, необходимый вариативному меню, во многих учреждениях уже существует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Следовательно (толкование), механизм эквивалентной замены для взрослых в социальном обслуживании существует, но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Для руководителя учреждения отсюда вытекает практическое правило: применяемая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t xml:space="preserve">Санитарные правила: переход от СанПиН 3590-20 к СанПиН 4282-26</w:t>
      </w:r>
    </w:p>
    <w:bookmarkStart w:id="44" w:name="хронология-и-действие-во-времени"/>
    <w:p>
      <w:pPr>
        <w:pStyle w:val="Heading3"/>
      </w:pP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[49]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49].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[49];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 каким бы удачным он ни был.</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Особого внимания заслуживает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Вопрос «почему сегодня два вторых» поэтому к предмету санитарного надзора не относится, тогда как вопросы «где ТТК на второе Б», «где проба» и «сколько часов оно стоит на линии» — относятся.</w:t>
      </w:r>
    </w:p>
    <w:bookmarkEnd w:id="47"/>
    <w:bookmarkStart w:id="48" w:name="подп.-5-п.-56-кто-раздаёт-пищу"/>
    <w:p>
      <w:pPr>
        <w:pStyle w:val="Heading3"/>
      </w:pP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50–52].</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и формулировка точна.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[53].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[54],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представляет собой не «вариативность по желанию пищеблока», а условие осуществления права, закреплённого законом.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t xml:space="preserve">Закупки: 44-ФЗ и 223-ФЗ</w:t>
      </w:r>
    </w:p>
    <w:p>
      <w:pPr>
        <w:pStyle w:val="FirstParagraph"/>
      </w:pPr>
      <w:r>
        <w:t xml:space="preserve">Питание зависит от закупки сильнее, чем от рецептуры: именно спецификация решает, окажется ли на складе второй продукт группы. Государственное бюджетное учреждение закупает по 44-ФЗ [55].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[56]. Положения 44-ФЗ распространяются на закупки автономного учреждения за счёт субсидий на капитальные вложения (ч. 4 ст. 15 44-ФЗ) [55].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[57].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[58].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[58].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[58].</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[59].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[58, 59].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[60].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[61].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[61].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[62].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[62]. Кроме отказа, определение взыскивает с учреждения 80 000 руб. государственной пошлины, уплата которой была отсрочена определением от 29.12.2025 [60, 62].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[59, 62].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[60, 62].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[63].</w:t>
      </w:r>
    </w:p>
    <w:p>
      <w:pPr>
        <w:pStyle w:val="BodyText"/>
      </w:pPr>
      <w:r>
        <w:t xml:space="preserve">Для стационарной организации социального обслуживания это различие имеет решающее значение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[62].</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[64]. Закупочные решения для вариативного меню сопоставлены в п. 7.7.</w:t>
      </w:r>
    </w:p>
    <w:bookmarkEnd w:id="52"/>
    <w:bookmarkStart w:id="53" w:name="ответственность"/>
    <w:p>
      <w:pPr>
        <w:pStyle w:val="Heading2"/>
      </w:pP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[65].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[66].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[67]; выбор состава, таким образом,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[68], УФАС по Челябинской области в 2025 г. — о картеле на 27 тендерах школьного питания со штрафом 5,1 млн руб. [69]. Вывод для вариативного меню узок: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t xml:space="preserve">Выводы по главе 2</w:t>
      </w:r>
    </w:p>
    <w:p>
      <w:pPr>
        <w:pStyle w:val="FirstParagraph"/>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Итоговая квалификация утверждений приведена в таблице; региональный уровень, на котором рамка наполняется содержанием, рассматривается в главе 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7" w:name="региональные-нормы-питания"/>
    <w:p>
      <w:pPr>
        <w:pStyle w:val="Heading1"/>
      </w:pPr>
      <w:r>
        <w:t xml:space="preserve">Региональные нормы питания</w:t>
      </w:r>
    </w:p>
    <w:bookmarkStart w:id="56" w:name="архитектура-регионального-регулирования"/>
    <w:p>
      <w:pPr>
        <w:pStyle w:val="Heading2"/>
      </w:pP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ключевым уровнем являются нормы питания, поскольку именно они определяют, из чего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45–47, 70–72]; для остальных субъектов он заимствован из первой редакции. Вариативное меню в России, следовательно, повсеместно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Классификация полезна, однако выведенное из неё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t xml:space="preserve">Санкт-Петербург: постановление № 1284</w:t>
      </w:r>
    </w:p>
    <w:bookmarkStart w:id="57" w:name="реквизиты-и-структура"/>
    <w:p>
      <w:pPr>
        <w:pStyle w:val="Heading3"/>
      </w:pP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73]. Постановлением № 929 приложение изложено в новой редакции с 01.01.2020 [73];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2"/>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2"/>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2"/>
        </w:numPr>
      </w:pPr>
      <w:r>
        <w:t xml:space="preserve">нормы питания беременных женщин и кормящих матерей;</w:t>
      </w:r>
    </w:p>
    <w:p>
      <w:pPr>
        <w:pStyle w:val="Compact"/>
        <w:numPr>
          <w:ilvl w:val="0"/>
          <w:numId w:val="1002"/>
        </w:numPr>
      </w:pPr>
      <w:r>
        <w:t xml:space="preserve">нормы питания детей первого года жизни, проживающих с матерями;</w:t>
      </w:r>
    </w:p>
    <w:p>
      <w:pPr>
        <w:pStyle w:val="Compact"/>
        <w:numPr>
          <w:ilvl w:val="0"/>
          <w:numId w:val="1002"/>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2"/>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2"/>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Сопоставление позволяет сделать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чем региональный нормотворец «заменяет»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здесь важен прецедент: региональный акт сам содержит пару эквивалентных наборов. Выбирает между ними не житель, а врач и учреждение, однако логика «два пути к одной пищевой ценности» заложена в самой норме.</w:t>
      </w:r>
    </w:p>
    <w:bookmarkEnd w:id="59"/>
    <w:bookmarkStart w:id="60" w:name="порядок-и-тарифы"/>
    <w:p>
      <w:pPr>
        <w:pStyle w:val="Heading3"/>
      </w:pP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[74]. Тарифы на социальные услуги ежегодно утверждает Комитет по социальной политике: на 2025 г. — распоряжением от 13.12.2024 № 1366-р, на 2026 г. — распоряжением от 15.12.2025 № 1155-р [75, 76].</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зеркально следуют нормам постановления № 1284 и разбиты по тем же категориям [75, 76].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[76].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[77]. Распоряжение о таких нормативах на 2027 г. в открытых официальных источниках найти не удалось (повторный поиск — 06.10.2026), и его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[75]</w:t>
            </w:r>
          </w:p>
        </w:tc>
        <w:tc>
          <w:tcPr/>
          <w:p>
            <w:pPr>
              <w:pStyle w:val="Compact"/>
            </w:pPr>
            <w:r>
              <w:t xml:space="preserve">2026 г., руб. в день [76]</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[75, 76].</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76]. Тарифы 2025 г. рассчитаны на нормы в редакции 2022 г., тарифы 2026 г. — на нормы в редакции № 507; сопоставление тарифов двух лет есть поэтому сопоставление разных наборов продуктов, а не только разных цен.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[75, 76].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w:t>
      </w:r>
    </w:p>
    <w:p>
      <w:pPr>
        <w:pStyle w:val="BodyText"/>
      </w:pPr>
      <w:r>
        <w:t xml:space="preserve">Третье: в 2025 г. тариф для ПНИ превышал общий (571,63 против 560,87), а в 2026 г. соотношение стало обратным (574,43 против 581,33) [75, 76].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78].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[70].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[70].</w:t>
      </w:r>
    </w:p>
    <w:p>
      <w:pPr>
        <w:pStyle w:val="BodyText"/>
      </w:pPr>
      <w:r>
        <w:t xml:space="preserve">Для темы доклада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[70].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вдвойне: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[79]. Текст приказа № 1068 обнаружен в выгрузке справочной системы, сохранённой 03.05.2015 [80].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[80].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[70].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свердловская-область"/>
    <w:p>
      <w:pPr>
        <w:pStyle w:val="Heading2"/>
      </w:pP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4"/>
    <w:bookmarkStart w:id="65" w:name="нижегородская-область"/>
    <w:p>
      <w:pPr>
        <w:pStyle w:val="Heading2"/>
      </w:pP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[81].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[71].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[71].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[71].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Обнаружился, однако,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[48]. Положение подробно описывает устройство единого меню в типичном доме-интернате, то есть ту исходную точку, от которой отсчитывается любой выбор.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[48].</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[82].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состоит в том,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5"/>
    <w:bookmarkStart w:id="66" w:name="омская-область"/>
    <w:p>
      <w:pPr>
        <w:pStyle w:val="Heading2"/>
      </w:pPr>
      <w:r>
        <w:t xml:space="preserve">Омская область</w:t>
      </w:r>
    </w:p>
    <w:p>
      <w:pPr>
        <w:pStyle w:val="FirstParagraph"/>
      </w:pPr>
      <w:r>
        <w:t xml:space="preserve">Нормы утверждены приказом от 11.11.2014 № 171-п [83].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[54]. Опубликованные меню и правила необходимы вариативному меню в любом регионе: житель и его семья должны знать, из чего производится выбор.</w:t>
      </w:r>
    </w:p>
    <w:bookmarkEnd w:id="66"/>
    <w:bookmarkStart w:id="67" w:name="псковская-область"/>
    <w:p>
      <w:pPr>
        <w:pStyle w:val="Heading2"/>
      </w:pP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[84].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[85].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иллюстрирует общую закономерность: диетологическую логику региональные нормы заимствуют из здравоохранения.</w:t>
      </w:r>
    </w:p>
    <w:bookmarkEnd w:id="67"/>
    <w:bookmarkStart w:id="68" w:name="новосибирская-область"/>
    <w:p>
      <w:pPr>
        <w:pStyle w:val="Heading2"/>
      </w:pP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норма заслуживает внимательного прочтения.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[47].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[47].</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[47]. СБКС (27 г) включена в нормы этих типов учреждений со сноской «по медицинским показаниям»; витаминно-минеральные комплексы — 50–100 % физиологической нормы [47].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Показательно, что в регионе с наиболее развитой практикой выбора норма не упоминает ни выбор, ни варианты блюд, ни замену продуктов (проверено по тексту [47]). Новосибирские учреждения строили вариативное питание на той же нормативной основе, что и все остальные (толкование).</w:t>
      </w:r>
    </w:p>
    <w:bookmarkEnd w:id="68"/>
    <w:bookmarkStart w:id="69" w:name="красноярский-край"/>
    <w:p>
      <w:pPr>
        <w:pStyle w:val="Heading2"/>
      </w:pP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[45].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[45].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[45].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[86].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[86].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[86]. На вопрос, меняли ли поправки граммы, отвечают их официальные тексты на Официальном интернет-портале правовой информации [86].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[45, 86].</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[45]. Так учреждение само раскрывает минимум сведений о питании; о выборе блюд в них не говорится.</w:t>
      </w:r>
    </w:p>
    <w:bookmarkEnd w:id="69"/>
    <w:bookmarkStart w:id="70" w:name="ленинградская-область"/>
    <w:p>
      <w:pPr>
        <w:pStyle w:val="Heading2"/>
      </w:pP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[46, 87].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[87].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[46]. СБКС (27 г) и витаминно-минеральные комплексы (50–100 %) включены в норму стационарного обслуживания без оговорки о медицинских показаниях [46].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46].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0"/>
    <w:bookmarkStart w:id="71" w:name="ханты-мансийский-автономный-округ-югра"/>
    <w:p>
      <w:pPr>
        <w:pStyle w:val="Heading2"/>
      </w:pP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[72],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[72]. После 2014 г. постановление № 306-п изменялось постановлениями от 27.03.2015 № 85-п, 30.12.2016 № 569-п, 09.06.2017 № 231-п, 01.10.2021 № 406-п и 12.08.2024 № 306-п [88]. Приложение 1 (нормы в стационарной форме) затронуто лишь изменениями от 06.09.2014 и 09.06.2017: постановлением № 231-п оно изложено в новой редакции, действующей поныне [88].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[88].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[72, 88].</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[46, 88].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46, 72].</w:t>
      </w:r>
    </w:p>
    <w:bookmarkEnd w:id="71"/>
    <w:bookmarkStart w:id="72" w:name="X00d3de5e234226ca574f6e2fd93a9ea259eabf5"/>
    <w:p>
      <w:pPr>
        <w:pStyle w:val="Heading2"/>
      </w:pP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45–47, 71, 88].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[80],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[46]</w:t>
            </w:r>
          </w:p>
        </w:tc>
        <w:tc>
          <w:tcPr/>
          <w:p>
            <w:pPr>
              <w:pStyle w:val="Compact"/>
            </w:pPr>
            <w:r>
              <w:t xml:space="preserve">НСО, брутто [47]</w:t>
            </w:r>
          </w:p>
        </w:tc>
        <w:tc>
          <w:tcPr/>
          <w:p>
            <w:pPr>
              <w:pStyle w:val="Compact"/>
            </w:pPr>
            <w:r>
              <w:t xml:space="preserve">НСО, ≈ нетто</w:t>
            </w:r>
          </w:p>
        </w:tc>
        <w:tc>
          <w:tcPr/>
          <w:p>
            <w:pPr>
              <w:pStyle w:val="Compact"/>
            </w:pPr>
            <w:r>
              <w:t xml:space="preserve">Красноярский край, брутто [45]</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отсюда следует простое правило: проверять пары по своей региональной норме и в тех же единицах (брутто или нетто), в которых она выражена.</w:t>
      </w:r>
    </w:p>
    <w:bookmarkEnd w:id="72"/>
    <w:bookmarkStart w:id="73" w:name="X8eb27cf166f18a127646fce9d4ebaa9d6eac609"/>
    <w:p>
      <w:pPr>
        <w:pStyle w:val="Heading2"/>
      </w:pP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89]. Это учреждение здравоохранения, и его показатели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3"/>
    <w:bookmarkStart w:id="74" w:name="сравнение"/>
    <w:p>
      <w:pPr>
        <w:pStyle w:val="Heading2"/>
      </w:pP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[70]</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[48]</w:t>
            </w:r>
          </w:p>
        </w:tc>
        <w:tc>
          <w:tcPr/>
          <w:p>
            <w:pPr>
              <w:pStyle w:val="Compact"/>
            </w:pPr>
            <w:r>
              <w:t xml:space="preserve">Нормы в ред. № 617 проверены по тексту [71];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[85]</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[47]</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[45]; официальные тексты изменений 2024–2025 гг. прочитаны: граммы взрослых норм не менялись [86]</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 № 04-81 от 04.08.2025 прочитан — приложение 3 не затронуто; изменения 2022–2023 гг. не прочитаны [46, 87]</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[72, 88]</w:t>
            </w:r>
          </w:p>
        </w:tc>
      </w:tr>
    </w:tbl>
    <w:bookmarkEnd w:id="74"/>
    <w:bookmarkStart w:id="75" w:name="что-региональные-нормы-дают-выбору"/>
    <w:p>
      <w:pPr>
        <w:pStyle w:val="Heading2"/>
      </w:pP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которое на практике заполняет привычка: одно меню на всех, потому что так проще рассчитывать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[70].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[46]).</w:t>
      </w:r>
    </w:p>
    <w:bookmarkEnd w:id="75"/>
    <w:bookmarkStart w:id="76" w:name="выводы-по-главе-3"/>
    <w:p>
      <w:pPr>
        <w:pStyle w:val="Heading2"/>
      </w:pPr>
      <w:r>
        <w:t xml:space="preserve">Выводы по главе 3</w:t>
      </w:r>
    </w:p>
    <w:p>
      <w:pPr>
        <w:pStyle w:val="FirstParagraph"/>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Таким образом, нормативная рамка допускает выбор, но не поддерживает его; как учреждения пользуются этим допущением, показывает глава 4.</w:t>
      </w:r>
    </w:p>
    <w:bookmarkEnd w:id="76"/>
    <w:bookmarkEnd w:id="77"/>
    <w:bookmarkStart w:id="91" w:name="Xf09e6ab2afcf5c9c4f778be4ab23d0c94cf7ff9"/>
    <w:p>
      <w:pPr>
        <w:pStyle w:val="Heading1"/>
      </w:pPr>
      <w:r>
        <w:t xml:space="preserve">Российские практики: что известно из открытых источников</w:t>
      </w:r>
    </w:p>
    <w:bookmarkStart w:id="78" w:name="метод-и-ограничения"/>
    <w:p>
      <w:pPr>
        <w:pStyle w:val="Heading2"/>
      </w:pP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а также закупочные извещения учреждений Самарской области, найденные 08.10.2026 (п. 4.10), и события госсектора за 28.09–09.10.2026 (п. 4.11). Каждое сообщение прочитано в двух планах: что источник утверждает и о чём умалчивает. Новость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демонстрируют организационные решения, но не доказывают эффекта.</w:t>
      </w:r>
    </w:p>
    <w:p>
      <w:pPr>
        <w:pStyle w:val="BodyText"/>
      </w:pPr>
      <w:r>
        <w:t xml:space="preserve">В отличие от первой редакции, где был описан единственный российский кейс (Болотнинский ПНИ) [1], здесь рассмотрены восемь учреждений и одно региональное сообщение, к которым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bookmarkEnd w:id="78"/>
    <w:bookmarkStart w:id="79" w:name="X18101007067e34d80d4b8530f4a1c0e252cdf1b"/>
    <w:p>
      <w:pPr>
        <w:pStyle w:val="Heading2"/>
      </w:pP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что спустя два года практика сохраняется.</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79"/>
    <w:bookmarkStart w:id="80" w:name="X4b17d53f54fc99917a2fa9a7033dd710b90ddb5"/>
    <w:p>
      <w:pPr>
        <w:pStyle w:val="Heading2"/>
      </w:pP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порядок величин для сценария 14 гл. 7 они задают: самообслуживание способно сокращать раздачу, а не удлинять её, если жители в состоянии подойти к линии. Для тех, кто к линии не подходит, вопрос остаётся открытым (п. 7.16).</w:t>
      </w:r>
    </w:p>
    <w:bookmarkEnd w:id="80"/>
    <w:bookmarkStart w:id="81" w:name="X796e4714888669a4dc647afc5de6b3c0c9844c8"/>
    <w:p>
      <w:pPr>
        <w:pStyle w:val="Heading2"/>
      </w:pP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1"/>
    <w:bookmarkStart w:id="82" w:name="X65fe2e57e8f57d73a509b6b2e268eaef0d24458"/>
    <w:p>
      <w:pPr>
        <w:pStyle w:val="Heading2"/>
      </w:pP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dyTex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здесь из обнаруженных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наглядно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2"/>
    <w:bookmarkStart w:id="83" w:name="X3f89a0cbb8cada9be07f4af4ed2d97c19342264"/>
    <w:p>
      <w:pPr>
        <w:pStyle w:val="Heading2"/>
      </w:pP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Повторный поиск оригинала сообщения министерства от 14.02.2025 в октябре 2026 г. (поисковые системы; веб-архив, недоступный из среды подготовки доклада; агрегатор, закрытый защитой от автоматического доступа) результата не дал, в том числе при последней попытке 06.10.2026;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dyTex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3"/>
    <w:bookmarkStart w:id="84" w:name="X6bb2f0c08f1e0dc8142aecca2c3dd90011e3729"/>
    <w:p>
      <w:pPr>
        <w:pStyle w:val="Heading2"/>
      </w:pP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свидетельствует, что к 2026 г. практика вышла за пределы отдельных учреждений и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4"/>
    <w:bookmarkStart w:id="85" w:name="дсо-серафимовский-санкт-петербург"/>
    <w:p>
      <w:pPr>
        <w:pStyle w:val="Heading2"/>
      </w:pP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[90].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[90].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[91] (конфликт интересов раскрыт выше). Учреждение закупает услугу по 223-ФЗ («оказание услуг по организации питания», ОКПД2 56.29.19.000). По данным закупочных реестров [92, 93], цепочка 2026 г. выглядит так:</w:t>
      </w:r>
    </w:p>
    <w:p>
      <w:pPr>
        <w:pStyle w:val="Compact"/>
        <w:numPr>
          <w:ilvl w:val="0"/>
          <w:numId w:val="1003"/>
        </w:numPr>
      </w:pPr>
      <w:r>
        <w:t xml:space="preserve">договор на 2026 г. № 32515363453-01 от 02.12.2025 с ООО «АгроФуд» на 219 945 788 руб.;</w:t>
      </w:r>
    </w:p>
    <w:p>
      <w:pPr>
        <w:pStyle w:val="Compact"/>
        <w:numPr>
          <w:ilvl w:val="0"/>
          <w:numId w:val="1003"/>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3"/>
        </w:numPr>
      </w:pPr>
      <w:r>
        <w:t xml:space="preserve">конкурс на август — декабрь 2026 г. с начальной ценой 92 110 941,90 руб. (извещение № 32616197209);</w:t>
      </w:r>
    </w:p>
    <w:p>
      <w:pPr>
        <w:pStyle w:val="Compact"/>
        <w:numPr>
          <w:ilvl w:val="0"/>
          <w:numId w:val="1003"/>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Карточки извещений и начальные цены сверены по агрегаторам закупок; номера, даты и исполнители договоров взяты из реестра договоров Единой информационной системы, которая из среды подготовки доклада недоступна, а агрегаторы этих договоров не показывают, поэтому в докладе они</w:t>
      </w:r>
      <w:r>
        <w:t xml:space="preserve"> </w:t>
      </w:r>
      <w:r>
        <w:rPr>
          <w:b/>
          <w:bCs/>
        </w:rPr>
        <w:t xml:space="preserve">не сверены независимо</w:t>
      </w:r>
      <w:r>
        <w:t xml:space="preserve"> </w:t>
      </w:r>
      <w:r>
        <w:t xml:space="preserve">[93].</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[92].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w:t>
      </w:r>
      <w:r>
        <w:t xml:space="preserve"> </w:t>
      </w:r>
      <w:r>
        <w:rPr>
          <w:b/>
          <w:bCs/>
        </w:rPr>
        <w:t xml:space="preserve">цикличное, а не вариативное</w:t>
      </w:r>
      <w:r>
        <w:t xml:space="preserve"> </w:t>
      </w:r>
      <w:r>
        <w:t xml:space="preserve">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доклад не проверял: документация конкурса из среды подготовки доклада недоступна. Повторная попытка 07.10.2026 результата также не дала. Единая информационная система по-прежнему недоступна, а агрегаторы закупок показывают лишь перечень файлов без доступа к их содержанию: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[92].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[93];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по-прежнему</w:t>
      </w:r>
      <w:r>
        <w:t xml:space="preserve"> </w:t>
      </w:r>
      <w:r>
        <w:rPr>
          <w:b/>
          <w:bCs/>
        </w:rPr>
        <w:t xml:space="preserve">не сверены</w:t>
      </w:r>
      <w:r>
        <w:t xml:space="preserve">. Доли жителей и меню-пары здесь не приводятся.</w:t>
      </w:r>
    </w:p>
    <w:p>
      <w:pPr>
        <w:pStyle w:val="BodyText"/>
      </w:pPr>
      <w:r>
        <w:t xml:space="preserve">Тем самым ДСО «Серафимовский» оказывается единственным обнаруженным российским кейсом, в котором вариативное меню при аутсорсинге питания описано как действующая практика (заказ накануне, М1). Единственным кейсом аутсорсинга с выбором он больше не является: в Самарской области вариативное меню с 2025 г. стоит в самом наименовании объекта закупки услуги питания у стороннего исполнителя (п. 4.10), однако там, наоборот, неизвестно, как устроен выбор [94]. Оговорка о «Серафимовском» двойная: это учреждение самого автора, и кейс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обнаруживает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dyTex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нередко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[95].</w:t>
      </w:r>
    </w:p>
    <w:bookmarkEnd w:id="85"/>
    <w:bookmarkStart w:id="86" w:name="X99536bb5461ad5cfa94faa41e7bed5a29a1a49a"/>
    <w:p>
      <w:pPr>
        <w:pStyle w:val="Heading2"/>
      </w:pP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6"/>
    <w:bookmarkStart w:id="87" w:name="X14dcbfdac572c2481c823d6fb4b25ec02807b59"/>
    <w:p>
      <w:pPr>
        <w:pStyle w:val="Heading2"/>
      </w:pP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[94]. На 08.10.2026 найдено восемь таких извещений шести учреждений; 13.10.2026 перечень дополнен ещё двумя учреждениями (см. ниже). Учреждения с формулировкой «по вариативному меню» в предмете:</w:t>
      </w:r>
    </w:p>
    <w:p>
      <w:pPr>
        <w:pStyle w:val="Compact"/>
        <w:numPr>
          <w:ilvl w:val="0"/>
          <w:numId w:val="1004"/>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4"/>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(карточка с показом 28.08–14.09.2026; 17 269 464,28 руб.);</w:t>
      </w:r>
    </w:p>
    <w:p>
      <w:pPr>
        <w:pStyle w:val="Compact"/>
        <w:numPr>
          <w:ilvl w:val="0"/>
          <w:numId w:val="1004"/>
        </w:numPr>
      </w:pPr>
      <w:r>
        <w:t xml:space="preserve">Отрадненский дом-интернат для престарелых, инвалидов — на 2027 г. (№ 0142200001326016025 от 12.08.2026; 12 027 024,75 руб.; 13 975 койко-дней по 860,61 руб.);</w:t>
      </w:r>
    </w:p>
    <w:p>
      <w:pPr>
        <w:pStyle w:val="Compact"/>
        <w:numPr>
          <w:ilvl w:val="0"/>
          <w:numId w:val="1004"/>
        </w:numPr>
      </w:pPr>
      <w:r>
        <w:t xml:space="preserve">Чапаевский дом-интернат для престарелых, инвалидов — № 0142200001326016110 (12 597 084,15 руб.; 818,79 руб.);</w:t>
      </w:r>
    </w:p>
    <w:p>
      <w:pPr>
        <w:pStyle w:val="Compact"/>
        <w:numPr>
          <w:ilvl w:val="0"/>
          <w:numId w:val="1004"/>
        </w:numPr>
      </w:pPr>
      <w:r>
        <w:t xml:space="preserve">ДСО «Самарский» — № 0142200001326016190 (11 921 555,20 руб.);</w:t>
      </w:r>
    </w:p>
    <w:p>
      <w:pPr>
        <w:pStyle w:val="Compact"/>
        <w:numPr>
          <w:ilvl w:val="0"/>
          <w:numId w:val="1004"/>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4"/>
        </w:numPr>
      </w:pPr>
      <w:r>
        <w:t xml:space="preserve">Самарский областной геронтологический центр — № 0142200001326016552 от 21.08.2026 (16 348 592,28 руб.; 582,36 руб. за койко-день); карточка встречалась в выдаче 08.10.2026, но не открылась и была внесена 13.10.2026 [94].</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[94].</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[94].</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[96].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dyText"/>
      </w:pPr>
      <w:r>
        <w:rPr>
          <w:b/>
          <w:bCs/>
        </w:rPr>
        <w:t xml:space="preserve">Чего источники не сообщают.</w:t>
      </w:r>
      <w:r>
        <w:t xml:space="preserve"> </w:t>
      </w:r>
      <w:r>
        <w:t xml:space="preserve">Тексты технических заданий и меню не прочитаны: Единая информационная система, где они лежат в открытом доступе, из среды подготовки доклада недоступна (соединение не устанавливается; повторно 08.10.2026 и 13.10.2026, в том числе прямые ссылки filestore), а агрегаторы открывают файлы только после регистрации или за плату.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и Сызрани — 582,36 и 570,23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и 13.10.2026 не обнаружено; карточка Потаповского дома-интерната, встречавшаяся в выдаче 08.10.2026, по-прежнему не открылась.</w:t>
      </w:r>
    </w:p>
    <w:p>
      <w:pPr>
        <w:pStyle w:val="BodyText"/>
      </w:pPr>
      <w:r>
        <w:rPr>
          <w:b/>
          <w:bCs/>
        </w:rPr>
        <w:t xml:space="preserve">Значение.</w:t>
      </w:r>
      <w:r>
        <w:t xml:space="preserve"> </w:t>
      </w:r>
      <w:r>
        <w:t xml:space="preserve">Самарские извещения опровергают вывод, на котором стояла предыдущая версия доклада: ДСО «Серафимовский» — не единственный обнаруженный кейс вариативного меню при аутсорсинге питания (п. 4.8). По меньшей мере в одном субъекте вариативное меню вошло в наименование объекта закупки услуги питания у семи бюджетных учреждений по 44-ФЗ, и закупки повторяются из периода в период (у Кошкинского — 2026 г. и оба полугодия 2027 г.). Тем самым именно то, что сценарий 6 и сценарий 8 гл. 7 рекомендуют, — записывать выбор в документацию закупки, а не держать его на договорённости с исполнителем, — в российской практике уже встречается, по крайней мере на уровне предмета закупки. Класс утверждения ограничен: наименование объекта закупки и параметры извещений — факт по вторичным карточкам, а содержание обязательств исполнителя —</w:t>
      </w:r>
      <w:r>
        <w:t xml:space="preserve"> </w:t>
      </w:r>
      <w:r>
        <w:rPr>
          <w:b/>
          <w:bCs/>
        </w:rPr>
        <w:t xml:space="preserve">не сверено</w:t>
      </w:r>
      <w:r>
        <w:t xml:space="preserve">.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87"/>
    <w:bookmarkStart w:id="88" w:name="Xf9dd1d3612d2bf7d9fba778dc2520cf5ed28a2d"/>
    <w:p>
      <w:pPr>
        <w:pStyle w:val="Heading2"/>
      </w:pPr>
      <w:r>
        <w:t xml:space="preserve">Хроника событий госсектора: 28 сентября — 9 октября 2026 г.</w:t>
      </w:r>
    </w:p>
    <w:p>
      <w:pPr>
        <w:pStyle w:val="FirstParagraph"/>
      </w:pPr>
      <w:r>
        <w:rPr>
          <w:b/>
          <w:bCs/>
        </w:rPr>
        <w:t xml:space="preserve">Метод.</w:t>
      </w:r>
      <w:r>
        <w:t xml:space="preserve"> </w:t>
      </w:r>
      <w:r>
        <w:t xml:space="preserve">Обзор 09.10.2026 охватил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и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Часть официальных сайтов (правительств Новосибирской и Волгоградской областей, Единая информационная система в сфере закупок) из среды подготовки доклада не открылась; в таких случаях текст брался из копий, указывающих официальный источник, или помечен как сообщение СМИ. Журнал обзора и снимки текстов без персональных данных —</w:t>
      </w:r>
      <w:r>
        <w:t xml:space="preserve"> </w:t>
      </w:r>
      <w:r>
        <w:rPr>
          <w:rStyle w:val="VerbatimChar"/>
        </w:rPr>
        <w:t xml:space="preserve">raw/sources/gossektor-obzor-2026-09-28-10-09/</w:t>
      </w:r>
      <w:r>
        <w:t xml:space="preserve">.</w:t>
      </w:r>
    </w:p>
    <w:p>
      <w:pPr>
        <w:pStyle w:val="BodyText"/>
      </w:pPr>
      <w:r>
        <w:rPr>
          <w:b/>
          <w:bCs/>
        </w:rPr>
        <w:t xml:space="preserve">Итог по федеральному уровню.</w:t>
      </w:r>
      <w:r>
        <w:t xml:space="preserve"> </w:t>
      </w:r>
      <w:r>
        <w:t xml:space="preserve">За период 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Единая информационная система недоступна, поэтому полнота этого вывода не гарантирована. Период в этом отношении был тихим (факт обзора; полнота ограничена доступностью источников).</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[97].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(класс: слова органа власти в пересказе СМИ; не норма).</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[98].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[55]; отнесение к нему волгоградского контракта сделано по наименованию, реквизиты и условия контракта в Единой информационной системе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[99].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[99].</w:t>
      </w:r>
    </w:p>
    <w:p>
      <w:pPr>
        <w:pStyle w:val="BodyText"/>
      </w:pPr>
      <w:r>
        <w:rPr>
          <w:b/>
          <w:bCs/>
        </w:rPr>
        <w:t xml:space="preserve">Значение.</w:t>
      </w:r>
      <w:r>
        <w:t xml:space="preserve"> </w:t>
      </w:r>
      <w:r>
        <w:t xml:space="preserve">Для доклада волгоградское событие важно не как кейс выбора — выбора в нём пока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4.10):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w:t>
      </w:r>
      <w:r>
        <w:t xml:space="preserve"> </w:t>
      </w:r>
      <w:r>
        <w:rPr>
          <w:b/>
          <w:bCs/>
        </w:rPr>
        <w:t xml:space="preserve">не сверено</w:t>
      </w:r>
      <w:r>
        <w:t xml:space="preserve">. Новосибирское сообщение и волгоградский материал показывают, что вариативное меню остаётся предметом публичных заявлений органов власти и исполнителей, но за рассмотренный период ни одно из таких заявлений не сопровождалось опубликованным порядком выбора или данными о его последствиях.</w:t>
      </w:r>
    </w:p>
    <w:bookmarkEnd w:id="88"/>
    <w:bookmarkStart w:id="89" w:name="сводная-таблица"/>
    <w:p>
      <w:pPr>
        <w:pStyle w:val="Heading2"/>
      </w:pP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[91]</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(семь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[94]</w:t>
            </w:r>
          </w:p>
        </w:tc>
        <w:tc>
          <w:tcPr/>
          <w:p>
            <w:pPr>
              <w:pStyle w:val="Compact"/>
            </w:pPr>
            <w:r>
              <w:t xml:space="preserve">26.08.2025 (извещение); «заказное меню» Кошкинского — в отчёте за 2017 г. [96]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[98]</w:t>
            </w:r>
          </w:p>
        </w:tc>
        <w:tc>
          <w:tcPr/>
          <w:p>
            <w:pPr>
              <w:pStyle w:val="Compact"/>
            </w:pPr>
            <w:r>
              <w:t xml:space="preserve">06.10.2026 (официальное сообщение — без выбора); намерение ввести выбор — в рекламном материале оператора [99]</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9"/>
    <w:bookmarkStart w:id="90" w:name="X7f6c4da8ae6c9e43bf0f74d7d5577f15f7ccc21"/>
    <w:p>
      <w:pPr>
        <w:pStyle w:val="Heading2"/>
      </w:pPr>
      <w:r>
        <w:t xml:space="preserve">Выводы по главе 4: что следует из совокупности кейсов</w:t>
      </w:r>
    </w:p>
    <w:p>
      <w:pPr>
        <w:pStyle w:val="FirstParagraph"/>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Обоснованный вывод скромнее: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dyText"/>
      </w:pPr>
      <w:r>
        <w:t xml:space="preserve">Вариативное меню при аутсорсинге питания обнаружено в двух видах, и каждый известен лишь наполовину. ДСО «Серафимовский», учреждение автора доклада, описывает выбор как практику: аутсорсинг подтверждён автором [91] и карточками закупок по 223-ФЗ [92], но условия договора о выборе не проверены. Семь бюджетных учреждений Самарской области с 2025 г. закупают по 44-ФЗ приготовление питания «по вариативному меню» (п. 4.10) [94], но содержание их технических заданий не установлено, а сообщений о том, как выбирают жители, нет. Волгоградский офсетный контракт (п. 4.11) кейсом выбора не является: официальное сообщение о выборе молчит, а в рекламном материале оператора выбор блюд назван лишь намерением [98, 99].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опубликованная документация, на которой их можно проверить, теперь известна, но не прочитана [22, 23].</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невозможно ни подтвердить, ни опровергнуть. Российская практика, следовательно, доказывает осуществимость выбора, но не его последствия; что известно о последствиях из научной литературы, рассматривается в главе 5.</w:t>
      </w:r>
    </w:p>
    <w:bookmarkEnd w:id="90"/>
    <w:bookmarkEnd w:id="91"/>
    <w:bookmarkStart w:id="108" w:name="научные-данные"/>
    <w:p>
      <w:pPr>
        <w:pStyle w:val="Heading1"/>
      </w:pPr>
      <w:r>
        <w:t xml:space="preserve">Научные данные</w:t>
      </w:r>
    </w:p>
    <w:bookmarkStart w:id="92" w:name="Xb640f7f136fbc8521f3327d80fa421ce8fd2533"/>
    <w:p>
      <w:pPr>
        <w:pStyle w:val="Heading2"/>
      </w:pP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Глава излагает,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2"/>
    <w:bookmarkStart w:id="93" w:name="Xe012c1e89370b04ddd0ab27eb26d9e4050f5111"/>
    <w:p>
      <w:pPr>
        <w:pStyle w:val="Heading2"/>
      </w:pP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[100].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ценен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[53].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3"/>
    <w:bookmarkStart w:id="94" w:name="выбор-и-удовлетворённость"/>
    <w:p>
      <w:pPr>
        <w:pStyle w:val="Heading2"/>
      </w:pP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[101].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[101].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[102]. Вывод непосредственно касается российских ПНИ и домов-интернатов: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[95].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[103].</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называют цену: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[104].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4"/>
    <w:bookmarkStart w:id="95" w:name="X7540df7f9c37a76e09b8c87af7ef3e8dbeab4b0"/>
    <w:p>
      <w:pPr>
        <w:pStyle w:val="Heading2"/>
      </w:pP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осуществляется даже тогда, когда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[105];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[106].</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[107].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[107]. Здесь прямо назван механизм неравенства, который вариативное меню способно не устранить, а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ценны как источник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5"/>
    <w:bookmarkStart w:id="96" w:name="выбор-среда-приёма-пищи-и-пищевой-статус"/>
    <w:p>
      <w:pPr>
        <w:pStyle w:val="Heading2"/>
      </w:pP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[108].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[109].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недорогих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[110].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[110]. Авторы признают, что рутинные данные удалось использовать лишь частично, а потери наблюдения и пропуски были велики. Работа поучительна как пример того,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[111].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[112].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6"/>
    <w:bookmarkStart w:id="97" w:name="X92dd81bbb817eaf42929fbee7ba32d85ce762de"/>
    <w:p>
      <w:pPr>
        <w:pStyle w:val="Heading2"/>
      </w:pP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[113].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[113].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Вывод для доклада ограничен, но существен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97"/>
    <w:bookmarkStart w:id="98" w:name="Xfe48d46f65407ffc8d79fdb203508473277097d"/>
    <w:p>
      <w:pPr>
        <w:pStyle w:val="Heading2"/>
      </w:pP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[114].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[115].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[116].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98"/>
    <w:bookmarkStart w:id="99" w:name="международные-клинические-рекомендации"/>
    <w:p>
      <w:pPr>
        <w:pStyle w:val="Heading2"/>
      </w:pP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[117].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[118].</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Их ценность в том, что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9"/>
    <w:bookmarkStart w:id="100" w:name="отходы-с-тарелки-как-измеритель"/>
    <w:p>
      <w:pPr>
        <w:pStyle w:val="Heading2"/>
      </w:pP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[119]. Для сравнения обзор приводит больничные данные: по нарративному обзору Williams и Walton (2011), медиана отходов с тарелки в 32 исследованиях составила 30 % [120],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[119].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[121].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[121]. Авторы заключают, что потеря массы возможна даже тогда, когда расчёт по меню и отходам показывает положительный баланс. Для доклада отсюда следует двойное предостережение: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0"/>
    <w:bookmarkStart w:id="101" w:name="текстуры-и-ограничения-выбора"/>
    <w:p>
      <w:pPr>
        <w:pStyle w:val="Heading2"/>
      </w:pP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[122].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[102] оно показывает, что вариативное меню, задуманное для ходячих и говорящих жителей, может не дойти до половины дома. Решения о консистенции являются клиническими и в докладе не рассматриваются.</w:t>
      </w:r>
    </w:p>
    <w:bookmarkEnd w:id="101"/>
    <w:bookmarkStart w:id="102" w:name="организационные-факторы"/>
    <w:p>
      <w:pPr>
        <w:pStyle w:val="Heading2"/>
      </w:pP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[123].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[124]. Связь наблюдательная и причинности не доказывает, но согласуется с представлением о том,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[125].</w:t>
      </w:r>
    </w:p>
    <w:bookmarkEnd w:id="102"/>
    <w:bookmarkStart w:id="103" w:name="Xc2dff51ff3b7f3de6972d4f835fb0956d09cb4f"/>
    <w:p>
      <w:pPr>
        <w:pStyle w:val="Heading2"/>
      </w:pPr>
      <w:r>
        <w:t xml:space="preserve">Время персонала: сколько стоит помощь при еде</w:t>
      </w:r>
    </w:p>
    <w:p>
      <w:pPr>
        <w:pStyle w:val="FirstParagraph"/>
      </w:pPr>
      <w:r>
        <w:t xml:space="preserve">В учреждениях, где многие жители не едят самостоятельно, судьба вариативного меню решается персоналом.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[126]</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[127]</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[128]</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[129]</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[128];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[126, 127, 129].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[127, 129];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проверить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3"/>
    <w:bookmarkStart w:id="104" w:name="стоимость"/>
    <w:p>
      <w:pPr>
        <w:pStyle w:val="Heading2"/>
      </w:pP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[130]. В докладе «Не просто накормить» 8 долларов названы стоимостью сырья [22], тогда как по тексту статьи это стоимость всего кейтеринга; вторая редакция это уточняет.</w:t>
      </w:r>
    </w:p>
    <w:p>
      <w:pPr>
        <w:pStyle w:val="BodyText"/>
      </w:pPr>
      <w:r>
        <w:t xml:space="preserve">Прямой пересчёт австралийских цифр в рубли невозможен: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[95]). Российских опубликованных расчётов стоимости вариативного меню не обнаружено.</w:t>
      </w:r>
    </w:p>
    <w:bookmarkEnd w:id="104"/>
    <w:bookmarkStart w:id="105" w:name="чего-наука-не-знает"/>
    <w:p>
      <w:pPr>
        <w:pStyle w:val="Heading2"/>
      </w:pP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[107].</w:t>
      </w:r>
    </w:p>
    <w:bookmarkEnd w:id="105"/>
    <w:bookmarkStart w:id="106" w:name="сводная-таблица-1"/>
    <w:p>
      <w:pPr>
        <w:pStyle w:val="Heading2"/>
      </w:pP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[100]</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[101]</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[102]</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[108]</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[109]</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[111]</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[112]</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[95]</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[119]</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[124]</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[114]</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[104]</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[110]</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[105]</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[106]</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[107]</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[113]</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[121]</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[126–129]</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6"/>
    <w:bookmarkStart w:id="107" w:name="выводы-по-главе-5"/>
    <w:p>
      <w:pPr>
        <w:pStyle w:val="Heading2"/>
      </w:pPr>
      <w:r>
        <w:t xml:space="preserve">Выводы по главе 5</w:t>
      </w:r>
    </w:p>
    <w:p>
      <w:pPr>
        <w:pStyle w:val="FirstParagraph"/>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 Как эти данные преломляются в регулировании и практике других стран, рассматривается в главе 6.</w:t>
      </w:r>
    </w:p>
    <w:bookmarkEnd w:id="107"/>
    <w:bookmarkEnd w:id="108"/>
    <w:bookmarkStart w:id="122" w:name="зарубежное-регулирование"/>
    <w:p>
      <w:pPr>
        <w:pStyle w:val="Heading1"/>
      </w:pPr>
      <w:r>
        <w:t xml:space="preserve">Зарубежное регулирование</w:t>
      </w:r>
    </w:p>
    <w:bookmarkStart w:id="109" w:name="зачем-и-с-какой-осторожностью"/>
    <w:p>
      <w:pPr>
        <w:pStyle w:val="Heading2"/>
      </w:pP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Их ценность иная: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09"/>
    <w:bookmarkStart w:id="110" w:name="англия-регламент-cqc"/>
    <w:p>
      <w:pPr>
        <w:pStyle w:val="Heading2"/>
      </w:pP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[131].</w:t>
      </w:r>
    </w:p>
    <w:p>
      <w:pPr>
        <w:pStyle w:val="BodyText"/>
      </w:pPr>
      <w:r>
        <w:t xml:space="preserve">Конструкция поучительна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[131].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[132].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[132].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[132].</w:t>
      </w:r>
    </w:p>
    <w:p>
      <w:pPr>
        <w:pStyle w:val="BodyText"/>
      </w:pPr>
      <w:r>
        <w:t xml:space="preserve">Для российского читателя 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3.15) (толкование).</w:t>
      </w:r>
    </w:p>
    <w:bookmarkEnd w:id="110"/>
    <w:bookmarkStart w:id="111" w:name="X7c308237ed528b2363969651c4d41b021a819c1"/>
    <w:p>
      <w:pPr>
        <w:pStyle w:val="Heading2"/>
      </w:pP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[133].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[133].</w:t>
      </w:r>
    </w:p>
    <w:p>
      <w:pPr>
        <w:pStyle w:val="BodyText"/>
      </w:pPr>
      <w:r>
        <w:t xml:space="preserve">Шотландские стандарты создают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1"/>
    <w:bookmarkStart w:id="112" w:name="X86c4f599a5690b867b41745bfec1bfe6bd7b60d"/>
    <w:p>
      <w:pPr>
        <w:pStyle w:val="Heading2"/>
      </w:pP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[134].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[134].</w:t>
      </w:r>
    </w:p>
    <w:p>
      <w:pPr>
        <w:pStyle w:val="BodyText"/>
      </w:pPr>
      <w:r>
        <w:t xml:space="preserve">Американская норма — наиболее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снимается: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[135].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[135].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[135].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[135].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[136].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[136].</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2"/>
    <w:bookmarkStart w:id="113" w:name="X63ed27c1725770a12e9503c231298d2b2ea6706"/>
    <w:p>
      <w:pPr>
        <w:pStyle w:val="Heading2"/>
      </w:pP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[137].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[137].</w:t>
      </w:r>
    </w:p>
    <w:p>
      <w:pPr>
        <w:pStyle w:val="BodyText"/>
      </w:pPr>
      <w:r>
        <w:t xml:space="preserve">Онтарийская норма демонстрирует совместимость выбора и цикличности: цикл в 21 день сам предусматривает альтернативы на каждом приёме пищи. В ней видно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[138].</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3"/>
    <w:bookmarkStart w:id="114" w:name="австралия-усиленные-стандарты-качества"/>
    <w:p>
      <w:pPr>
        <w:pStyle w:val="Heading2"/>
      </w:pP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[139].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[139]. Выбор в питании стал в Австралии предметом государственного стандарта после серии исследований, показавших, насколько мало его в действительности [102].</w:t>
      </w:r>
    </w:p>
    <w:bookmarkEnd w:id="114"/>
    <w:bookmarkStart w:id="115" w:name="Xb8dfc2f5e7342633de66101e6d70d2c5d40554b"/>
    <w:p>
      <w:pPr>
        <w:pStyle w:val="Heading2"/>
      </w:pP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[140]. Для российской дискуссии он ценен тем, что описывает выбор не как принцип, а как совокупность проверяемых операционных требований, которые удобнее привести перечнем:</w:t>
      </w:r>
    </w:p>
    <w:p>
      <w:pPr>
        <w:pStyle w:val="Compact"/>
        <w:numPr>
          <w:ilvl w:val="0"/>
          <w:numId w:val="1005"/>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[140]. На плане меню несколько линий должны быть представлены наглядно, а рекомендуемая — выделена (первой строкой, цветом или символом) [140];</w:t>
      </w:r>
    </w:p>
    <w:p>
      <w:pPr>
        <w:pStyle w:val="Compact"/>
        <w:numPr>
          <w:ilvl w:val="0"/>
          <w:numId w:val="1005"/>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[140];</w:t>
      </w:r>
    </w:p>
    <w:p>
      <w:pPr>
        <w:pStyle w:val="Compact"/>
        <w:numPr>
          <w:ilvl w:val="0"/>
          <w:numId w:val="1005"/>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[140].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05"/>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[140];</w:t>
      </w:r>
    </w:p>
    <w:p>
      <w:pPr>
        <w:pStyle w:val="Compact"/>
        <w:numPr>
          <w:ilvl w:val="0"/>
          <w:numId w:val="1005"/>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[140];</w:t>
      </w:r>
    </w:p>
    <w:p>
      <w:pPr>
        <w:pStyle w:val="Compact"/>
        <w:numPr>
          <w:ilvl w:val="0"/>
          <w:numId w:val="1005"/>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[140];</w:t>
      </w:r>
    </w:p>
    <w:p>
      <w:pPr>
        <w:pStyle w:val="Compact"/>
        <w:numPr>
          <w:ilvl w:val="0"/>
          <w:numId w:val="1005"/>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[140];</w:t>
      </w:r>
    </w:p>
    <w:p>
      <w:pPr>
        <w:pStyle w:val="Compact"/>
        <w:numPr>
          <w:ilvl w:val="0"/>
          <w:numId w:val="1005"/>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[140];</w:t>
      </w:r>
    </w:p>
    <w:p>
      <w:pPr>
        <w:pStyle w:val="Compact"/>
        <w:numPr>
          <w:ilvl w:val="0"/>
          <w:numId w:val="1005"/>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[140];</w:t>
      </w:r>
    </w:p>
    <w:p>
      <w:pPr>
        <w:pStyle w:val="Compact"/>
        <w:numPr>
          <w:ilvl w:val="0"/>
          <w:numId w:val="1005"/>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[140],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[140].</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[141].</w:t>
      </w:r>
    </w:p>
    <w:bookmarkEnd w:id="115"/>
    <w:bookmarkStart w:id="116" w:name="Xd0ab6093744630a5e65ce6ff3bb0fc2b7982e9b"/>
    <w:p>
      <w:pPr>
        <w:pStyle w:val="Heading2"/>
      </w:pP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[142].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[142].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[142].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[142].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[142].</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[142]. Базовое меню служит одновременно для расчёта пищевой ценности на уровне группы, для учёта потребления, для внутренних расчётов и для закупки [142]. Второй шаг — готовить в объёме, который реально съедается, и строить систему заказа так, чтобы минимизировать отходы [142]. Тем самым снимается российский вопрос о совместимости выбора с нормами (п. 3.15)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[142].</w:t>
      </w:r>
    </w:p>
    <w:bookmarkEnd w:id="116"/>
    <w:bookmarkStart w:id="117" w:name="X075230f8727df5dd6afc65a950c119f1082648d"/>
    <w:p>
      <w:pPr>
        <w:pStyle w:val="Heading2"/>
      </w:pP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[143].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[143].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[143].</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17"/>
    <w:bookmarkStart w:id="118" w:name="X516cbe5cf56d1ad5b032841e37269dca628e41a"/>
    <w:p>
      <w:pPr>
        <w:pStyle w:val="Heading2"/>
      </w:pP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[144].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[145]. Критерии такого питания установлены приказом-уведомлением № 123 [146]:</w:t>
      </w:r>
    </w:p>
    <w:p>
      <w:pPr>
        <w:pStyle w:val="Compact"/>
        <w:numPr>
          <w:ilvl w:val="0"/>
          <w:numId w:val="1006"/>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6"/>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6"/>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6"/>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6"/>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6"/>
        </w:numPr>
      </w:pPr>
      <w:r>
        <w:t xml:space="preserve">договор заключается после ясного объяснения, что это дополнительная плата сверх обычной [146].</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18"/>
    <w:bookmarkStart w:id="119" w:name="X335a4f457402e0cee31dd52e726a999b64c151d"/>
    <w:p>
      <w:pPr>
        <w:pStyle w:val="Heading2"/>
      </w:pP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[147]</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[147]</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[131]</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[131]</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Каркас международного доклада проекта остаётся каркасом: проверка трёх опор не превращает его в обзор опыта стран (рабочая база знаний, wiki/gaps.md, п. 11) [23].</w:t>
      </w:r>
    </w:p>
    <w:bookmarkEnd w:id="119"/>
    <w:bookmarkStart w:id="120" w:name="сводная-таблица-2"/>
    <w:p>
      <w:pPr>
        <w:pStyle w:val="Heading2"/>
      </w:pP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[131]</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[133]</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[134]</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[137]</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[139]</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[140]</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[142]</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[143]</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[144]; приказы-уведомления № 419 и № 123 [145, 146]</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0"/>
    <w:bookmarkStart w:id="121" w:name="выводы-по-главе-6"/>
    <w:p>
      <w:pPr>
        <w:pStyle w:val="Heading2"/>
      </w:pPr>
      <w:r>
        <w:t xml:space="preserve">Выводы по главе 6</w:t>
      </w:r>
    </w:p>
    <w:p>
      <w:pPr>
        <w:pStyle w:val="FirstParagraph"/>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Расширенный обзор настоящей редакции добавляет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 Каким образом эти приёмы могут быть реализованы в границах действующего российского права, показывает глава 7.</w:t>
      </w:r>
    </w:p>
    <w:bookmarkEnd w:id="121"/>
    <w:bookmarkEnd w:id="122"/>
    <w:bookmarkStart w:id="142" w:name="X12dc7b21826b7c89bddf5e37db2825bd44abe56"/>
    <w:p>
      <w:pPr>
        <w:pStyle w:val="Heading1"/>
      </w:pPr>
      <w:r>
        <w:t xml:space="preserve">Практика: шестнадцать операционных сценариев</w:t>
      </w:r>
    </w:p>
    <w:bookmarkStart w:id="123" w:name="как-читать-раздел"/>
    <w:p>
      <w:pPr>
        <w:pStyle w:val="Heading2"/>
      </w:pP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форма сценария сохранена потому, что каждый из них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3"/>
    <w:bookmarkStart w:id="124" w:name="X18382e0c8b2b12864bd878df325862a2cad6ec5"/>
    <w:p>
      <w:pPr>
        <w:pStyle w:val="Heading2"/>
      </w:pP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3.15).</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7"/>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7"/>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7"/>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4"/>
    <w:bookmarkStart w:id="125" w:name="X012c2ff60ace1fcdf04694362a9f0f7bc4935d8"/>
    <w:p>
      <w:pPr>
        <w:pStyle w:val="Heading2"/>
      </w:pP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25"/>
    <w:bookmarkStart w:id="126" w:name="X14affb0f12ee8cdfc2e6ffc55d7c999f82e4377"/>
    <w:p>
      <w:pPr>
        <w:pStyle w:val="Heading2"/>
      </w:pP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[101]. По Wheeler и соавт., переход к выбору в момент еды увеличил производственные отходы с 55 до 90 г на жителя в день [95].</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6"/>
    <w:bookmarkStart w:id="127" w:name="сценарий-4.-раздача-и-персонал"/>
    <w:p>
      <w:pPr>
        <w:pStyle w:val="Heading2"/>
      </w:pP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Проблема распространённая и малозаметная: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7"/>
    <w:bookmarkStart w:id="128" w:name="X1c79e2a511ae4d2414235953b21bb849389ac39"/>
    <w:p>
      <w:pPr>
        <w:pStyle w:val="Heading2"/>
      </w:pP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8"/>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8"/>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8"/>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08"/>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28"/>
    <w:bookmarkStart w:id="129" w:name="сценарий-6.-закупки-44-фз-и-223-фз"/>
    <w:p>
      <w:pPr>
        <w:pStyle w:val="Heading2"/>
      </w:pP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[55, 56].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[64].</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такой подвижности не выдерживает.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[55].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[55].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[56].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Что вариативное меню может стоять в самом предмете закупки, показывает практика Самарской области: бюджетные учреждения закупают по 44-ФЗ открытым конкурсом «приготовление питания по вариативному меню» с ценой койко-дня (п. 4.10; на 13.10.2026 — семь учреждений с формулировкой в предмете) [94]; содержание их технических заданий доклад не читал, поэтому сопоставить их с восемью строками не может.</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29"/>
    <w:bookmarkStart w:id="130" w:name="X9da9dc1a36d258e4b637b50fec118892adfcf0b"/>
    <w:p>
      <w:pPr>
        <w:pStyle w:val="Heading2"/>
      </w:pP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Поэтому до начала пилота целесообразно собрать следующий комплект (рекомендация); перечень сохранён в форме контрольного списка, поскольку служит рабочим инструментом:</w:t>
      </w:r>
    </w:p>
    <w:p>
      <w:pPr>
        <w:pStyle w:val="Compact"/>
        <w:numPr>
          <w:ilvl w:val="0"/>
          <w:numId w:val="1009"/>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утверждённые приказом № 124 [28], таким актом не являются. Они упоминают «зал заказного питания (вариативное меню)» одной фразой о месте приёма пищи. Отдельного положения об организации вариативного питания учреждение в открытом доступе не публикует (п. 4.8). Пример показывает минимум, а не образец.</w:t>
      </w:r>
    </w:p>
    <w:p>
      <w:pPr>
        <w:pStyle w:val="Compact"/>
        <w:numPr>
          <w:ilvl w:val="0"/>
          <w:numId w:val="1009"/>
        </w:numPr>
      </w:pPr>
      <w:r>
        <w:t xml:space="preserve">Утверждённое цикличное меню с указанием вариантов.</w:t>
      </w:r>
    </w:p>
    <w:p>
      <w:pPr>
        <w:pStyle w:val="Compact"/>
        <w:numPr>
          <w:ilvl w:val="0"/>
          <w:numId w:val="1009"/>
        </w:numPr>
      </w:pPr>
      <w:r>
        <w:t xml:space="preserve">Таблица замен с указанием источника и расчёт выполнения норм за период с учётом замен.</w:t>
      </w:r>
    </w:p>
    <w:p>
      <w:pPr>
        <w:pStyle w:val="Compact"/>
        <w:numPr>
          <w:ilvl w:val="0"/>
          <w:numId w:val="1009"/>
        </w:numPr>
      </w:pPr>
      <w:r>
        <w:t xml:space="preserve">Технологические документы на каждый вариант.</w:t>
      </w:r>
    </w:p>
    <w:p>
      <w:pPr>
        <w:pStyle w:val="Compact"/>
        <w:numPr>
          <w:ilvl w:val="0"/>
          <w:numId w:val="1009"/>
        </w:numPr>
      </w:pPr>
      <w:r>
        <w:t xml:space="preserve">Журналы бракеража и суточных проб с записями по каждому варианту.</w:t>
      </w:r>
    </w:p>
    <w:p>
      <w:pPr>
        <w:pStyle w:val="Compact"/>
        <w:numPr>
          <w:ilvl w:val="0"/>
          <w:numId w:val="1009"/>
        </w:numPr>
      </w:pPr>
      <w:r>
        <w:t xml:space="preserve">Учёт выбора: лист заказа (при заказе накануне) или ежедневная статистика распределения выбора.</w:t>
      </w:r>
    </w:p>
    <w:p>
      <w:pPr>
        <w:pStyle w:val="Compact"/>
        <w:numPr>
          <w:ilvl w:val="0"/>
          <w:numId w:val="1009"/>
        </w:numPr>
      </w:pPr>
      <w:r>
        <w:t xml:space="preserve">Протоколы совета (комиссии) по питанию, если такой создан.</w:t>
      </w:r>
    </w:p>
    <w:p>
      <w:pPr>
        <w:pStyle w:val="Compact"/>
        <w:numPr>
          <w:ilvl w:val="0"/>
          <w:numId w:val="1009"/>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проверяющего предполагают столь же определённые ответы.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0"/>
    <w:bookmarkStart w:id="131" w:name="Xd7c646b569792ab825f7172cad6ceef62198b9b"/>
    <w:p>
      <w:pPr>
        <w:pStyle w:val="Heading2"/>
      </w:pP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4.13).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[95]. Средняя стоимость кейтеринга в австралийских учреждениях составляет 8,00 доллара в день, из них на сырьё приходится 6,08 доллара [130].</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[95].</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[76]. Если допустить, что организация выбора увеличит расходы на питание на 10–20 % (допущение, близкое к результату Wheeler и соавт. [95]),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4.13)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[75, 76], то есть допущенный прирост в 20–40 раз превышает годовую индексацию. Арифметика показывает лишь одно: полный переход крупного учреждения — вопрос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 Петербургское сообщение называет именно оборудование и сотрудников [21].</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ДСО «Серафимовский» как автономное учреждение закупает по 223-ФЗ и своему положению о закупке, причём предметом закупки служат не продукты, а услуга по организации питания (аутсорсинг подтверждён автором [91]; в 2026 г. — договор на год с одним исполнителем, затем краткосрочные закупки в июне — июле, конкурс № 32616197209 на август — декабрь с начальной ценой 92 110 941,90 руб. и договор с другим исполнителем от 17.08.2026 [92, 93]; п. 4.8). Цикличное меню, приложенное к закупочной документации, расписано по вариантам диеты (ОВД, ИП, ОВД2, летний вариант) с одним блюдом на позицию [92], а варианты диеты не являются выбором блюд (п. 1.2). При закупке услуги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при продуктовой закупке по рамочному договору с ценой единицы оно осуществляется заявками без изменения договора (сценарии 6 и 12) [56]. Как выбор закреплён в договоре «Серафимовского», доклад не проверял: техническое задание конкурса № 32616197209 не прочитано и после повторной попытки 07.10.2026, а из открытых карточек известны лишь состав документации и деление предмета на три позиции в человеко-днях (п. 4.8) [92, 93].</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держится на доброй воле исполнителя и исчезает при смене контрагента. Смена контрагента — не гипотеза: в ДСО «Серафимовский» исполнитель услуги питания сменился в середине 2026 г. (договор от 02.12.2025 на год, новый договор от 17.08.2026 по итогам конкурса на август — декабрь) [93]. Всё, что не записано в ТЗ, при такой смене приходится согласовывать заново, а цикл по вариантам диеты из документации без отдельного раздела о выборе блюд выбора не гарантирует (толкование). ДСО «Тесовый берег» как бюджетное учреждение закупает по 44-ФЗ открытым конкурсом [64]; та же задача решается здесь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[55].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1"/>
    <w:bookmarkStart w:id="132" w:name="сценарий-9.-пилот-на-90-дней"/>
    <w:p>
      <w:pPr>
        <w:pStyle w:val="Heading2"/>
      </w:pP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2"/>
    <w:bookmarkStart w:id="133" w:name="Xf2c367ba6c2f37e58716bfcf68cf8bb4e32ee28"/>
    <w:p>
      <w:pPr>
        <w:pStyle w:val="Heading2"/>
      </w:pP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[102].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Начать следует с того, чего в праве нет. 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[148]</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граница для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0"/>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0"/>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0"/>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0"/>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0"/>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0"/>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[134] и не более 11 часов в шведских рекомендациях [142].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33"/>
    <w:bookmarkStart w:id="134" w:name="X30b6f71304dbf3b26b26de2757ca180b4e4861b"/>
    <w:p>
      <w:pPr>
        <w:pStyle w:val="Heading2"/>
      </w:pP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4"/>
    <w:bookmarkStart w:id="135" w:name="Xb5cdf5366007d0a9451e37e6a3956986ce2ab92"/>
    <w:p>
      <w:pPr>
        <w:pStyle w:val="Heading2"/>
      </w:pP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[56].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[58, 62, 63].</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[46])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[55],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[142].</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[56].</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[68, 69].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5"/>
    <w:bookmarkStart w:id="136" w:name="X298bf58762104a9842d9008909917efd4d02ec9"/>
    <w:p>
      <w:pPr>
        <w:pStyle w:val="Heading2"/>
      </w:pP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[48].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[48]</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[48];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6"/>
    <w:bookmarkStart w:id="137" w:name="Xc247e2db541af7f46f3d68dd6e18a52ad06f437"/>
    <w:p>
      <w:pPr>
        <w:pStyle w:val="Heading2"/>
      </w:pP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[140].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[48].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[126–129].</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[126–129]).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[126–129].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[127, 129].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7"/>
    <w:bookmarkStart w:id="138" w:name="X2619d74b9eb3a9eafe8f2f3eaa487d5e7ee2b7d"/>
    <w:p>
      <w:pPr>
        <w:pStyle w:val="Heading2"/>
      </w:pP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[107], в австралийских выбор был особенно низок у жителей на протёртой пище [102]. Для ПНИ и ДСО, где многие жители не говорят или говорят с трудом, этот вопрос не второстепенен.</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[140]; лондонские дома — сбор предпочтений при поступлении [107];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[140]</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[142]</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[146].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[149];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1"/>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1"/>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Для ПНИ это право по ч. 2 ст. 37 в силу ст. 43 Закона № 3185-1 [26], для всех организаций — обязанность по подп. 15 п. 20 Правил № 305н обеспечивать условия для соблюдения постов [27] (</w:t>
      </w:r>
      <w:r>
        <w:rPr>
          <w:b/>
          <w:bCs/>
        </w:rPr>
        <w:t xml:space="preserve">норма</w:t>
      </w:r>
      <w:r>
        <w:t xml:space="preserve">).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1"/>
        </w:numPr>
      </w:pPr>
      <w:r>
        <w:rPr>
          <w:i/>
          <w:iCs/>
        </w:rPr>
        <w:t xml:space="preserve">Текстура по шкале IDDSI</w:t>
      </w:r>
      <w:r>
        <w:t xml:space="preserve"> </w:t>
      </w:r>
      <w:r>
        <w:t xml:space="preserve">(уровни 0–7, п. 6.11) [147]: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Граница «пищеблок ≠ клиника» не сдвигается: ни один из приведённых пунктов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38"/>
    <w:bookmarkStart w:id="139" w:name="X179d2319f7a5b5742961df9e1f399652b553c1a"/>
    <w:p>
      <w:pPr>
        <w:pStyle w:val="Heading2"/>
      </w:pP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2"/>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2"/>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2"/>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39"/>
    <w:bookmarkStart w:id="140" w:name="X74c1e5a9828297a178ffd2db706e0440ee4750c"/>
    <w:p>
      <w:pPr>
        <w:pStyle w:val="Heading2"/>
      </w:pP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4.13) их не публикуют. Отчасти это объясняется тем,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[119].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[119].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[150].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[95].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[151]. Wright и соавт. использовали Resident Foodservice Satisfaction Questionnaire и связали удовлетворённость с числом вариантов и временем между выбором и подачей [101]. Wheeler и соавт. ограничились пятибалльной шкалой Лайкерта [95].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[152]. Опросник дополняет анкеты для жителей и персонала, разработанные той же университетской группой [152].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[142].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[140].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[121].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[153].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[154]. Вывод для российского ДСО прост: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0"/>
    <w:bookmarkStart w:id="141" w:name="выводы-по-главе-7"/>
    <w:p>
      <w:pPr>
        <w:pStyle w:val="Heading2"/>
      </w:pPr>
      <w:r>
        <w:t xml:space="preserve">Выводы по главе 7</w:t>
      </w:r>
    </w:p>
    <w:p>
      <w:pPr>
        <w:pStyle w:val="FirstParagraph"/>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Главная трудность лежит не в санитарных правилах,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 Как эти решения выглядят с позиции проверяющего, рассматривает глава 8.</w:t>
      </w:r>
    </w:p>
    <w:bookmarkEnd w:id="141"/>
    <w:bookmarkEnd w:id="142"/>
    <w:bookmarkStart w:id="160" w:name="контроль-кто-и-что-проверяет"/>
    <w:p>
      <w:pPr>
        <w:pStyle w:val="Heading1"/>
      </w:pPr>
      <w:r>
        <w:t xml:space="preserve">Контроль: кто и что проверяет</w:t>
      </w:r>
    </w:p>
    <w:bookmarkStart w:id="143" w:name="различие-предметов-контроля"/>
    <w:p>
      <w:pPr>
        <w:pStyle w:val="Heading2"/>
      </w:pP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Большинство конфликтов при проверках возникает из смешения предметов контроля: учреждение отвечает санитарному инспектору о качестве социальной услуги, а ведомственному контролёру — о санитарных нормах. Поэтому глава последовательно разграничивает органы по предмету и показывает, какой вопрос о выборе каждый из них вправе поставить.</w:t>
      </w:r>
    </w:p>
    <w:bookmarkEnd w:id="143"/>
    <w:bookmarkStart w:id="144" w:name="санитарно-эпидемиологический-надзор"/>
    <w:p>
      <w:pPr>
        <w:pStyle w:val="Heading2"/>
      </w:pP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4"/>
    <w:bookmarkStart w:id="145" w:name="Xa002204e165f10128f3c5318987973573dc8c71"/>
    <w:p>
      <w:pPr>
        <w:pStyle w:val="Heading2"/>
      </w:pP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[155].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155].</w:t>
      </w:r>
    </w:p>
    <w:p>
      <w:pPr>
        <w:pStyle w:val="BodyText"/>
      </w:pPr>
      <w:r>
        <w:rPr>
          <w:b/>
          <w:bCs/>
        </w:rPr>
        <w:t xml:space="preserve">Исправление.</w:t>
      </w:r>
      <w:r>
        <w:t xml:space="preserve"> </w:t>
      </w:r>
      <w:r>
        <w:t xml:space="preserve">В предыдущей версии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проверяющим органом является Роструд, тогда как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[156].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5"/>
    <w:bookmarkStart w:id="146" w:name="X2eaa255477804264cee67ce37ee556bc2b139ad"/>
    <w:p>
      <w:pPr>
        <w:pStyle w:val="Heading2"/>
      </w:pP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156].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46"/>
    <w:bookmarkStart w:id="147" w:name="учредитель"/>
    <w:p>
      <w:pPr>
        <w:pStyle w:val="Heading2"/>
      </w:pP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[156]. Петербургское сообщение о вариативном меню прозвучало на заседании рабочей группы при Комитете по социальной политике [21]; такой формат, при котором учредитель извещён и практика с ним обсуждается, снижает риск того, что её примут за самовольное отступление от порядка.</w:t>
      </w:r>
    </w:p>
    <w:bookmarkEnd w:id="147"/>
    <w:bookmarkStart w:id="148" w:name="Xa53791126c859be4a367b83277feb8bb0f9f2b8"/>
    <w:p>
      <w:pPr>
        <w:pStyle w:val="Heading2"/>
      </w:pP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[156]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[157].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[157]. Учреждению присваивается категория: высшая (100 баллов), 1-я (85–99), 2-я (60–84), 3-я (30–59), 4-я (менее 30) [157].</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[157].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[157]. Учреждения по итогам претензионной работы выставили поставщикам штрафы на 1 754 034,89 руб. за полугодие [157].</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[157].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вариативность предстанет в отчёте нарушением (рекомендация; противоречие внесено в гл. 9).</w:t>
      </w:r>
    </w:p>
    <w:bookmarkEnd w:id="148"/>
    <w:bookmarkStart w:id="149" w:name="контрольно-счётные-органы"/>
    <w:p>
      <w:pPr>
        <w:pStyle w:val="Heading2"/>
      </w:pP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каждая замена должна иметь документальное основание (сценарий 13).</w:t>
      </w:r>
    </w:p>
    <w:bookmarkEnd w:id="149"/>
    <w:bookmarkStart w:id="151" w:name="прокуратура"/>
    <w:p>
      <w:pPr>
        <w:pStyle w:val="Heading2"/>
      </w:pP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[66].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0" w:name="Xe40d101577e9fb5332631863d0a906419103f5e"/>
    <w:p>
      <w:pPr>
        <w:pStyle w:val="Heading3"/>
      </w:pP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[65]. К претензиям к питанию в стационаре применяется ст. 6.6 [66].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Ссылаться на «сложившуюся практику» в каком бы то ни было направлении нельзя.</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[149].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[148],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0"/>
    <w:bookmarkEnd w:id="151"/>
    <w:bookmarkStart w:id="152" w:name="антимонопольный-контроль"/>
    <w:p>
      <w:pPr>
        <w:pStyle w:val="Heading2"/>
      </w:pP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[68, 69]. Для вариативного меню риск состоит в том, что спецификацию, составленную под конкретный вариант блюда, сочтут ограничивающей конкуренцию.</w:t>
      </w:r>
    </w:p>
    <w:bookmarkEnd w:id="152"/>
    <w:bookmarkStart w:id="153" w:name="Xd453b584d5a03894042caa9937fc1e7856692d8"/>
    <w:p>
      <w:pPr>
        <w:pStyle w:val="Heading2"/>
      </w:pP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[78], а не в организациях социального обслуживания взрослых (п. 3.2).</w:t>
      </w:r>
    </w:p>
    <w:bookmarkEnd w:id="153"/>
    <w:bookmarkStart w:id="154" w:name="внутренний-контроль"/>
    <w:p>
      <w:pPr>
        <w:pStyle w:val="Heading2"/>
      </w:pP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[48].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[140].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[121]; поэтому низкие возвраты не доказывают достаточности питания конкретного жителя (п. 5.9).</w:t>
      </w:r>
    </w:p>
    <w:bookmarkEnd w:id="154"/>
    <w:bookmarkStart w:id="155" w:name="как-выбор-проверяют-за-рубежом"/>
    <w:p>
      <w:pPr>
        <w:pStyle w:val="Heading2"/>
      </w:pP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проверяется, как учреждение отвечает на волю жителя, и проверяется это в реальном приёме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[135, 136].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[138].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[132].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[142].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[143].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[146].</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5"/>
    <w:bookmarkStart w:id="156" w:name="X01554a9e771fd684792ac0e91c2bbe42f3b301f"/>
    <w:p>
      <w:pPr>
        <w:pStyle w:val="Heading2"/>
      </w:pP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[136, 138]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[138]</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[136, 138]</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[135, 136]</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[136, 138]</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[138]</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[136]</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[138]</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[135]</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56"/>
    <w:bookmarkStart w:id="157" w:name="X2fdfc189e266d07c6ae8127c6df593f069852ae"/>
    <w:p>
      <w:pPr>
        <w:pStyle w:val="Heading2"/>
      </w:pP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[48]</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[140]</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57"/>
    <w:bookmarkStart w:id="158" w:name="пост-как-предмет-проверки"/>
    <w:p>
      <w:pPr>
        <w:pStyle w:val="Heading2"/>
      </w:pP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58"/>
    <w:bookmarkStart w:id="159" w:name="выводы-по-главе-8"/>
    <w:p>
      <w:pPr>
        <w:pStyle w:val="Heading2"/>
      </w:pPr>
      <w:r>
        <w:t xml:space="preserve">Выводы по главе 8</w:t>
      </w:r>
    </w:p>
    <w:p>
      <w:pPr>
        <w:pStyle w:val="FirstParagraph"/>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 выявленные расхождения между источниками и нормами систематизированы в главе 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59"/>
    <w:bookmarkEnd w:id="160"/>
    <w:bookmarkStart w:id="164" w:name="противоречия-и-нерешённые-вопросы"/>
    <w:p>
      <w:pPr>
        <w:pStyle w:val="Heading1"/>
      </w:pPr>
      <w:r>
        <w:t xml:space="preserve">Противоречия и нерешённые вопросы</w:t>
      </w:r>
    </w:p>
    <w:bookmarkStart w:id="161" w:name="принцип"/>
    <w:p>
      <w:pPr>
        <w:pStyle w:val="Heading2"/>
      </w:pP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Сглаживать их значило бы скрыть от читателя степень достоверности каждого утверждения.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1"/>
    <w:bookmarkStart w:id="162" w:name="перечень"/>
    <w:p>
      <w:pPr>
        <w:pStyle w:val="Heading2"/>
      </w:pP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[65]</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[95];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[78]</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[130]</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[55]</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[149]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[148];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[79]; в приказе № 228 прочитаны п. 1–2.1, в том числе допуск ±5 % калорийности по приёмам пищи при соблюдении среднего за неделю [70]; текст № 1068 прочитан: брутто, три графы, в том числе психоневрологические организации [80]. Оба приказа — акты одного ведомства, иерархии между ними нет; № 228 утверждает нормы для тех же адресатов позднее [70, 80]</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[84]; вид, дата и номер акта подтверждены справочной отметкой о признании утратившим силу прежнего приказа № 340 [85]</w:t>
            </w:r>
          </w:p>
        </w:tc>
        <w:tc>
          <w:tcPr/>
          <w:p>
            <w:pPr>
              <w:pStyle w:val="Compact"/>
            </w:pPr>
            <w:r>
              <w:t xml:space="preserve">Снято в седьмом проходе: акт является приказом Комитета по социальной защите от 14.07.2020 № 206 (п. 3.7)</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[46]</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155]; в Санкт-Петербурге полномочие Управления социального питания по контролю норм питания отменено с 01.01.2022 [156]</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[59])</w:t>
            </w:r>
          </w:p>
        </w:tc>
        <w:tc>
          <w:tcPr/>
          <w:p>
            <w:pPr>
              <w:pStyle w:val="Compact"/>
            </w:pPr>
            <w:r>
              <w:t xml:space="preserve">Постановление округа ставит критерием цель закупки, а не источник денег [58]; комментарий ГАРАНТ.РУ делает более узкий вывод [63]; блог неверно излагает предмет договора и позицию апелляции; под этим номером в открытой базе найдено только определение об отсрочке госпошлины [60]; дата (28.01.2026) и итог подтверждены вторым вторичным источником, который излагает позицию через цель закупки [61];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[62]</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[58];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[75, 76];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[140]</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46, 47, 72];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[88]</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[157]</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и ХМАО (ред. 2017 г.) — в обеих величинах [33, 34, 45–47, 71, 88];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[58, 60]; в определении от 28.01.2026 по той же жалобе номер дела указан верно — А73-20917/2024 [62]</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49]</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[91]; закупки по 223-ФЗ — по карточкам агрегатора [92, 93]; цикличные меню из закупочной документации — по вариантам диеты, без выбора блюд; исполнитель сменился в середине 2026 г. [93].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[92]. 08.10.2026 найдены закупки шести бюджетных учреждений Самарской области по 44-ФЗ «по вариативному меню» (с 2025 г.); 13.10.2026 перечень дополнен геронтологическим центром (явная формулировка в предмете) и извещениями ДСО «Сызранский» (вариативное — в имени файла меню); технические задания не прочитаны [94]</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4.10)</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131, 147]</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2"/>
    <w:bookmarkStart w:id="163" w:name="выводы-по-главе-9"/>
    <w:p>
      <w:pPr>
        <w:pStyle w:val="Heading2"/>
      </w:pPr>
      <w:r>
        <w:t xml:space="preserve">Выводы по главе 9</w:t>
      </w:r>
    </w:p>
    <w:p>
      <w:pPr>
        <w:pStyle w:val="FirstParagraph"/>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[85], а пункт 33 — дополнением 07.10.2026, когда был прочитан текст определения Верховного Суда от 28.01.2026 [62].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dyText"/>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dyText"/>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Именно в этих точках читателю, применяющему доклад на практике, следует сверяться с первоисточником, а сами вопросы переходят в предложения главы 10.</w:t>
      </w:r>
    </w:p>
    <w:bookmarkEnd w:id="163"/>
    <w:bookmarkEnd w:id="164"/>
    <w:bookmarkStart w:id="169" w:name="предложения"/>
    <w:p>
      <w:pPr>
        <w:pStyle w:val="Heading1"/>
      </w:pP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5" w:name="федеральный-уровень"/>
    <w:p>
      <w:pPr>
        <w:pStyle w:val="Heading2"/>
      </w:pP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3"/>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3"/>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3"/>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Единственной найденной региональной опорой для взрослых служит п. 2.1 московского приказа № 228, допускающий отклонение калорийности по приёмам пищи на ±5 % при соблюдении среднего за неделю [70]; он пригоден как образец формулировки.</w:t>
      </w:r>
    </w:p>
    <w:p>
      <w:pPr>
        <w:pStyle w:val="Compact"/>
        <w:numPr>
          <w:ilvl w:val="0"/>
          <w:numId w:val="1013"/>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3"/>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[134], и из онтарийской модели цикла меню с выбором, утверждаемого диетологом при участии совета жителей [137].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[135].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3"/>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3"/>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Из шести прочитанных региональных актов два выражены в брутто, один в нетто, три в обеих величинах, поэтому граммы нельзя напрямую сравнивать ни между ними, ни с № 520н (п. 3.12; гл. 9, позиция 39).</w:t>
      </w:r>
    </w:p>
    <w:p>
      <w:pPr>
        <w:pStyle w:val="Compact"/>
        <w:numPr>
          <w:ilvl w:val="0"/>
          <w:numId w:val="1013"/>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[95, 119]; пределы отходов как меры съеденного выявило исследование CLEVER [121].</w:t>
      </w:r>
    </w:p>
    <w:p>
      <w:pPr>
        <w:pStyle w:val="Compact"/>
        <w:numPr>
          <w:ilvl w:val="0"/>
          <w:numId w:val="1013"/>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[135, 138].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3"/>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[142] и онтарийского требования о рассмотрении времени приёмов пищи советом жителей [138].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[157].</w:t>
      </w:r>
    </w:p>
    <w:bookmarkEnd w:id="165"/>
    <w:bookmarkStart w:id="166" w:name="региональный-уровень"/>
    <w:p>
      <w:pPr>
        <w:pStyle w:val="Heading2"/>
      </w:pP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4"/>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Образцом локальной формы служат таблицы взаимозаменяемости и замены по белкам и углеводам, утверждённые положением нижегородского дома-интерната [48].</w:t>
      </w:r>
    </w:p>
    <w:p>
      <w:pPr>
        <w:pStyle w:val="Compact"/>
        <w:numPr>
          <w:ilvl w:val="0"/>
          <w:numId w:val="1014"/>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В Санкт-Петербурге разница между двумя ПНИ-тарифами за год сократилась с 90,77 до 43,21 руб., хотя граммы обеих ПНИ-норм почти не изменились, а соотношение тарифов ПНИ и общего сменило знак одновременно с пересборкой общей нормы постановлением № 507. Опубликованные документы не позволяют разделить влияние состава набора, цен и методики (п. 3.2;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4"/>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4"/>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[157]),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4"/>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66"/>
    <w:bookmarkStart w:id="167" w:name="уровень-учреждения"/>
    <w:p>
      <w:pPr>
        <w:pStyle w:val="Heading2"/>
      </w:pP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5"/>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5"/>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5"/>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5"/>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5"/>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[140] и опроса семьи у Yaxley и соавт. [152]; эти сведения составляют основу решений за тех, кто не может выразить выбор (сценарий 15).</w:t>
      </w:r>
    </w:p>
    <w:p>
      <w:pPr>
        <w:pStyle w:val="Compact"/>
        <w:numPr>
          <w:ilvl w:val="0"/>
          <w:numId w:val="1015"/>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[121].</w:t>
      </w:r>
    </w:p>
    <w:p>
      <w:pPr>
        <w:pStyle w:val="Compact"/>
        <w:numPr>
          <w:ilvl w:val="0"/>
          <w:numId w:val="1015"/>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[136, 138].</w:t>
      </w:r>
    </w:p>
    <w:p>
      <w:pPr>
        <w:pStyle w:val="Compact"/>
        <w:numPr>
          <w:ilvl w:val="0"/>
          <w:numId w:val="1015"/>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15"/>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4.13), спор о пользе и вреде выбора будет спором мнений.</w:t>
      </w:r>
    </w:p>
    <w:bookmarkEnd w:id="167"/>
    <w:bookmarkStart w:id="168" w:name="выводы-по-главе-10"/>
    <w:p>
      <w:pPr>
        <w:pStyle w:val="Heading2"/>
      </w:pPr>
      <w:r>
        <w:t xml:space="preserve">Выводы по главе 10</w:t>
      </w:r>
    </w:p>
    <w:p>
      <w:pPr>
        <w:pStyle w:val="FirstParagraph"/>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68"/>
    <w:bookmarkEnd w:id="169"/>
    <w:bookmarkStart w:id="170"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6"/>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155].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6"/>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превращают каждый дополнительный вариант в отдельный объект производственного контроля.</w:t>
      </w:r>
    </w:p>
    <w:p>
      <w:pPr>
        <w:numPr>
          <w:ilvl w:val="0"/>
          <w:numId w:val="1016"/>
        </w:numPr>
      </w:pPr>
      <w:r>
        <w:rPr>
          <w:b/>
          <w:bCs/>
        </w:rPr>
        <w:t xml:space="preserve">Главный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6"/>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6"/>
        </w:numPr>
      </w:pPr>
      <w:r>
        <w:rPr>
          <w:b/>
          <w:bCs/>
        </w:rPr>
        <w:t xml:space="preserve">Российская практика расширилась, но не измерена.</w:t>
      </w:r>
      <w:r>
        <w:t xml:space="preserve"> </w:t>
      </w:r>
      <w:r>
        <w:t xml:space="preserve">За 2024–2026 гг. найдены сообщения восьми учреждений и одного регионального органа;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Спектр форматов простирается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где выбор при аутсорсинге питания описан как практика; условия договора о выборе не проверены). В Самарской области с 2025 г. семь бюджетных учреждений закупают по 44-ФЗ приготовление питания «по вариативному меню», так что выбор появился уже в предмете закупки; содержание их технических заданий не установлено [94].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6"/>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[95]. Те же данные обнаруживают цену выбора в момент еды: рост производственных отходов и стоимости примерно на 9–20 % [95]. Систематические обзоры оценивают эффект вмешательств в организацию питания на пищевой статус как небольшой и плохо измеренный [111, 112].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[114] и в условиях нормированного набора не проверено.</w:t>
      </w:r>
    </w:p>
    <w:p>
      <w:pPr>
        <w:numPr>
          <w:ilvl w:val="0"/>
          <w:numId w:val="1016"/>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[131, 134, 137];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[140, 142, 146]. Ни один из изученных актов не устанавливает минимального числа вторых блюд. Перенос этих формул в российское право возможен только актом федерального или регионального уровня.</w:t>
      </w:r>
    </w:p>
    <w:p>
      <w:pPr>
        <w:numPr>
          <w:ilvl w:val="0"/>
          <w:numId w:val="1016"/>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[102], и канадские данные о том, что пища изменённой консистенции назначена 47 % жителей [122], свидетельствуют, что вариативное меню, рассчитанное на ходячих и говорящих,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6"/>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155].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[135, 136, 138].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6"/>
        </w:numPr>
      </w:pPr>
      <w:r>
        <w:rPr>
          <w:b/>
          <w:bCs/>
        </w:rPr>
        <w:t xml:space="preserve">Противоречия не устранены, а названы.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является не вопросом о допустимости, а вопросом о процедуре: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0"/>
    <w:bookmarkStart w:id="171"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numPr>
          <w:ilvl w:val="0"/>
          <w:numId w:val="1017"/>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numPr>
          <w:ilvl w:val="0"/>
          <w:numId w:val="1017"/>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numPr>
          <w:ilvl w:val="0"/>
          <w:numId w:val="1017"/>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numPr>
          <w:ilvl w:val="0"/>
          <w:numId w:val="1017"/>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numPr>
          <w:ilvl w:val="0"/>
          <w:numId w:val="1017"/>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numPr>
          <w:ilvl w:val="0"/>
          <w:numId w:val="1017"/>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numPr>
          <w:ilvl w:val="0"/>
          <w:numId w:val="1017"/>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numPr>
          <w:ilvl w:val="0"/>
          <w:numId w:val="1017"/>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numPr>
          <w:ilvl w:val="0"/>
          <w:numId w:val="1017"/>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numPr>
          <w:ilvl w:val="0"/>
          <w:numId w:val="1017"/>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numPr>
          <w:ilvl w:val="0"/>
          <w:numId w:val="1017"/>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numPr>
          <w:ilvl w:val="0"/>
          <w:numId w:val="1017"/>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numPr>
          <w:ilvl w:val="0"/>
          <w:numId w:val="1017"/>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numPr>
          <w:ilvl w:val="0"/>
          <w:numId w:val="1017"/>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numPr>
          <w:ilvl w:val="0"/>
          <w:numId w:val="1017"/>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numPr>
          <w:ilvl w:val="0"/>
          <w:numId w:val="1017"/>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numPr>
          <w:ilvl w:val="0"/>
          <w:numId w:val="1017"/>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numPr>
          <w:ilvl w:val="0"/>
          <w:numId w:val="1017"/>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numPr>
          <w:ilvl w:val="0"/>
          <w:numId w:val="1017"/>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numPr>
          <w:ilvl w:val="0"/>
          <w:numId w:val="1017"/>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numPr>
          <w:ilvl w:val="0"/>
          <w:numId w:val="1017"/>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numPr>
          <w:ilvl w:val="0"/>
          <w:numId w:val="1017"/>
        </w:numPr>
      </w:pPr>
      <w:r>
        <w:t xml:space="preserve">[н] Не просто накормить: доклад к семинару 25–27.08.2026. — Текст : электронный // Репозиторий qlolp/seminar-variable-food-2026, папка raw/sources/ne-prosto-nakormit/doklad/.</w:t>
      </w:r>
    </w:p>
    <w:p>
      <w:pPr>
        <w:numPr>
          <w:ilvl w:val="0"/>
          <w:numId w:val="1017"/>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numPr>
          <w:ilvl w:val="0"/>
          <w:numId w:val="1017"/>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numPr>
          <w:ilvl w:val="0"/>
          <w:numId w:val="1017"/>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numPr>
          <w:ilvl w:val="0"/>
          <w:numId w:val="1017"/>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numPr>
          <w:ilvl w:val="0"/>
          <w:numId w:val="1017"/>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numPr>
          <w:ilvl w:val="0"/>
          <w:numId w:val="1017"/>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numPr>
          <w:ilvl w:val="0"/>
          <w:numId w:val="1017"/>
        </w:numPr>
      </w:pPr>
      <w:r>
        <w:t xml:space="preserve">[н] Питание / ГАСУСО МО «Добрый дом „Солнечногорский“». — Текст : электронный // ddsol.ru : [сайт]. — URL: https://ddsol.ru/about/pitanie/ (дата обращения: 05.10.2026).</w:t>
      </w:r>
    </w:p>
    <w:p>
      <w:pPr>
        <w:numPr>
          <w:ilvl w:val="0"/>
          <w:numId w:val="1017"/>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numPr>
          <w:ilvl w:val="0"/>
          <w:numId w:val="1017"/>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numPr>
          <w:ilvl w:val="0"/>
          <w:numId w:val="1017"/>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numPr>
          <w:ilvl w:val="0"/>
          <w:numId w:val="1017"/>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numPr>
          <w:ilvl w:val="0"/>
          <w:numId w:val="1017"/>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numPr>
          <w:ilvl w:val="0"/>
          <w:numId w:val="1017"/>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numPr>
          <w:ilvl w:val="0"/>
          <w:numId w:val="1017"/>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numPr>
          <w:ilvl w:val="0"/>
          <w:numId w:val="1017"/>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numPr>
          <w:ilvl w:val="0"/>
          <w:numId w:val="1017"/>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numPr>
          <w:ilvl w:val="0"/>
          <w:numId w:val="1017"/>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numPr>
          <w:ilvl w:val="0"/>
          <w:numId w:val="1017"/>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numPr>
          <w:ilvl w:val="0"/>
          <w:numId w:val="1017"/>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numPr>
          <w:ilvl w:val="0"/>
          <w:numId w:val="1017"/>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numPr>
          <w:ilvl w:val="0"/>
          <w:numId w:val="1017"/>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numPr>
          <w:ilvl w:val="0"/>
          <w:numId w:val="1017"/>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numPr>
          <w:ilvl w:val="0"/>
          <w:numId w:val="1017"/>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numPr>
          <w:ilvl w:val="0"/>
          <w:numId w:val="1017"/>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numPr>
          <w:ilvl w:val="0"/>
          <w:numId w:val="1017"/>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numPr>
          <w:ilvl w:val="0"/>
          <w:numId w:val="1017"/>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numPr>
          <w:ilvl w:val="0"/>
          <w:numId w:val="1017"/>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numPr>
          <w:ilvl w:val="0"/>
          <w:numId w:val="1017"/>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numPr>
          <w:ilvl w:val="0"/>
          <w:numId w:val="1017"/>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numPr>
          <w:ilvl w:val="0"/>
          <w:numId w:val="1017"/>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numPr>
          <w:ilvl w:val="0"/>
          <w:numId w:val="1017"/>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numPr>
          <w:ilvl w:val="0"/>
          <w:numId w:val="1017"/>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numPr>
          <w:ilvl w:val="0"/>
          <w:numId w:val="1017"/>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numPr>
          <w:ilvl w:val="0"/>
          <w:numId w:val="1017"/>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numPr>
          <w:ilvl w:val="0"/>
          <w:numId w:val="1017"/>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numPr>
          <w:ilvl w:val="0"/>
          <w:numId w:val="1017"/>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numPr>
          <w:ilvl w:val="0"/>
          <w:numId w:val="1017"/>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numPr>
          <w:ilvl w:val="0"/>
          <w:numId w:val="1017"/>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numPr>
          <w:ilvl w:val="0"/>
          <w:numId w:val="1017"/>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numPr>
          <w:ilvl w:val="0"/>
          <w:numId w:val="1017"/>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numPr>
          <w:ilvl w:val="0"/>
          <w:numId w:val="1017"/>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numPr>
          <w:ilvl w:val="0"/>
          <w:numId w:val="1017"/>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numPr>
          <w:ilvl w:val="0"/>
          <w:numId w:val="1017"/>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numPr>
          <w:ilvl w:val="0"/>
          <w:numId w:val="1017"/>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numPr>
          <w:ilvl w:val="0"/>
          <w:numId w:val="1017"/>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numPr>
          <w:ilvl w:val="0"/>
          <w:numId w:val="1017"/>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numPr>
          <w:ilvl w:val="0"/>
          <w:numId w:val="1017"/>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numPr>
          <w:ilvl w:val="0"/>
          <w:numId w:val="1017"/>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numPr>
          <w:ilvl w:val="0"/>
          <w:numId w:val="1017"/>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numPr>
          <w:ilvl w:val="0"/>
          <w:numId w:val="1017"/>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numPr>
          <w:ilvl w:val="0"/>
          <w:numId w:val="1017"/>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numPr>
          <w:ilvl w:val="0"/>
          <w:numId w:val="1017"/>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numPr>
          <w:ilvl w:val="0"/>
          <w:numId w:val="1017"/>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numPr>
          <w:ilvl w:val="0"/>
          <w:numId w:val="1017"/>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numPr>
          <w:ilvl w:val="0"/>
          <w:numId w:val="1017"/>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numPr>
          <w:ilvl w:val="0"/>
          <w:numId w:val="1017"/>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numPr>
          <w:ilvl w:val="0"/>
          <w:numId w:val="1017"/>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numPr>
          <w:ilvl w:val="0"/>
          <w:numId w:val="1017"/>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numPr>
          <w:ilvl w:val="0"/>
          <w:numId w:val="1017"/>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numPr>
          <w:ilvl w:val="0"/>
          <w:numId w:val="1017"/>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numPr>
          <w:ilvl w:val="0"/>
          <w:numId w:val="1017"/>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numPr>
          <w:ilvl w:val="0"/>
          <w:numId w:val="1017"/>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numPr>
          <w:ilvl w:val="0"/>
          <w:numId w:val="1017"/>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numPr>
          <w:ilvl w:val="0"/>
          <w:numId w:val="1017"/>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numPr>
          <w:ilvl w:val="0"/>
          <w:numId w:val="1017"/>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numPr>
          <w:ilvl w:val="0"/>
          <w:numId w:val="1017"/>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numPr>
          <w:ilvl w:val="0"/>
          <w:numId w:val="1017"/>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numPr>
          <w:ilvl w:val="0"/>
          <w:numId w:val="1017"/>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numPr>
          <w:ilvl w:val="0"/>
          <w:numId w:val="1017"/>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numPr>
          <w:ilvl w:val="0"/>
          <w:numId w:val="1017"/>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(дата обращения: 08.10.2026; дополнение: 13.10.2026).</w:t>
      </w:r>
    </w:p>
    <w:p>
      <w:pPr>
        <w:numPr>
          <w:ilvl w:val="0"/>
          <w:numId w:val="1017"/>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numPr>
          <w:ilvl w:val="0"/>
          <w:numId w:val="1017"/>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numPr>
          <w:ilvl w:val="0"/>
          <w:numId w:val="1017"/>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numPr>
          <w:ilvl w:val="0"/>
          <w:numId w:val="1017"/>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numPr>
          <w:ilvl w:val="0"/>
          <w:numId w:val="1017"/>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numPr>
          <w:ilvl w:val="0"/>
          <w:numId w:val="1017"/>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numPr>
          <w:ilvl w:val="0"/>
          <w:numId w:val="1017"/>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numPr>
          <w:ilvl w:val="0"/>
          <w:numId w:val="1017"/>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numPr>
          <w:ilvl w:val="0"/>
          <w:numId w:val="1017"/>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numPr>
          <w:ilvl w:val="0"/>
          <w:numId w:val="1017"/>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numPr>
          <w:ilvl w:val="0"/>
          <w:numId w:val="1017"/>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numPr>
          <w:ilvl w:val="0"/>
          <w:numId w:val="1017"/>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numPr>
          <w:ilvl w:val="0"/>
          <w:numId w:val="1017"/>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numPr>
          <w:ilvl w:val="0"/>
          <w:numId w:val="1017"/>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numPr>
          <w:ilvl w:val="0"/>
          <w:numId w:val="1017"/>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numPr>
          <w:ilvl w:val="0"/>
          <w:numId w:val="1017"/>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numPr>
          <w:ilvl w:val="0"/>
          <w:numId w:val="1017"/>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numPr>
          <w:ilvl w:val="0"/>
          <w:numId w:val="1017"/>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numPr>
          <w:ilvl w:val="0"/>
          <w:numId w:val="1017"/>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numPr>
          <w:ilvl w:val="0"/>
          <w:numId w:val="1017"/>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numPr>
          <w:ilvl w:val="0"/>
          <w:numId w:val="1017"/>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numPr>
          <w:ilvl w:val="0"/>
          <w:numId w:val="1017"/>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numPr>
          <w:ilvl w:val="0"/>
          <w:numId w:val="1017"/>
        </w:numPr>
      </w:pPr>
      <w:r>
        <w:t xml:space="preserve">[н] Volkert D., Beck A. M., Cederholm T. et al. ESPEN practical guideline: Clinical nutrition and hydration in geriatrics. — Текст : электронный // Clinical Nutrition. — 2022. — Vol. 41, № 4. — P. 958–989. — DOI: 10.1016/j.clnu.2022.01.024.</w:t>
      </w:r>
    </w:p>
    <w:p>
      <w:pPr>
        <w:numPr>
          <w:ilvl w:val="0"/>
          <w:numId w:val="1017"/>
        </w:numPr>
      </w:pPr>
      <w:r>
        <w:t xml:space="preserve">[н] Volkert D., Beck A. M., Faxén-Irving G. et al. ESPEN guideline on nutrition and hydration in dementia — Update 2024. — Текст : электронный // Clinical Nutrition. — 2024. — Vol. 43, № 6. — P. 1599–1626. — DOI: 10.1016/j.clnu.2024.04.039.</w:t>
      </w:r>
    </w:p>
    <w:p>
      <w:pPr>
        <w:numPr>
          <w:ilvl w:val="0"/>
          <w:numId w:val="1017"/>
        </w:numPr>
      </w:pPr>
      <w:r>
        <w:t xml:space="preserve">[н] Roulston M., Thompson C., Pelly F., Cave D. Food waste in residential aged care: A scoping review. — Текст : электронный // Nutrition &amp; Dietetics. — 2026. — Vol. 83, № 1. — P. 56–73. — DOI: 10.1111/1747-0080.70034.</w:t>
      </w:r>
    </w:p>
    <w:p>
      <w:pPr>
        <w:numPr>
          <w:ilvl w:val="0"/>
          <w:numId w:val="1017"/>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numPr>
          <w:ilvl w:val="0"/>
          <w:numId w:val="1017"/>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numPr>
          <w:ilvl w:val="0"/>
          <w:numId w:val="1017"/>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numPr>
          <w:ilvl w:val="0"/>
          <w:numId w:val="1017"/>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numPr>
          <w:ilvl w:val="0"/>
          <w:numId w:val="1017"/>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numPr>
          <w:ilvl w:val="0"/>
          <w:numId w:val="1017"/>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numPr>
          <w:ilvl w:val="0"/>
          <w:numId w:val="1017"/>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numPr>
          <w:ilvl w:val="0"/>
          <w:numId w:val="1017"/>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numPr>
          <w:ilvl w:val="0"/>
          <w:numId w:val="1017"/>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numPr>
          <w:ilvl w:val="0"/>
          <w:numId w:val="1017"/>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numPr>
          <w:ilvl w:val="0"/>
          <w:numId w:val="1017"/>
        </w:numPr>
      </w:pPr>
      <w:r>
        <w:t xml:space="preserve">[н] Hugo C., Isenring E., Sinclair D., Agarwal E. What does it cost to feed aged care residents in Australia?. — Текст : электронный // Nutrition &amp; Dietetics. — 2018. — Vol. 75, № 1. — P. 6–10. — DOI: 10.1111/1747-0080.12368.</w:t>
      </w:r>
    </w:p>
    <w:p>
      <w:pPr>
        <w:numPr>
          <w:ilvl w:val="0"/>
          <w:numId w:val="1017"/>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numPr>
          <w:ilvl w:val="0"/>
          <w:numId w:val="1017"/>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numPr>
          <w:ilvl w:val="0"/>
          <w:numId w:val="1017"/>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numPr>
          <w:ilvl w:val="0"/>
          <w:numId w:val="1017"/>
        </w:numPr>
      </w:pPr>
      <w:r>
        <w:t xml:space="preserve">[н] 42 CFR § 483.60. Food and nutrition services. — Текст : электронный // Legal Information Institute. — URL: https://www.law.cornell.edu/cfr/text/42/483.60 (дата обращения: 05.10.2026).</w:t>
      </w:r>
    </w:p>
    <w:p>
      <w:pPr>
        <w:numPr>
          <w:ilvl w:val="0"/>
          <w:numId w:val="1017"/>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numPr>
          <w:ilvl w:val="0"/>
          <w:numId w:val="1017"/>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numPr>
          <w:ilvl w:val="0"/>
          <w:numId w:val="1017"/>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numPr>
          <w:ilvl w:val="0"/>
          <w:numId w:val="1017"/>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numPr>
          <w:ilvl w:val="0"/>
          <w:numId w:val="1017"/>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numPr>
          <w:ilvl w:val="0"/>
          <w:numId w:val="1017"/>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numPr>
          <w:ilvl w:val="0"/>
          <w:numId w:val="1017"/>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numPr>
          <w:ilvl w:val="0"/>
          <w:numId w:val="1017"/>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numPr>
          <w:ilvl w:val="0"/>
          <w:numId w:val="1017"/>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numPr>
          <w:ilvl w:val="0"/>
          <w:numId w:val="1017"/>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numPr>
          <w:ilvl w:val="0"/>
          <w:numId w:val="1017"/>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numPr>
          <w:ilvl w:val="0"/>
          <w:numId w:val="1017"/>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numPr>
          <w:ilvl w:val="0"/>
          <w:numId w:val="1017"/>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numPr>
          <w:ilvl w:val="0"/>
          <w:numId w:val="1017"/>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numPr>
          <w:ilvl w:val="0"/>
          <w:numId w:val="1017"/>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numPr>
          <w:ilvl w:val="0"/>
          <w:numId w:val="1017"/>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numPr>
          <w:ilvl w:val="0"/>
          <w:numId w:val="1017"/>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numPr>
          <w:ilvl w:val="0"/>
          <w:numId w:val="1017"/>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numPr>
          <w:ilvl w:val="0"/>
          <w:numId w:val="1017"/>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numPr>
          <w:ilvl w:val="0"/>
          <w:numId w:val="1017"/>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numPr>
          <w:ilvl w:val="0"/>
          <w:numId w:val="1017"/>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numPr>
          <w:ilvl w:val="0"/>
          <w:numId w:val="1017"/>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numPr>
          <w:ilvl w:val="0"/>
          <w:numId w:val="1017"/>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numPr>
          <w:ilvl w:val="0"/>
          <w:numId w:val="1017"/>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numPr>
          <w:ilvl w:val="0"/>
          <w:numId w:val="1017"/>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1"/>
    <w:bookmarkStart w:id="172"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[158]</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[159]</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[148]</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[55]</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[56]</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[65]</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49]</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[50]</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[51]</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[52]</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[74]</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[75, 76]</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[73]</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[70]</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[71, 81]</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[83]</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[84, 85]</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[45, 86]</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[131]</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[133]</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[134]</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[137]</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[155]</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[156]</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[79, 80]</w:t>
            </w:r>
          </w:p>
        </w:tc>
      </w:tr>
      <w:tr>
        <w:tc>
          <w:tcPr/>
          <w:p>
            <w:pPr>
              <w:pStyle w:val="Compact"/>
            </w:pPr>
            <w:r>
              <w:t xml:space="preserve">43</w:t>
            </w:r>
          </w:p>
        </w:tc>
        <w:tc>
          <w:tcPr/>
          <w:p>
            <w:pPr>
              <w:pStyle w:val="Compact"/>
            </w:pPr>
            <w:r>
              <w:t xml:space="preserve">Приказ КСЗН Ленинградской обл. от 30.12.2021 № 04-58, прил. 3 (изм. приказом от 04.08.2025 № 04-81,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[46, 87]</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[72, 88]</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[47]</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[48, 82]</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[58]</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[61] излагает позицию округа, а не ВС</w:t>
            </w:r>
          </w:p>
        </w:tc>
        <w:tc>
          <w:tcPr/>
          <w:p>
            <w:pPr>
              <w:pStyle w:val="Compact"/>
            </w:pPr>
            <w:r>
              <w:t xml:space="preserve">[60–62]</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[132]</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[135, 136]</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[138]</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[140]</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[142]</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[143]</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[145, 146]</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[149]</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[147]</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[91–93]</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2027 г. в открытых официальных источниках не найдено</w:t>
            </w:r>
          </w:p>
        </w:tc>
        <w:tc>
          <w:tcPr/>
          <w:p>
            <w:pPr>
              <w:pStyle w:val="Compact"/>
            </w:pPr>
            <w:r>
              <w:t xml:space="preserve">[77]</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[90]</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 № 0142200001326016552 (геронтологический центр); отдельно № 0142200001326016098 / 6175 (ДСО «Сызранский» — вариативное в имени файла меню)</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(семь учреждений) либо в имени файла документации (Сызрань); цена за койко-день; ТЗ и меню не прочитаны, содержание выбора не установлено</w:t>
            </w:r>
          </w:p>
        </w:tc>
        <w:tc>
          <w:tcPr/>
          <w:p>
            <w:pPr>
              <w:pStyle w:val="Compact"/>
            </w:pPr>
            <w:r>
              <w:t xml:space="preserve">[94, 96]</w:t>
            </w:r>
          </w:p>
        </w:tc>
      </w:tr>
    </w:tbl>
    <w:bookmarkEnd w:id="172"/>
    <w:bookmarkStart w:id="173"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3"/>
    <w:bookmarkStart w:id="184"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65]</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74, 75, 78]</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 90]</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[131–144, 147]</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53, 95, 100–104, 108, 109, 111, 112, 117–120, 122–124, 130]</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75, 95, 130]</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4"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только за счёт новых источников: число позиций в списке источников выросло с 98 до 132 (по данным сборки), в третьем проходе — до 136, в четвёртом — до 143. Ниже перечислено, что было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4"/>
    <w:bookmarkStart w:id="175"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был вычитан и подвергнут литературной правке: устранены канцелярские связки и пустые обороты, длинные абзацы о деле № А73-20917/2024 разделены, формулировки сокращены. Каждое утверждение с источником,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до и после правки проведена по каждой главе. Новые факты вносились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[71]; изменения красноярского акта постановлениями № 74-п (2024) и № 892-п (2025) и отдельный раздел норм для ПНИ (с 2026 г. — ДСО) [86]; изменение ленинградского приказа от 04.08.2025 № 04-81 [87]</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[138]</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126–129]</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5"/>
    <w:bookmarkStart w:id="176"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Новые факты вносились только с источниками;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[60, 61];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[70, 80];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[82];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[86];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[87];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[88];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[101];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[95]</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76"/>
    <w:bookmarkStart w:id="177"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Перед правкой были перечитаны доклад «Не просто накормить» [22], служащий для настоящей работы базовым,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Новые факты вносились только с источниками; доклад не говорит от имени Минтруда России и не назначает диет, текстур и лекарств. Число позиций в списке источников составило 147.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[49]</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149]</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[147]</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[92]. Автор как руководитель учреждения 05.10.2026 подтвердил аутсорсинг питания [91];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77"/>
    <w:bookmarkStart w:id="178"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 доклад внесены только факты, допускающие публикацию: нет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Каждый внесённый факт сопровождается публичным источником: официальной публикацией акта, сайтом учреждения или карточкой закупки. Если публичная сверка не проводилась, это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[77];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[92, 93];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[92];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90]</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78"/>
    <w:bookmarkStart w:id="179"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имел две задачи: короткую целевую проверку одиннадцати пробелов, остававшихся открытыми в рабочей базе знаний (позиции 35–45 перечня wiki/gaps.md) [23], и приведение всего текста к нормам академической прозы. Новые факты вносились только с публичными источниками; доклад по-прежнему не говорит от имени Минтруда России.</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[85]; позиция 25 главы 9 снята (п. 3.7).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остаются: суточная проба на собственном пищеблоке (повторная сверка с текстом СанПиН 4282-26 прямой нормы не выявила; сценарий 13); совместимость поста с нормами питания (официального разъяснения не найдено; сценарий 16);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(по состоянию на 06.10.2026 приказ № 1068 продолжает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(сценарий 15); первоисточник иркутского сообщения о формате «два первых, два вторых, гарниры». По каждому из них в соответствующем разделе указана дата последней попытки.</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(актуальность, объект, предмет, цель, задачи, методы, источники, ограничения). Каждая глава завершается выводами; заключение дополнено итоговым абзацем. Аргументативные перечни переведены в связный текст; таблицы, сценарии, чек-листы и пронумерованные предложения сохранены в прежней форме, поскольку на них ссылаются другие разделы. Список источников оформлен по ГОСТ Р 7.0.100-2018. После правки каждой главы сценарий сверки подтвердил сохранность всех ссылок [n] и чисел. Исправлена одна неточность: в заключении число противоречий главы 9 было указано как 40 вместо 47. Число позиций в списке источников — 153.</w:t>
      </w:r>
    </w:p>
    <w:bookmarkEnd w:id="179"/>
    <w:bookmarkStart w:id="180" w:name="X4952c3796190ac2519c965d5c901ce84d874f25"/>
    <w:p>
      <w:pPr>
        <w:pStyle w:val="Heading2"/>
      </w:pPr>
      <w:r>
        <w:t xml:space="preserve">Дополнение 07.10.2026: техническое задание и определение Верховного Суда</w:t>
      </w:r>
    </w:p>
    <w:p>
      <w:pPr>
        <w:pStyle w:val="FirstParagraph"/>
      </w:pPr>
      <w:r>
        <w:rPr>
          <w:b/>
          <w:bCs/>
        </w:rPr>
        <w:t xml:space="preserve">07.10.2026: дополнение по ТЗ и определению ВС.</w:t>
      </w:r>
      <w:r>
        <w:t xml:space="preserve"> </w:t>
      </w:r>
      <w:r>
        <w:t xml:space="preserve">Дополнение проверяло два пробела рабочей базы знаний (позиции 39 и 43 перечня wiki/gaps.md) [23] по публичным источникам. Как и прежде, новые факты вносились только с источниками, классы утверждений не повышались, а утверждения, которые не удалось сверить, сохранили пометку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в тексте нет; цитаты, которую приводит блог, в нём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p>
        </w:tc>
        <w:tc>
          <w:tcPr/>
          <w:p>
            <w:pPr>
              <w:pStyle w:val="Compact"/>
            </w:pPr>
            <w:r>
              <w:t xml:space="preserve">[60, 62]; п. 2.10, сценарий 12, гл. 9 (поз. 33 снята, поз. 40 уточнена), прил. А (поз. 48)</w:t>
            </w:r>
          </w:p>
        </w:tc>
      </w:tr>
      <w:tr>
        <w:tc>
          <w:tcPr/>
          <w:p>
            <w:pPr>
              <w:pStyle w:val="Compact"/>
            </w:pPr>
            <w:r>
              <w:t xml:space="preserve">ДСО «Серафимовский»: условия о выборе в ТЗ конкурса № 32616197209 и договоре № 32616197209-01</w:t>
            </w:r>
          </w:p>
        </w:tc>
        <w:tc>
          <w:tcPr/>
          <w:p>
            <w:pPr>
              <w:pStyle w:val="Compact"/>
            </w:pPr>
            <w:r>
              <w:t xml:space="preserve">Не прочитаны. Единая информационная система и электронная площадка из среды подготовки доклада недоступны (соединение не устанавливается);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 содержание закрыто регистрацией или платным доступом. Из открытой карточки внесено деление предмета на три позиции в человеко-днях (109 395, 2 448, 33 660). Наличие или отсутствие выбора блюд в ТЗ не установлено; договор по-прежнему не сверен</w:t>
            </w:r>
          </w:p>
        </w:tc>
        <w:tc>
          <w:tcPr/>
          <w:p>
            <w:pPr>
              <w:pStyle w:val="Compact"/>
            </w:pPr>
            <w:r>
              <w:t xml:space="preserve">[92, 93]; п. 4.8, сценарий 8, гл. 9 (поз. 44)</w:t>
            </w:r>
          </w:p>
        </w:tc>
      </w:tr>
    </w:tbl>
    <w:p>
      <w:pPr>
        <w:pStyle w:val="BodyText"/>
      </w:pPr>
      <w:r>
        <w:rPr>
          <w:b/>
          <w:bCs/>
        </w:rPr>
        <w:t xml:space="preserve">Что следует из дополнения.</w:t>
      </w:r>
      <w:r>
        <w:t xml:space="preserve"> </w:t>
      </w:r>
      <w:r>
        <w:t xml:space="preserve">Позиция 33 главы 9 снята: тезис блога об «окончательной точке» и о критерии источника денег текстом определения не подтверждается, поскольку отказ в передаче жалобы позиции по существу не формулирует; критерий цели закупки остаётся позицией суда округа [58], а вывод п. 2.10 для стационарных организаций — толкованием автора. Вопрос о техническом задании ДСО «Серафимовский» остаётся открытым в прежнем объёме: доклад не утверждает ни наличия, ни отсутствия выбора блюд в договоре на август — декабрь 2026 г. Ссылка на определение от 28.01.2026 внесена в список источников; число позиций списка — 154.</w:t>
      </w:r>
    </w:p>
    <w:bookmarkEnd w:id="180"/>
    <w:bookmarkStart w:id="181" w:name="Xd69dbd8a17a86c0ac8201c80a05184bd1e6ff50"/>
    <w:p>
      <w:pPr>
        <w:pStyle w:val="Heading2"/>
      </w:pPr>
      <w:r>
        <w:t xml:space="preserve">Дополнение 08.10.2026: закупки Самарской области</w:t>
      </w:r>
    </w:p>
    <w:p>
      <w:pPr>
        <w:pStyle w:val="FirstParagraph"/>
      </w:pPr>
      <w:r>
        <w:rPr>
          <w:b/>
          <w:bCs/>
        </w:rPr>
        <w:t xml:space="preserve">08.10.2026: ежедневная проверка.</w:t>
      </w:r>
      <w:r>
        <w:t xml:space="preserve"> </w:t>
      </w:r>
      <w:r>
        <w:t xml:space="preserve">Проверка шла по открытым позициям 35–45 перечня пробелов рабочей базы знаний [23] и по новым публичным материалам о вариативном меню. Новые факты вносились только с публичными источниками, классы утверждений не повышались; содержание, которое не удалось прочитать, помечено как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Кейсы вариативного меню при аутсорсинге питания</w:t>
            </w:r>
          </w:p>
        </w:tc>
        <w:tc>
          <w:tcPr/>
          <w:p>
            <w:pPr>
              <w:pStyle w:val="Compact"/>
            </w:pPr>
            <w:r>
              <w:t xml:space="preserve">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от 502,31 до 860,61 руб. Технические задания и меню не прочитаны: ЕИС из среды подготовки доклада недоступна, агрегаторы открывают файлы только после регистрации или за плату.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p>
        </w:tc>
        <w:tc>
          <w:tcPr/>
          <w:p>
            <w:pPr>
              <w:pStyle w:val="Compact"/>
            </w:pPr>
            <w:r>
              <w:t xml:space="preserve">[94, 96]; п. 4.1, 4.8, новый п. 4.10, сводная таблица (п. 4.11), выводы (п. 4.12), сценарий 6, гл. 9 (поз. 44), гл. 11 (вывод 5), прил. А (поз. 65)</w:t>
            </w:r>
          </w:p>
        </w:tc>
      </w:tr>
      <w:tr>
        <w:tc>
          <w:tcPr/>
          <w:p>
            <w:pPr>
              <w:pStyle w:val="Compact"/>
            </w:pPr>
            <w:r>
              <w:t xml:space="preserve">Суточная проба, пост, оценка УСП, нормы СПб на 2027 г., СБКС, Москва № 1068, карта предпочтений, Иркутск</w:t>
            </w:r>
          </w:p>
        </w:tc>
        <w:tc>
          <w:tcPr/>
          <w:p>
            <w:pPr>
              <w:pStyle w:val="Compact"/>
            </w:pPr>
            <w:r>
              <w:t xml:space="preserve">Повторный поиск 08.10.2026 нового не дал: официального разъяснения о суточной пробе на собственном пищеблоке и о посте не найдено; распоряжение о нормативах расходов на социальное питание на 2027 г. в открытых источниках не обнаружено; первоисточник иркутского сообщения от 14.02.2025 по-прежнему известен только в пересказе</w:t>
            </w:r>
          </w:p>
        </w:tc>
        <w:tc>
          <w:tcPr/>
          <w:p>
            <w:pPr>
              <w:pStyle w:val="Compact"/>
            </w:pPr>
            <w:r>
              <w:t xml:space="preserve">Без изменений текста</w:t>
            </w:r>
          </w:p>
        </w:tc>
      </w:tr>
    </w:tbl>
    <w:p>
      <w:pPr>
        <w:pStyle w:val="BodyText"/>
      </w:pPr>
      <w:r>
        <w:rPr>
          <w:b/>
          <w:bCs/>
        </w:rPr>
        <w:t xml:space="preserve">Что следует из дополнения.</w:t>
      </w:r>
      <w:r>
        <w:t xml:space="preserve"> </w:t>
      </w:r>
      <w:r>
        <w:t xml:space="preserve">Вывод о том, что ДСО «Серафимовский» — единственный обнаруженный российский кейс вариативного меню при аутсорсинге питания, снят. Кейсов теперь два вида: в «Серафимовском» выбор описан как практика, но договор не прочитан; в Самарской области выбор стоит в предмете закупки, но неизвестно, как он устроен. Нумерация пунктов главы 4 сдвинулась: сводная таблица — п. 4.11, выводы — п. 4.12; ссылки в главах 7 и 10 исправлены. Число позиций в списке источников — 156.</w:t>
      </w:r>
    </w:p>
    <w:bookmarkEnd w:id="181"/>
    <w:bookmarkStart w:id="182" w:name="Xdc92fbfec5c77c0805cb776fe08e31b29645bb4"/>
    <w:p>
      <w:pPr>
        <w:pStyle w:val="Heading2"/>
      </w:pPr>
      <w:r>
        <w:t xml:space="preserve">Дополнение 09.10.2026: обзор событий госсектора 28.09–09.10</w:t>
      </w:r>
    </w:p>
    <w:p>
      <w:pPr>
        <w:pStyle w:val="FirstParagraph"/>
      </w:pPr>
      <w:r>
        <w:rPr>
          <w:b/>
          <w:bCs/>
        </w:rPr>
        <w:t xml:space="preserve">09.10.2026: обзор событий госсектора за 28.09–09.10.2026.</w:t>
      </w:r>
      <w:r>
        <w:t xml:space="preserve"> </w:t>
      </w:r>
      <w:r>
        <w:t xml:space="preserve">Обзор проведён по просьбе автора и охватил федеральные органы (Минтруд России, Роспотребнадзор, портал официального опубликования правовых актов, портал проектов нормативных актов, Общественную палату), региональные органы и учреждения социального обслуживания, агрегаторы закупочных извещений и СМИ. Как и прежде, новые факты вносились только с публичными источниками, классы утверждений не повышались; сведения, полученные только из СМИ, помечены как сообщения СМИ, а недоступные из среды подготовки доклада источники названы.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России и рабочей группы о вариативном меню</w:t>
            </w:r>
          </w:p>
        </w:tc>
        <w:tc>
          <w:tcPr/>
          <w:p>
            <w:pPr>
              <w:pStyle w:val="Compact"/>
            </w:pPr>
            <w:r>
              <w:t xml:space="preserve">За период не обнаружено. Среди опубликованных региональных актов норм питания для стационарной формы нет; содержание проверочных листов регионального контроля Томской и Амурской областей применительно к питанию не проверялось</w:t>
            </w:r>
          </w:p>
        </w:tc>
        <w:tc>
          <w:tcPr/>
          <w:p>
            <w:pPr>
              <w:pStyle w:val="Compact"/>
            </w:pPr>
            <w:r>
              <w:t xml:space="preserve">Новый п. 4.11</w:t>
            </w:r>
          </w:p>
        </w:tc>
      </w:tr>
      <w:tr>
        <w:tc>
          <w:tcPr/>
          <w:p>
            <w:pPr>
              <w:pStyle w:val="Compact"/>
            </w:pPr>
            <w:r>
              <w:t xml:space="preserve">28.09.2026, Новосибирская область</w:t>
            </w:r>
          </w:p>
        </w:tc>
        <w:tc>
          <w:tcPr/>
          <w:p>
            <w:pPr>
              <w:pStyle w:val="Compact"/>
            </w:pPr>
            <w:r>
              <w:t xml:space="preserve">Министр труда и социального развития области на оперативном совещании: внимание к «вариативному меню»; «в некоторых учреждениях уже внедрен шведский стол». По сообщению СМИ; первоисточник не открылся; учреждения не названы</w:t>
            </w:r>
          </w:p>
        </w:tc>
        <w:tc>
          <w:tcPr/>
          <w:p>
            <w:pPr>
              <w:pStyle w:val="Compact"/>
            </w:pPr>
            <w:r>
              <w:t xml:space="preserve">[97]; п. 4.11</w:t>
            </w:r>
          </w:p>
        </w:tc>
      </w:tr>
      <w:tr>
        <w:tc>
          <w:tcPr/>
          <w:p>
            <w:pPr>
              <w:pStyle w:val="Compact"/>
            </w:pPr>
            <w:r>
              <w:t xml:space="preserve">06.10.2026, Волгоградская область</w:t>
            </w:r>
          </w:p>
        </w:tc>
        <w:tc>
          <w:tcPr/>
          <w:p>
            <w:pPr>
              <w:pStyle w:val="Compact"/>
            </w:pPr>
            <w:r>
              <w:t xml:space="preserve">Официальное сообщение: модернизация пищеблока Волгоградского ДСО (19,5 млн руб.) по первому в регионе десятилетнему офсетному контракту в сфере социального питания (с декабря 2025 г.; 11 учреждений); о выборе блюд не сказано. Выбор блюд назван только намерением оператора в рекламном материале. Реквизиты контракта не сверены</w:t>
            </w:r>
          </w:p>
        </w:tc>
        <w:tc>
          <w:tcPr/>
          <w:p>
            <w:pPr>
              <w:pStyle w:val="Compact"/>
            </w:pPr>
            <w:r>
              <w:t xml:space="preserve">[98, 99]; п. 4.11, сводная таблица (п. 4.12), выводы (п. 4.13)</w:t>
            </w:r>
          </w:p>
        </w:tc>
      </w:tr>
      <w:tr>
        <w:tc>
          <w:tcPr/>
          <w:p>
            <w:pPr>
              <w:pStyle w:val="Compact"/>
            </w:pPr>
            <w:r>
              <w:t xml:space="preserve">Закупки с вариативным меню в предмете, опубликованные за период</w:t>
            </w:r>
          </w:p>
        </w:tc>
        <w:tc>
          <w:tcPr/>
          <w:p>
            <w:pPr>
              <w:pStyle w:val="Compact"/>
            </w:pPr>
            <w:r>
              <w:t xml:space="preserve">В доступных агрегаторах не найдено; ЕИС недоступна, полнота не гарантирована</w:t>
            </w:r>
          </w:p>
        </w:tc>
        <w:tc>
          <w:tcPr/>
          <w:p>
            <w:pPr>
              <w:pStyle w:val="Compact"/>
            </w:pPr>
            <w:r>
              <w:t xml:space="preserve">п. 4.11</w:t>
            </w:r>
          </w:p>
        </w:tc>
      </w:tr>
    </w:tbl>
    <w:p>
      <w:pPr>
        <w:pStyle w:val="BodyText"/>
      </w:pPr>
      <w:r>
        <w:rPr>
          <w:b/>
          <w:bCs/>
        </w:rPr>
        <w:t xml:space="preserve">Что следует из дополнения.</w:t>
      </w:r>
      <w:r>
        <w:t xml:space="preserve"> </w:t>
      </w:r>
      <w:r>
        <w:t xml:space="preserve">Период был тихим: нормативного или методического события по вариативному меню в стационарном социальном обслуживании не произошло. Добавлен новый п. 4.11 — хроника событий за период; волгоградский офсетный контракт описан как третья организационная форма питания при участии стороннего исполнителя, но не как кейс выбора. Нумерация главы 4 сдвинулась: сводная таблица — п. 4.12, выводы — п. 4.13; ссылки в главах 7 и 10 исправлены (ссылки на п. 4.11 и 4.12 в предшествующих дополнениях этого приложения относятся к нумерации на дату дополнения и не менялись). Найдено, но не включено: сообщение о вариативном меню Елецкого ДСО «Долголетие» (Липецкая область) от 09.06.2026 и публикация Собинского ДСО (Владимирская область) от 25.09.2026 — вне периода обзора; распоряжение Министерства социального развития Московской области от 22.05.2026 № 20РВ-108 о нормах питания — вне периода, внесено в перечень пробелов рабочей базы знаний [23]. Число позиций в списке источников — 159.</w:t>
      </w:r>
    </w:p>
    <w:bookmarkEnd w:id="182"/>
    <w:bookmarkStart w:id="183" w:name="Xc97d41dad60fd2d1aa67842deadcf620daf722c"/>
    <w:p>
      <w:pPr>
        <w:pStyle w:val="Heading2"/>
      </w:pPr>
      <w:r>
        <w:t xml:space="preserve">Дополнение 13.10.2026: ежедневная проверка и дополнение самарских закупок</w:t>
      </w:r>
    </w:p>
    <w:p>
      <w:pPr>
        <w:pStyle w:val="FirstParagraph"/>
      </w:pPr>
      <w:r>
        <w:rPr>
          <w:b/>
          <w:bCs/>
        </w:rPr>
        <w:t xml:space="preserve">13.10.2026: ежедневный мониторинг за 09.10–13.10.2026</w:t>
      </w:r>
      <w:r>
        <w:t xml:space="preserve"> </w:t>
      </w:r>
      <w:r>
        <w:t xml:space="preserve">(постоянное разрешение автора от 07.10.2026, расширенное 09.10.2026). Каналы: федеральные органы и порталы (Минтруд России, Роспотребнадзор, publication.pravo.gov.ru, regulation.gov.ru), региональные органы и учреждения, агрегаторы закупок 44-ФЗ/223-ФЗ, федеральные и региональные СМИ, целевые пробелы</w:t>
      </w:r>
      <w:r>
        <w:t xml:space="preserve"> </w:t>
      </w:r>
      <w:r>
        <w:rPr>
          <w:rStyle w:val="VerbatimChar"/>
        </w:rPr>
        <w:t xml:space="preserve">wiki/gaps.md</w:t>
      </w:r>
      <w:r>
        <w:t xml:space="preserve"> </w:t>
      </w:r>
      <w:r>
        <w:t xml:space="preserve">(п. 40, 43, 45–48). Новые факты — только с публичными источниками; классы утверждений не повышались; гео-блоки и платный доступ не обходились.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о вариативном меню за 09–13.10.2026</w:t>
            </w:r>
          </w:p>
        </w:tc>
        <w:tc>
          <w:tcPr/>
          <w:p>
            <w:pPr>
              <w:pStyle w:val="Compact"/>
            </w:pPr>
            <w:r>
              <w:t xml:space="preserve">Не обнаружено</w:t>
            </w:r>
          </w:p>
        </w:tc>
        <w:tc>
          <w:tcPr/>
          <w:p>
            <w:pPr>
              <w:pStyle w:val="Compact"/>
            </w:pPr>
            <w:r>
              <w:t xml:space="preserve">прил. В</w:t>
            </w:r>
          </w:p>
        </w:tc>
      </w:tr>
      <w:tr>
        <w:tc>
          <w:tcPr/>
          <w:p>
            <w:pPr>
              <w:pStyle w:val="Compact"/>
            </w:pPr>
            <w:r>
              <w:t xml:space="preserve">Нормативы социального питания СПб на 2027 г.; СБКС; Москва № 1068; Иркутск 14.02.2025; ТЗ Серафимовского 32616197209</w:t>
            </w:r>
          </w:p>
        </w:tc>
        <w:tc>
          <w:tcPr/>
          <w:p>
            <w:pPr>
              <w:pStyle w:val="Compact"/>
            </w:pPr>
            <w:r>
              <w:t xml:space="preserve">Нового первоисточника нет; ЕИС по-прежнему недоступна</w:t>
            </w:r>
          </w:p>
        </w:tc>
        <w:tc>
          <w:tcPr/>
          <w:p>
            <w:pPr>
              <w:pStyle w:val="Compact"/>
            </w:pPr>
            <w:r>
              <w:t xml:space="preserve">gaps п. 40, 42–45</w:t>
            </w:r>
          </w:p>
        </w:tc>
      </w:tr>
      <w:tr>
        <w:tc>
          <w:tcPr/>
          <w:p>
            <w:pPr>
              <w:pStyle w:val="Compact"/>
            </w:pPr>
            <w:r>
              <w:t xml:space="preserve">МО № 20РВ-108; проверочные листы Томской (№ 53) и Амурской (№ 766) обл.</w:t>
            </w:r>
          </w:p>
        </w:tc>
        <w:tc>
          <w:tcPr/>
          <w:p>
            <w:pPr>
              <w:pStyle w:val="Compact"/>
            </w:pPr>
            <w:r>
              <w:t xml:space="preserve">Реквизиты подтверждены (publication.pravo.gov.ru / сайт минсоцразвития МО); полный текст PDF из среды не скачивается (таймаут / страница-заглушка) — содержание о питании/выборе не установлено</w:t>
            </w:r>
          </w:p>
        </w:tc>
        <w:tc>
          <w:tcPr/>
          <w:p>
            <w:pPr>
              <w:pStyle w:val="Compact"/>
            </w:pPr>
            <w:r>
              <w:t xml:space="preserve">gaps п. 48</w:t>
            </w:r>
          </w:p>
        </w:tc>
      </w:tr>
      <w:tr>
        <w:tc>
          <w:tcPr/>
          <w:p>
            <w:pPr>
              <w:pStyle w:val="Compact"/>
            </w:pPr>
            <w:r>
              <w:t xml:space="preserve">Новые закупки «по вариативному меню»</w:t>
            </w:r>
          </w:p>
        </w:tc>
        <w:tc>
          <w:tcPr/>
          <w:p>
            <w:pPr>
              <w:pStyle w:val="Compact"/>
            </w:pPr>
            <w:r>
              <w:t xml:space="preserve">Открыты карточки, не вошедшие 08.10.2026: Самарский областной геронтологический центр (№ 0142200001326016552 — формулировка в предмете); ДСО «Сызранский» (№ 0142200001326016098 / 6175 — «вариативное» в имени файла меню). ТЗ и xlsx не прочитаны</w:t>
            </w:r>
          </w:p>
        </w:tc>
        <w:tc>
          <w:tcPr/>
          <w:p>
            <w:pPr>
              <w:pStyle w:val="Compact"/>
            </w:pPr>
            <w:r>
              <w:t xml:space="preserve">[94]; п. 4.10</w:t>
            </w:r>
          </w:p>
        </w:tc>
      </w:tr>
      <w:tr>
        <w:tc>
          <w:tcPr/>
          <w:p>
            <w:pPr>
              <w:pStyle w:val="Compact"/>
            </w:pPr>
            <w:r>
              <w:t xml:space="preserve">Практики учреждений вне окна (Тальменский ДСО / ПНИ, Алтайский край; ПНИ «Черемушки»)</w:t>
            </w:r>
          </w:p>
        </w:tc>
        <w:tc>
          <w:tcPr/>
          <w:p>
            <w:pPr>
              <w:pStyle w:val="Compact"/>
            </w:pPr>
            <w:r>
              <w:t xml:space="preserve">Посты VK 2025 г. / без года в мобильной выдаче; в корпус не внесены (вне окна мониторинга; год «Черемушек» не подтверждён)</w:t>
            </w:r>
          </w:p>
        </w:tc>
        <w:tc>
          <w:tcPr/>
          <w:p>
            <w:pPr>
              <w:pStyle w:val="Compact"/>
            </w:pPr>
            <w:r>
              <w:t xml:space="preserve">не внесено</w:t>
            </w:r>
          </w:p>
        </w:tc>
      </w:tr>
    </w:tbl>
    <w:p>
      <w:pPr>
        <w:pStyle w:val="BodyText"/>
      </w:pPr>
      <w:r>
        <w:rPr>
          <w:b/>
          <w:bCs/>
        </w:rPr>
        <w:t xml:space="preserve">Что следует из дополнения.</w:t>
      </w:r>
      <w:r>
        <w:t xml:space="preserve"> </w:t>
      </w:r>
      <w:r>
        <w:t xml:space="preserve">Нормативного события за выходные и начало недели не было. Существенное — уточнение самарской карты аутсорсинга: учреждений с «по вариативному меню» в предмете стало семь (добавлен геронтологический центр); отдельно зафиксирован Сызрань с оговоркой о силе доказательства. Число позиций в списке источников без изменений (159); позиция [94] расширена.</w:t>
      </w:r>
    </w:p>
    <w:bookmarkEnd w:id="183"/>
    <w:bookmarkEnd w:id="184"/>
    <w:bookmarkStart w:id="185"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[90]; положения о питании и журналов там нет; цикличные меню ТЗ 2026 г. перечислены в документации закупки [92]</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[75]</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[76]; приложен для сравнения с 2025 г. (сценарий 8)</w:t>
            </w:r>
          </w:p>
        </w:tc>
      </w:tr>
    </w:tbl>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2026-10-13T05:21:38Z</dcterms:created>
  <dcterms:modified xsi:type="dcterms:W3CDTF">2026-10-13T05:21:38Z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