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Тезисы доклада (2-4 стр.)</w:t>
      </w:r>
    </w:p>
    <w:p>
      <w:pPr>
        <w:pStyle w:val="Author"/>
      </w:pPr>
      <w:r>
        <w:t xml:space="preserve">Чистяков Е. В.</w:t>
      </w:r>
    </w:p>
    <w:p>
      <w:pPr>
        <w:pStyle w:val="Date"/>
      </w:pPr>
      <w:r>
        <w:t xml:space="preserve">22.08.2026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тезисы-доклада-не-просто-накормить"/>
    <w:p>
      <w:pPr>
        <w:pStyle w:val="Heading1"/>
      </w:pPr>
      <w:r>
        <w:t xml:space="preserve">Тезисы доклада «Не просто накормить»</w:t>
      </w:r>
    </w:p>
    <w:p>
      <w:pPr>
        <w:pStyle w:val="FirstParagraph"/>
      </w:pPr>
      <w:r>
        <w:rPr>
          <w:b/>
          <w:bCs/>
        </w:rPr>
        <w:t xml:space="preserve">Документ:</w:t>
      </w:r>
      <w:r>
        <w:t xml:space="preserve"> </w:t>
      </w:r>
      <w:r>
        <w:t xml:space="preserve">тезисы для раздатки участникам семинара «Пространство Новых Идей 2.0».</w:t>
      </w:r>
      <w:r>
        <w:t xml:space="preserve"> </w:t>
      </w:r>
      <w:r>
        <w:rPr>
          <w:b/>
          <w:bCs/>
        </w:rPr>
        <w:t xml:space="preserve">Сессия:</w:t>
      </w:r>
      <w:r>
        <w:t xml:space="preserve"> </w:t>
      </w:r>
      <w:r>
        <w:t xml:space="preserve">дискуссия «Организация питания: опыт реализации проектов», 26.08.2026, 14:00–15:30, площадка № 2 — ДСО «Тесовый берег».</w:t>
      </w:r>
      <w:r>
        <w:t xml:space="preserve"> </w:t>
      </w:r>
      <w:r>
        <w:rPr>
          <w:b/>
          <w:bCs/>
        </w:rPr>
        <w:t xml:space="preserve">Докладчик:</w:t>
      </w:r>
      <w:r>
        <w:t xml:space="preserve"> </w:t>
      </w:r>
      <w:r>
        <w:t xml:space="preserve">Чистяков Евгений Владимирович, директор СПб ГАСУСОН «ДСО „Серафимовский"».</w:t>
      </w:r>
      <w:r>
        <w:t xml:space="preserve"> </w:t>
      </w:r>
      <w:r>
        <w:rPr>
          <w:b/>
          <w:bCs/>
        </w:rPr>
        <w:t xml:space="preserve">Со-модератор:</w:t>
      </w:r>
      <w:r>
        <w:t xml:space="preserve"> </w:t>
      </w:r>
      <w:r>
        <w:t xml:space="preserve">Нурбаев Тимур Аликович, директор СПб ГБСУСОН «ДСО „Тесовый берег"».</w:t>
      </w:r>
      <w:r>
        <w:t xml:space="preserve"> </w:t>
      </w:r>
      <w:r>
        <w:rPr>
          <w:b/>
          <w:bCs/>
        </w:rPr>
        <w:t xml:space="preserve">Версия тезисов: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Объём:</w:t>
      </w:r>
      <w:r>
        <w:t xml:space="preserve"> </w:t>
      </w:r>
      <w:r>
        <w:t xml:space="preserve">4 страницы A4.</w:t>
      </w:r>
    </w:p>
    <w:p>
      <w:r>
        <w:pict>
          <v:rect style="width:0;height:1.5pt" o:hralign="center" o:hrstd="t" o:hr="t"/>
        </w:pict>
      </w:r>
    </w:p>
    <w:bookmarkStart w:id="9" w:name="X9d10cbb19bbcd7a0d8ff4112e2320ddd2eb23ba"/>
    <w:p>
      <w:pPr>
        <w:pStyle w:val="Heading2"/>
      </w:pPr>
      <w:r>
        <w:t xml:space="preserve">Тезис 1. Проблема — не «нет денег на еду», а «нет системы, которая уважает человека за столом»</w:t>
      </w:r>
    </w:p>
    <w:p>
      <w:pPr>
        <w:pStyle w:val="FirstParagraph"/>
      </w:pPr>
      <w:r>
        <w:t xml:space="preserve">Голодный житель и оплаченное сырьё в баке —</w:t>
      </w:r>
      <w:r>
        <w:t xml:space="preserve"> </w:t>
      </w:r>
      <w:r>
        <w:rPr>
          <w:b/>
          <w:bCs/>
        </w:rPr>
        <w:t xml:space="preserve">одна система</w:t>
      </w:r>
      <w:r>
        <w:t xml:space="preserve">. В среднем ПНИ на 289 коек 4 сиделки на 12 кормимых — это 3 цикла по 15–20 минут; последние получают холодное. «Он опять не ест кашу» — не каприз, а признак депрессии или начальной дисфагии, о которой никто не знает. Лекарства и еда — клозапин и кофе взаимодействуют, но семья не предупреждена. «Добавка» — ограничение рациона сиделкой без врачебного назначения. Журналы «в порядок» перед проверкой — имитация контроля. Пять конфликтов — пять отказов системы, не пятерых виноватых.</w:t>
      </w:r>
    </w:p>
    <w:bookmarkEnd w:id="9"/>
    <w:bookmarkStart w:id="10" w:name="Xc5096a31cee316cdb6c79c118c8f2b180d46213"/>
    <w:p>
      <w:pPr>
        <w:pStyle w:val="Heading2"/>
      </w:pPr>
      <w:r>
        <w:t xml:space="preserve">Тезис 2. Безопасность имеет приоритет — но внутри безопасной рамки есть выбор</w:t>
      </w:r>
    </w:p>
    <w:p>
      <w:pPr>
        <w:pStyle w:val="FirstParagraph"/>
      </w:pPr>
      <w:r>
        <w:t xml:space="preserve">Эта граница —</w:t>
      </w:r>
      <w:r>
        <w:t xml:space="preserve"> </w:t>
      </w:r>
      <w:r>
        <w:rPr>
          <w:b/>
          <w:bCs/>
        </w:rPr>
        <w:t xml:space="preserve">раздел 4.0 доклада</w:t>
      </w:r>
      <w:r>
        <w:t xml:space="preserve">: что кухня не назначает. Без врача: ограничения рациона, изменение текстур, правила при дисфагии, протокол свободной воды, действия при длительном отказе, сдвиг времени еды у инсулинозависимых, лечебные столы, лечебное питание. Без учредителя: изменение финансирования продуктовой строки, штатного расписания, аутсорсинг, официальный статус пилота. Без правовой проверки: формулировки о согласии недееспособного, обработка пищевых карт как персональных данных, конструкции «учреждение = опекун». Кухня исполняет назначение, не ставит диагноз.</w:t>
      </w:r>
      <w:r>
        <w:t xml:space="preserve"> </w:t>
      </w:r>
      <w:r>
        <w:rPr>
          <w:b/>
          <w:bCs/>
        </w:rPr>
        <w:t xml:space="preserve">99 % недееспособных жителей ПНИ находятся под опекой самого учреждения</w:t>
      </w:r>
      <w:r>
        <w:t xml:space="preserve"> </w:t>
      </w:r>
      <w:r>
        <w:t xml:space="preserve">(117 000 чел., проект «Если быть точным» 2024) — это уникальная находка, которой нет в большинстве русскоязычных методик.</w:t>
      </w:r>
    </w:p>
    <w:bookmarkEnd w:id="10"/>
    <w:bookmarkStart w:id="11" w:name="Xc2ce4a2106a1a9b9973668bc4dc585e991878ef"/>
    <w:p>
      <w:pPr>
        <w:pStyle w:val="Heading2"/>
      </w:pPr>
      <w:r>
        <w:t xml:space="preserve">Тезис 3. Вариативное питание — не ресторан, а управляемая система</w:t>
      </w:r>
    </w:p>
    <w:p>
      <w:pPr>
        <w:pStyle w:val="FirstParagraph"/>
      </w:pPr>
      <w:r>
        <w:t xml:space="preserve">Вариативное питание — это</w:t>
      </w:r>
      <w:r>
        <w:t xml:space="preserve"> </w:t>
      </w:r>
      <w:r>
        <w:rPr>
          <w:b/>
          <w:bCs/>
        </w:rPr>
        <w:t xml:space="preserve">не «шведский стол» и не «два полноценных меню»</w:t>
      </w:r>
      <w:r>
        <w:t xml:space="preserve">, а управляемая система, в которой: безопасность имеет приоритет; медицинскую рамку определяет уполномоченный специалист; внутри допустимой рамки человеку предоставляют понятный выбор; воля может выражаться словами, взглядом, жестом, поведением, устойчивыми предпочтениями и биографическими сведениями; выбор документируется; кухня исполняет назначение, но не ставит диагноз; результаты пилота измеряются; достоинство человека не противопоставляется безопасности.</w:t>
      </w:r>
      <w:r>
        <w:t xml:space="preserve"> </w:t>
      </w:r>
      <w:r>
        <w:rPr>
          <w:b/>
          <w:bCs/>
        </w:rPr>
        <w:t xml:space="preserve">«% выбравших» — не KPI.</w:t>
      </w:r>
      <w:r>
        <w:t xml:space="preserve"> </w:t>
      </w:r>
      <w:r>
        <w:t xml:space="preserve">Человек вправе выбрать стандартный вариант или не выбирать вовсе. Успех измеряется доступностью выбора и исполнением осмысленного выбора, а не долей «выбравших».</w:t>
      </w:r>
    </w:p>
    <w:bookmarkEnd w:id="11"/>
    <w:bookmarkStart w:id="12" w:name="тезис-4-шесть-измерений-одной-тарелки"/>
    <w:p>
      <w:pPr>
        <w:pStyle w:val="Heading2"/>
      </w:pPr>
      <w:r>
        <w:t xml:space="preserve">Тезис 4. Шесть измерений одной тарелки</w:t>
      </w:r>
    </w:p>
    <w:p>
      <w:pPr>
        <w:pStyle w:val="FirstParagraph"/>
      </w:pPr>
      <w:r>
        <w:t xml:space="preserve">Одномерное «накормить» производит недоедание, конфликты и нарушения. Шесть измерений: (1)</w:t>
      </w:r>
      <w:r>
        <w:t xml:space="preserve"> </w:t>
      </w:r>
      <w:r>
        <w:rPr>
          <w:b/>
          <w:bCs/>
        </w:rPr>
        <w:t xml:space="preserve">достаточность</w:t>
      </w:r>
      <w:r>
        <w:t xml:space="preserve"> </w:t>
      </w:r>
      <w:r>
        <w:t xml:space="preserve">— порция соответствует норме и съедена; (2)</w:t>
      </w:r>
      <w:r>
        <w:t xml:space="preserve"> </w:t>
      </w:r>
      <w:r>
        <w:rPr>
          <w:b/>
          <w:bCs/>
        </w:rPr>
        <w:t xml:space="preserve">безопасность</w:t>
      </w:r>
      <w:r>
        <w:t xml:space="preserve"> </w:t>
      </w:r>
      <w:r>
        <w:t xml:space="preserve">— санитарный, клинический, поведенческий слои; (3)</w:t>
      </w:r>
      <w:r>
        <w:t xml:space="preserve"> </w:t>
      </w:r>
      <w:r>
        <w:rPr>
          <w:b/>
          <w:bCs/>
        </w:rPr>
        <w:t xml:space="preserve">удовольствие</w:t>
      </w:r>
      <w:r>
        <w:t xml:space="preserve"> </w:t>
      </w:r>
      <w:r>
        <w:t xml:space="preserve">— вкус, температура, разнообразие; (4)</w:t>
      </w:r>
      <w:r>
        <w:t xml:space="preserve"> </w:t>
      </w:r>
      <w:r>
        <w:rPr>
          <w:b/>
          <w:bCs/>
        </w:rPr>
        <w:t xml:space="preserve">социальность</w:t>
      </w:r>
      <w:r>
        <w:t xml:space="preserve"> </w:t>
      </w:r>
      <w:r>
        <w:t xml:space="preserve">— еда как совместное событие; (5)</w:t>
      </w:r>
      <w:r>
        <w:t xml:space="preserve"> </w:t>
      </w:r>
      <w:r>
        <w:rPr>
          <w:b/>
          <w:bCs/>
        </w:rPr>
        <w:t xml:space="preserve">самостоятельность</w:t>
      </w:r>
      <w:r>
        <w:t xml:space="preserve"> </w:t>
      </w:r>
      <w:r>
        <w:t xml:space="preserve">— навык «свой стол»; (6)</w:t>
      </w:r>
      <w:r>
        <w:t xml:space="preserve"> </w:t>
      </w:r>
      <w:r>
        <w:rPr>
          <w:b/>
          <w:bCs/>
        </w:rPr>
        <w:t xml:space="preserve">выбор</w:t>
      </w:r>
      <w:r>
        <w:t xml:space="preserve"> </w:t>
      </w:r>
      <w:r>
        <w:t xml:space="preserve">— единственное измерение, которое нельзя делегировать. Провал любого из шести — предмет ответственности.</w:t>
      </w:r>
      <w:r>
        <w:t xml:space="preserve"> </w:t>
      </w:r>
      <w:r>
        <w:rPr>
          <w:b/>
          <w:bCs/>
        </w:rPr>
        <w:t xml:space="preserve">Деньги закрывают в основном первые три; последние три — организацию и документы.</w:t>
      </w:r>
      <w:r>
        <w:t xml:space="preserve"> </w:t>
      </w:r>
      <w:r>
        <w:t xml:space="preserve">Вариативное питание работает, когда первые пять не провалены.</w:t>
      </w:r>
    </w:p>
    <w:bookmarkEnd w:id="12"/>
    <w:bookmarkStart w:id="13" w:name="X6334d5cb1e401a7716159eb27e2cf1c4d6b5fab"/>
    <w:p>
      <w:pPr>
        <w:pStyle w:val="Heading2"/>
      </w:pPr>
      <w:r>
        <w:t xml:space="preserve">Тезис 5. Дисфагия — это вопрос смертности, а не «особенность контингента»</w:t>
      </w:r>
    </w:p>
    <w:p>
      <w:pPr>
        <w:pStyle w:val="FirstParagraph"/>
      </w:pPr>
      <w:r>
        <w:t xml:space="preserve">В изученных клинических группах на антипсихотиках дисфагия —</w:t>
      </w:r>
      <w:r>
        <w:t xml:space="preserve"> </w:t>
      </w:r>
      <w:r>
        <w:rPr>
          <w:b/>
          <w:bCs/>
        </w:rPr>
        <w:t xml:space="preserve">21,9–69,5 %</w:t>
      </w:r>
      <w:r>
        <w:t xml:space="preserve"> </w:t>
      </w:r>
      <w:r>
        <w:t xml:space="preserve">(Miarons Font, Rofes Salsench 2017; обзор 18 исследований;</w:t>
      </w:r>
      <w:r>
        <w:t xml:space="preserve"> </w:t>
      </w:r>
      <w:r>
        <w:rPr>
          <w:b/>
          <w:bCs/>
        </w:rPr>
        <w:t xml:space="preserve">популяции не совпадают с российскими ДСО</w:t>
      </w:r>
      <w:r>
        <w:t xml:space="preserve">). Смертность от пневмонии при шизофрении —</w:t>
      </w:r>
      <w:r>
        <w:t xml:space="preserve"> </w:t>
      </w:r>
      <w:r>
        <w:rPr>
          <w:b/>
          <w:bCs/>
        </w:rPr>
        <w:t xml:space="preserve">в 7 раз выше популяционной</w:t>
      </w:r>
      <w:r>
        <w:t xml:space="preserve"> </w:t>
      </w:r>
      <w:r>
        <w:t xml:space="preserve">(Correll et al. World Psychiatry 2022; мета-анализ 135 когорт 1957–2021; RR 7,00; 95 % ДИ 6,79–7,23). Общий разрыв продолжительности жизни — 15–20 лет. Аспирация — один из ключевых механизмов этого разрыва.</w:t>
      </w:r>
      <w:r>
        <w:t xml:space="preserve"> </w:t>
      </w:r>
      <w:r>
        <w:rPr>
          <w:b/>
          <w:bCs/>
        </w:rPr>
        <w:t xml:space="preserve">Шесть признаков, которые видит сиделка без логопеда:</w:t>
      </w:r>
      <w:r>
        <w:t xml:space="preserve"> </w:t>
      </w:r>
      <w:r>
        <w:t xml:space="preserve">покашливание или поперхивание; «влажный» голос после глотка; многократное проглатывание одного куска; еда «за щекой»; необычно долгий приём; повторные пневмонии. IDDSI — терминология, не лечебный протокол. Текстуру назначает врач. В 5 учреждениях aged care соответствие текстур выросло с 44 до 90 % (Wu 2022);</w:t>
      </w:r>
      <w:r>
        <w:t xml:space="preserve"> </w:t>
      </w:r>
      <w:r>
        <w:rPr>
          <w:b/>
          <w:bCs/>
        </w:rPr>
        <w:t xml:space="preserve">перенос на психиатрический контингент не доказан.</w:t>
      </w:r>
    </w:p>
    <w:bookmarkEnd w:id="13"/>
    <w:bookmarkStart w:id="14" w:name="Xc12c53605a2ccce219308aaa0696bca01d3c4b2"/>
    <w:p>
      <w:pPr>
        <w:pStyle w:val="Heading2"/>
      </w:pPr>
      <w:r>
        <w:t xml:space="preserve">Тезис 6. Лекарства и еда: четыре правила, которые обязана знать кухня</w:t>
      </w:r>
    </w:p>
    <w:p>
      <w:pPr>
        <w:pStyle w:val="FirstParagraph"/>
      </w:pPr>
      <w:r>
        <w:t xml:space="preserve">Клозапин ↔ кофеин (Hägg 2000, +19 % AUC, 12 здоровых добровольцев, однократная доза). Литий ↔ соль и вода (StatPearls). ИМАО ↔ тирамин (NHS). Карбамазепин ↔ грейпфрут (Garg 1998, +40 % пик, +41 % AUC, 10 пациентов с эпилепсией). Кухня не отменяет кофе — врач оценивает риск и документирует решение.</w:t>
      </w:r>
      <w:r>
        <w:t xml:space="preserve"> </w:t>
      </w:r>
      <w:r>
        <w:rPr>
          <w:b/>
          <w:bCs/>
        </w:rPr>
        <w:t xml:space="preserve">Одна подписанная таблица на посту.</w:t>
      </w:r>
    </w:p>
    <w:bookmarkEnd w:id="14"/>
    <w:bookmarkStart w:id="15" w:name="X00aa3e874611a361c70fb8dff785e3418577ee8"/>
    <w:p>
      <w:pPr>
        <w:pStyle w:val="Heading2"/>
      </w:pPr>
      <w:r>
        <w:t xml:space="preserve">Тезис 7. Российские практики: 4 учреждения + 1 региональная модель (без обобщений)</w:t>
      </w:r>
    </w:p>
    <w:p>
      <w:pPr>
        <w:pStyle w:val="FirstParagraph"/>
      </w:pPr>
      <w:r>
        <w:rPr>
          <w:b/>
          <w:bCs/>
        </w:rPr>
        <w:t xml:space="preserve">Серафимовский</w:t>
      </w:r>
      <w:r>
        <w:t xml:space="preserve"> </w:t>
      </w:r>
      <w:r>
        <w:t xml:space="preserve">(Санкт-Петербург; приказ № 124 от 10.03.2026 —</w:t>
      </w:r>
      <w:r>
        <w:t xml:space="preserve"> </w:t>
      </w:r>
      <w:r>
        <w:rPr>
          <w:b/>
          <w:bCs/>
        </w:rPr>
        <w:t xml:space="preserve">локальный акт, не общероссийская норма</w:t>
      </w:r>
      <w:r>
        <w:t xml:space="preserve">): заказное питание в правилах внутреннего распорядка, для маломобильных — в жилых комнатах.</w:t>
      </w:r>
      <w:r>
        <w:t xml:space="preserve"> </w:t>
      </w:r>
      <w:r>
        <w:rPr>
          <w:b/>
          <w:bCs/>
        </w:rPr>
        <w:t xml:space="preserve">Успенский ПНИ</w:t>
      </w:r>
      <w:r>
        <w:t xml:space="preserve"> </w:t>
      </w:r>
      <w:r>
        <w:t xml:space="preserve">(Новосибирская обл., S016, 13.08.2024): модель М2, ежедневно 2 вторых, 2 салата, 2 напитка во всех отделениях.</w:t>
      </w:r>
      <w:r>
        <w:t xml:space="preserve"> </w:t>
      </w:r>
      <w:r>
        <w:rPr>
          <w:b/>
          <w:bCs/>
        </w:rPr>
        <w:t xml:space="preserve">Болотнинский ПНИ</w:t>
      </w:r>
      <w:r>
        <w:t xml:space="preserve"> </w:t>
      </w:r>
      <w:r>
        <w:t xml:space="preserve">(Новосибирская обл., S015, 16.08.2024): модель М1, выбор на завтрак и обед по ключевым позициям.</w:t>
      </w:r>
      <w:r>
        <w:t xml:space="preserve"> </w:t>
      </w:r>
      <w:r>
        <w:rPr>
          <w:b/>
          <w:bCs/>
        </w:rPr>
        <w:t xml:space="preserve">Усть-Илимский ДСО</w:t>
      </w:r>
      <w:r>
        <w:t xml:space="preserve"> </w:t>
      </w:r>
      <w:r>
        <w:t xml:space="preserve">(Иркутская обл., S017, 27.09.2024): «что за зверь такой — вариативное питание».</w:t>
      </w:r>
      <w:r>
        <w:t xml:space="preserve"> </w:t>
      </w:r>
      <w:r>
        <w:rPr>
          <w:b/>
          <w:bCs/>
        </w:rPr>
        <w:t xml:space="preserve">Иркутская область</w:t>
      </w:r>
      <w:r>
        <w:t xml:space="preserve"> </w:t>
      </w:r>
      <w:r>
        <w:t xml:space="preserve">(S018, 14.02.2025): региональная модель, выбор из двух первых, вторых и гарниров.</w:t>
      </w:r>
      <w:r>
        <w:t xml:space="preserve"> </w:t>
      </w:r>
      <w:r>
        <w:rPr>
          <w:b/>
          <w:bCs/>
        </w:rPr>
        <w:t xml:space="preserve">«Тесовый берег» (со-модератор) — НЕ в этом списке</w:t>
      </w:r>
      <w:r>
        <w:t xml:space="preserve">, потому что его модель пока не опубликована.</w:t>
      </w:r>
      <w:r>
        <w:t xml:space="preserve"> </w:t>
      </w:r>
      <w:r>
        <w:rPr>
          <w:b/>
          <w:bCs/>
        </w:rPr>
        <w:t xml:space="preserve">«Победа», «Парус» (27.08) — другие учреждения программы, не смешивать с практиками.</w:t>
      </w:r>
    </w:p>
    <w:bookmarkEnd w:id="15"/>
    <w:bookmarkStart w:id="16" w:name="X33d54500461504146044df54bc761f598c12037"/>
    <w:p>
      <w:pPr>
        <w:pStyle w:val="Heading2"/>
      </w:pPr>
      <w:r>
        <w:t xml:space="preserve">Тезис 8. Пилот за 90 дней — без новой сметы, на одном отделении</w:t>
      </w:r>
    </w:p>
    <w:p>
      <w:pPr>
        <w:pStyle w:val="FirstParagraph"/>
      </w:pPr>
      <w:r>
        <w:rPr>
          <w:b/>
          <w:bCs/>
        </w:rPr>
        <w:t xml:space="preserve">Три фазы:</w:t>
      </w:r>
      <w:r>
        <w:t xml:space="preserve"> </w:t>
      </w:r>
      <w:r>
        <w:t xml:space="preserve">30 дней замер → 30 дней документы и обучение → 30 дней пилот.</w:t>
      </w:r>
      <w:r>
        <w:t xml:space="preserve"> </w:t>
      </w:r>
      <w:r>
        <w:rPr>
          <w:b/>
          <w:bCs/>
        </w:rPr>
        <w:t xml:space="preserve">5 групп показателей:</w:t>
      </w:r>
      <w:r>
        <w:t xml:space="preserve"> </w:t>
      </w:r>
      <w:r>
        <w:t xml:space="preserve">заполненность пищевых карт; доля приёмов с реально доступным выбором; доля корректно исполненных заказов; отказы, замены и пищевые отходы; события риска.</w:t>
      </w:r>
      <w:r>
        <w:t xml:space="preserve"> </w:t>
      </w:r>
      <w:r>
        <w:rPr>
          <w:b/>
          <w:bCs/>
        </w:rPr>
        <w:t xml:space="preserve">6 стоп-критериев:</w:t>
      </w:r>
      <w:r>
        <w:t xml:space="preserve"> </w:t>
      </w:r>
      <w:r>
        <w:t xml:space="preserve">рост пневмоний ≥30 %, падение со смертельным исходом, жалоба в прокуратуру, приказ учредителя, отзыв согласия, отсутствие врача.</w:t>
      </w:r>
      <w:r>
        <w:t xml:space="preserve"> </w:t>
      </w:r>
      <w:r>
        <w:rPr>
          <w:b/>
          <w:bCs/>
        </w:rPr>
        <w:t xml:space="preserve">«% выбравших» — не KPI.</w:t>
      </w:r>
      <w:r>
        <w:t xml:space="preserve"> </w:t>
      </w:r>
      <w:r>
        <w:t xml:space="preserve">Успех — доступность и исполнение осмысленного выбора. Лучше «сложное» отделение (помощь, неговорящие) — если получится у них, получится у всех.</w:t>
      </w:r>
      <w:r>
        <w:t xml:space="preserve"> </w:t>
      </w:r>
      <w:r>
        <w:rPr>
          <w:b/>
          <w:bCs/>
        </w:rPr>
        <w:t xml:space="preserve">Внедрено публично ≠ доказанный эффект.</w:t>
      </w:r>
    </w:p>
    <w:bookmarkEnd w:id="16"/>
    <w:bookmarkStart w:id="17" w:name="тезис-9-граница-что-кухня-не-назначает"/>
    <w:p>
      <w:pPr>
        <w:pStyle w:val="Heading2"/>
      </w:pPr>
      <w:r>
        <w:t xml:space="preserve">Тезис 9. Граница: что кухня не назначает</w:t>
      </w:r>
    </w:p>
    <w:p>
      <w:pPr>
        <w:pStyle w:val="FirstParagraph"/>
      </w:pPr>
      <w:r>
        <w:t xml:space="preserve">Без врача: любые ограничения рациона, изменение текстур, правила при дисфагии и протокол свободной воды, действия при длительном отказе, режим при седации, энтеральное/зондовое питание, комфортное кормление, сдвиг времени еды у инсулинозависимых, слабительные, назначение анализов и микронутриентов, интерпретация MUST, витаминизация. Без учредителя: изменение финансирования, штатного расписания, аутсорсинг, официальный статус пилота. Без правовой проверки: формулировки о согласии недееспособного, обработка пищевых карт как персональных данных, ответы на запросы прокуратуры, конструкции «учреждение = опекун».</w:t>
      </w:r>
      <w:r>
        <w:t xml:space="preserve"> </w:t>
      </w:r>
      <w:r>
        <w:rPr>
          <w:b/>
          <w:bCs/>
        </w:rPr>
        <w:t xml:space="preserve">Таблица «лекарство × еда» на посту законна только с подписью врача.</w:t>
      </w:r>
    </w:p>
    <w:bookmarkEnd w:id="17"/>
    <w:bookmarkStart w:id="18" w:name="тезис-10-завтрак-повара-в-понедельник"/>
    <w:p>
      <w:pPr>
        <w:pStyle w:val="Heading2"/>
      </w:pPr>
      <w:r>
        <w:t xml:space="preserve">Тезис 10. Завтрак повара в понедельник</w:t>
      </w:r>
    </w:p>
    <w:p>
      <w:pPr>
        <w:pStyle w:val="FirstParagraph"/>
      </w:pPr>
      <w:r>
        <w:t xml:space="preserve">Семь дней считаем отходы и смотрим, что реально остаётся на тарелках. Замеряем интервал ужин → завтрак одной строкой в журнале. На пост — таблица врача «лекарство × еда», не самодеятельность кухни. Три отказа подряд — звонок врачу в тот же день. Если кухня чужая — открыть спецификацию: есть ли строка выбора.</w:t>
      </w:r>
      <w:r>
        <w:t xml:space="preserve"> </w:t>
      </w:r>
      <w:r>
        <w:rPr>
          <w:b/>
          <w:bCs/>
        </w:rPr>
        <w:t xml:space="preserve">Остальное (опрос, письмо учредителю, рабочая группа, поднос для постельных) — после этих пяти.</w:t>
      </w:r>
      <w:r>
        <w:t xml:space="preserve"> </w:t>
      </w:r>
      <w:r>
        <w:t xml:space="preserve">Чек-листы — приложения 18–20.</w:t>
      </w:r>
    </w:p>
    <w:bookmarkEnd w:id="18"/>
    <w:bookmarkStart w:id="19" w:name="X9169d9b041c95eff7bd4bee0fbc6bcf2e23900c"/>
    <w:p>
      <w:pPr>
        <w:pStyle w:val="Heading2"/>
      </w:pPr>
      <w:r>
        <w:t xml:space="preserve">Тезис 11. СанПиН меняется через 6 дней после семинара</w:t>
      </w:r>
    </w:p>
    <w:p>
      <w:pPr>
        <w:pStyle w:val="FirstParagraph"/>
      </w:pPr>
      <w:r>
        <w:t xml:space="preserve">СанПиН 2.3/2.4.4282-26 (пост. ГГСВ РФ от 02.06.2026 № 18, рег. Минюст 02.06.2026 № 86854)</w:t>
      </w:r>
      <w:r>
        <w:t xml:space="preserve"> </w:t>
      </w:r>
      <w:r>
        <w:rPr>
          <w:b/>
          <w:bCs/>
        </w:rPr>
        <w:t xml:space="preserve">вступает в силу с 01.09.2026</w:t>
      </w:r>
      <w:r>
        <w:t xml:space="preserve">, действует до 01.09.2032.</w:t>
      </w:r>
      <w:r>
        <w:t xml:space="preserve"> </w:t>
      </w:r>
      <w:r>
        <w:rPr>
          <w:b/>
          <w:bCs/>
        </w:rPr>
        <w:t xml:space="preserve">На дату семинара 26.08 — «Документ не вступил в силу»</w:t>
      </w:r>
      <w:r>
        <w:t xml:space="preserve"> </w:t>
      </w:r>
      <w:r>
        <w:t xml:space="preserve">(consultant.ru). С 01.09.2026 утрачивает силу СанПиН 3590-20 (пост. от 27.10.2020 № 32).</w:t>
      </w:r>
      <w:r>
        <w:t xml:space="preserve"> </w:t>
      </w:r>
      <w:r>
        <w:rPr>
          <w:b/>
          <w:bCs/>
        </w:rPr>
        <w:t xml:space="preserve">Через 6 дней после семинара — смотрите новую редакцию.</w:t>
      </w:r>
      <w:r>
        <w:t xml:space="preserve"> </w:t>
      </w:r>
      <w:r>
        <w:t xml:space="preserve">Главное для учреждений соцобслуживания — п. 56 подп. 11 (не менее 3 приёмов + диетическое по показаниям). Формулировка сохранена в обеих редакциях.</w:t>
      </w:r>
    </w:p>
    <w:bookmarkEnd w:id="19"/>
    <w:bookmarkStart w:id="20" w:name="тезис-12-последнее-слово"/>
    <w:p>
      <w:pPr>
        <w:pStyle w:val="Heading2"/>
      </w:pPr>
      <w:r>
        <w:t xml:space="preserve">Тезис 12. Последнее слово</w:t>
      </w:r>
    </w:p>
    <w:p>
      <w:pPr>
        <w:pStyle w:val="FirstParagraph"/>
      </w:pPr>
      <w:r>
        <w:rPr>
          <w:b/>
          <w:bCs/>
        </w:rPr>
        <w:t xml:space="preserve">«Не внедряйте вслепую. Измеряйте».</w:t>
      </w:r>
      <w:r>
        <w:t xml:space="preserve"> </w:t>
      </w:r>
      <w:r>
        <w:t xml:space="preserve">Семь дней замера отделяют убеждение от знания. Если получилось в Успенском ПНИ — жители «с лёгкостью освоили новую систему» — это методика.</w:t>
      </w:r>
      <w:r>
        <w:t xml:space="preserve"> </w:t>
      </w:r>
      <w:r>
        <w:rPr>
          <w:b/>
          <w:bCs/>
        </w:rPr>
        <w:t xml:space="preserve">Если не получилось в вашем учреждении — это тоже результат</w:t>
      </w:r>
      <w:r>
        <w:t xml:space="preserve">, который говорит, что нужно менять в вашей системе.</w:t>
      </w:r>
      <w:r>
        <w:t xml:space="preserve"> </w:t>
      </w:r>
      <w:r>
        <w:rPr>
          <w:b/>
          <w:bCs/>
        </w:rPr>
        <w:t xml:space="preserve">Право выбора становится реальным тогда, когда его можно проследить до тарелки.</w:t>
      </w:r>
    </w:p>
    <w:p>
      <w:r>
        <w:pict>
          <v:rect style="width:0;height:1.5pt" o:hralign="center" o:hrstd="t" o:hr="t"/>
        </w:pict>
      </w:r>
    </w:p>
    <w:bookmarkEnd w:id="20"/>
    <w:bookmarkStart w:id="21" w:name="границы-доказательности"/>
    <w:p>
      <w:pPr>
        <w:pStyle w:val="Heading2"/>
      </w:pPr>
      <w:r>
        <w:t xml:space="preserve">Границы доказательности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Утверждение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Ограничение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21,9–69,5 % дисфагия</w:t>
            </w:r>
          </w:p>
        </w:tc>
        <w:tc>
          <w:tcPr/>
          <w:p>
            <w:pPr>
              <w:pStyle w:val="Compact"/>
            </w:pPr>
            <w:r>
              <w:t xml:space="preserve">Miarons Font 2017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Популяции не совпадают с российскими ДСО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 7,00 пневмонии</w:t>
            </w:r>
          </w:p>
        </w:tc>
        <w:tc>
          <w:tcPr/>
          <w:p>
            <w:pPr>
              <w:pStyle w:val="Compact"/>
            </w:pPr>
            <w:r>
              <w:t xml:space="preserve">Correll 2022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Международные когорты, не РФ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76,3 % вес клозапин</w:t>
            </w:r>
          </w:p>
        </w:tc>
        <w:tc>
          <w:tcPr/>
          <w:p>
            <w:pPr>
              <w:pStyle w:val="Compact"/>
            </w:pPr>
            <w:r>
              <w:t xml:space="preserve">Campforts 2023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&gt;38 нед, обзор 202 исследований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−0,23…+3,01 кг</w:t>
            </w:r>
          </w:p>
        </w:tc>
        <w:tc>
          <w:tcPr/>
          <w:p>
            <w:pPr>
              <w:pStyle w:val="Compact"/>
            </w:pPr>
            <w:r>
              <w:t xml:space="preserve">Pillinger 2020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Медиана 6 нед, 100 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+19 % AUC клозапин</w:t>
            </w:r>
          </w:p>
        </w:tc>
        <w:tc>
          <w:tcPr/>
          <w:p>
            <w:pPr>
              <w:pStyle w:val="Compact"/>
            </w:pPr>
            <w:r>
              <w:t xml:space="preserve">Hägg 2000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12 здоровых добровольцев, однократная доза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+40 % AUC карбамазепин</w:t>
            </w:r>
          </w:p>
        </w:tc>
        <w:tc>
          <w:tcPr/>
          <w:p>
            <w:pPr>
              <w:pStyle w:val="Compact"/>
            </w:pPr>
            <w:r>
              <w:t xml:space="preserve">Garg 1998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10 пациентов с эпилепсией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IDDSI 44→90 %</w:t>
            </w:r>
          </w:p>
        </w:tc>
        <w:tc>
          <w:tcPr/>
          <w:p>
            <w:pPr>
              <w:pStyle w:val="Compact"/>
            </w:pPr>
            <w:r>
              <w:t xml:space="preserve">Wu 2022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5 учреждений aged care, не психиатрия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19→11 % пневмонии</w:t>
            </w:r>
          </w:p>
        </w:tc>
        <w:tc>
          <w:tcPr/>
          <w:p>
            <w:pPr>
              <w:pStyle w:val="Compact"/>
            </w:pPr>
            <w:r>
              <w:t xml:space="preserve">Yoneyama 2002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Дома ухода, не ПНИ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1/10 смертей</w:t>
            </w:r>
          </w:p>
        </w:tc>
        <w:tc>
          <w:tcPr/>
          <w:p>
            <w:pPr>
              <w:pStyle w:val="Compact"/>
            </w:pPr>
            <w:r>
              <w:t xml:space="preserve">Sjogren 2008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Frail elders, не психиатрия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74 % недееспособных</w:t>
            </w:r>
          </w:p>
        </w:tc>
        <w:tc>
          <w:tcPr/>
          <w:p>
            <w:pPr>
              <w:pStyle w:val="Compact"/>
            </w:pPr>
            <w:r>
              <w:t xml:space="preserve">Если быть точным 2024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Аналитика, не Минтруд; в вашем ДСО — другая цифра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99 % под опекой учреждения</w:t>
            </w:r>
          </w:p>
        </w:tc>
        <w:tc>
          <w:tcPr/>
          <w:p>
            <w:pPr>
              <w:pStyle w:val="Compact"/>
            </w:pPr>
            <w:r>
              <w:t xml:space="preserve">Если быть точным 2024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Из 117 000 недееспособных ПНИ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466 ПНИ, 139 000 жителей</w:t>
            </w:r>
          </w:p>
        </w:tc>
        <w:tc>
          <w:tcPr/>
          <w:p>
            <w:pPr>
              <w:pStyle w:val="Compact"/>
            </w:pPr>
            <w:r>
              <w:t xml:space="preserve">Если быть точным 2024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Данные Минтруда + Казначейство + Росстат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1 004 жителя Серафимовского</w:t>
            </w:r>
          </w:p>
        </w:tc>
        <w:tc>
          <w:tcPr/>
          <w:p>
            <w:pPr>
              <w:pStyle w:val="Compact"/>
            </w:pPr>
            <w:r>
              <w:t xml:space="preserve">web.archive.org 15.04.2026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Архив, сайт истёк 21.08.2026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№ 124</w:t>
            </w:r>
          </w:p>
        </w:tc>
        <w:tc>
          <w:tcPr/>
          <w:p>
            <w:pPr>
              <w:pStyle w:val="Compact"/>
            </w:pPr>
            <w:r>
              <w:t xml:space="preserve">web.archive.org 15.04.2026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Локальный, не общероссийский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СанПиН 4282-26</w:t>
            </w:r>
          </w:p>
        </w:tc>
        <w:tc>
          <w:tcPr/>
          <w:p>
            <w:pPr>
              <w:pStyle w:val="Compact"/>
            </w:pPr>
            <w:r>
              <w:t xml:space="preserve">publication.pravo.gov.ru 02.06.2026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Вступает в силу 01.09.2026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442-ФЗ, 3185-1</w:t>
            </w:r>
          </w:p>
        </w:tc>
        <w:tc>
          <w:tcPr/>
          <w:p>
            <w:pPr>
              <w:pStyle w:val="Compact"/>
            </w:pPr>
            <w:r>
              <w:t xml:space="preserve">consultant.ru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Ред. от 26.12.2024 / 22.07.2024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Всего 16 ключевых фактов подтверждены первоисточниками. 5 из них требуют оговорки переноса (зарубежное → российские ДСО).</w:t>
      </w:r>
    </w:p>
    <w:p>
      <w:r>
        <w:pict>
          <v:rect style="width:0;height:1.5pt" o:hralign="center" o:hrstd="t" o:hr="t"/>
        </w:pict>
      </w:r>
    </w:p>
    <w:bookmarkEnd w:id="21"/>
    <w:bookmarkStart w:id="22" w:name="контакт-для-обратной-связи"/>
    <w:p>
      <w:pPr>
        <w:pStyle w:val="Heading2"/>
      </w:pPr>
      <w:r>
        <w:t xml:space="preserve">Контакт для обратной связи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Чистяков Евгений Владимирович, директор СПб ГАСУСОН «ДСО „Серафимовский"».</w:t>
      </w:r>
      <w:r>
        <w:t xml:space="preserve"> </w:t>
      </w:r>
      <w:r>
        <w:rPr>
          <w:b/>
          <w:bCs/>
        </w:rPr>
        <w:t xml:space="preserve">Адрес:</w:t>
      </w:r>
      <w:r>
        <w:t xml:space="preserve"> </w:t>
      </w:r>
      <w:r>
        <w:t xml:space="preserve">198320, Санкт-Петербург, г. Красное Село, ул. Красногородская, д. 1.</w:t>
      </w:r>
      <w:r>
        <w:t xml:space="preserve"> </w:t>
      </w:r>
      <w:r>
        <w:rPr>
          <w:b/>
          <w:bCs/>
        </w:rPr>
        <w:t xml:space="preserve">Дата правовой сверки: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Дата фактчекинга: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Изменения после 22.08.2026 требуют перепроверки.</w:t>
      </w:r>
    </w:p>
    <w:p>
      <w:pPr>
        <w:pStyle w:val="BodyText"/>
      </w:pPr>
      <w:r>
        <w:rPr>
          <w:b/>
          <w:bCs/>
        </w:rPr>
        <w:t xml:space="preserve">Дисклеймер:</w:t>
      </w:r>
      <w:r>
        <w:t xml:space="preserve"> </w:t>
      </w:r>
      <w:r>
        <w:t xml:space="preserve">материал носит информационный и методический характер и не заменяет индивидуального юридического заключения, клинической рекомендации или финансового расчёта. Шаблоны — проекты локальных форм; требуют адаптации к конкретному учреждению. Все цифры и нормативные ссылки проверены на 22.08.2026; после этой даты конкретный акт мог измениться.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 тезисов: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Семинар:</w:t>
      </w:r>
      <w:r>
        <w:t xml:space="preserve"> </w:t>
      </w:r>
      <w:r>
        <w:t xml:space="preserve">25–27 августа 2026 года, Санкт-Петербург, Минтруд России.</w:t>
      </w:r>
      <w:r>
        <w:t xml:space="preserve"> </w:t>
      </w:r>
      <w:r>
        <w:rPr>
          <w:b/>
          <w:bCs/>
        </w:rPr>
        <w:t xml:space="preserve">Сессия:</w:t>
      </w:r>
      <w:r>
        <w:t xml:space="preserve"> </w:t>
      </w:r>
      <w:r>
        <w:t xml:space="preserve">26.08.2026, 14:00–15:30, площадка № 2 — ДСО «Тесовый берег».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Тезисы доклада (2-4 стр.)</dc:title>
  <dc:creator>Чистяков Е. В.</dc:creator>
  <dc:language>ru</dc:language>
  <cp:keywords/>
  <dcterms:created xsi:type="dcterms:W3CDTF">2026-08-22T08:50:34Z</dcterms:created>
  <dcterms:modified xsi:type="dcterms:W3CDTF">2026-08-22T08:50:34Z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22.08.2026</vt:lpwstr>
  </property>
</Properties>
</file>