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Библиография v2 (134 источника)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библиография-v2-этап-13"/>
    <w:p>
      <w:pPr>
        <w:pStyle w:val="Heading1"/>
      </w:pPr>
      <w:r>
        <w:t xml:space="preserve">Библиография v2 (Этап 13)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обновлённая библиография на основании фактчекинга 22 ключевых фактов от 22.08.2026.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приведение к единому стандарту с DOI/PMID/URL и датой обращения; удаление дублей; явное разделение категорий.</w:t>
      </w:r>
      <w:r>
        <w:t xml:space="preserve"> </w:t>
      </w:r>
      <w:r>
        <w:rPr>
          <w:b/>
          <w:bCs/>
        </w:rPr>
        <w:t xml:space="preserve">Объём:</w:t>
      </w:r>
      <w:r>
        <w:t xml:space="preserve"> </w:t>
      </w:r>
      <w:r>
        <w:t xml:space="preserve">126 подтверждённых источников (34 S + 48 M + 44 I) + 8 новых позиций, выявленных при сверке.</w:t>
      </w:r>
    </w:p>
    <w:p>
      <w:pPr>
        <w:pStyle w:val="BodyText"/>
      </w:pPr>
      <w:r>
        <w:rPr>
          <w:b/>
          <w:bCs/>
        </w:rPr>
        <w:t xml:space="preserve">Дата актуальности: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Изменения после этой даты требуют перепроверки.</w:t>
      </w:r>
    </w:p>
    <w:p>
      <w:pPr>
        <w:pStyle w:val="BodyText"/>
      </w:pPr>
      <w:r>
        <w:rPr>
          <w:b/>
          <w:bCs/>
        </w:rPr>
        <w:t xml:space="preserve">Изменения относительно v1.5: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Дубль убран:</w:t>
      </w:r>
      <w:r>
        <w:t xml:space="preserve"> </w:t>
      </w:r>
      <w:r>
        <w:t xml:space="preserve">«74 %» теперь зарегистрирован под</w:t>
      </w:r>
      <w:r>
        <w:t xml:space="preserve"> </w:t>
      </w:r>
      <w:r>
        <w:rPr>
          <w:b/>
          <w:bCs/>
        </w:rPr>
        <w:t xml:space="preserve">одним ID S004</w:t>
      </w:r>
      <w:r>
        <w:t xml:space="preserve"> </w:t>
      </w:r>
      <w:r>
        <w:t xml:space="preserve">(ранее — S004 и M-ebt). В M-реестре остаётся только клинический аспект.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Год публикации Miarons Font:</w:t>
      </w:r>
      <w:r>
        <w:t xml:space="preserve"> </w:t>
      </w:r>
      <w:r>
        <w:t xml:space="preserve">исправлен на</w:t>
      </w:r>
      <w:r>
        <w:t xml:space="preserve"> </w:t>
      </w:r>
      <w:r>
        <w:rPr>
          <w:b/>
          <w:bCs/>
        </w:rPr>
        <w:t xml:space="preserve">2017</w:t>
      </w:r>
      <w:r>
        <w:t xml:space="preserve"> </w:t>
      </w:r>
      <w:r>
        <w:t xml:space="preserve">(ранее в реестре ошибочно 2023).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Sjogren 2008</w:t>
      </w:r>
      <w:r>
        <w:t xml:space="preserve"> </w:t>
      </w:r>
      <w:r>
        <w:t xml:space="preserve">добавлен как первоисточник «1/10 смертей» (ранее атрибутировалось к Müller 2015).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Уточнён атрибут «локальный»</w:t>
      </w:r>
      <w:r>
        <w:t xml:space="preserve"> </w:t>
      </w:r>
      <w:r>
        <w:t xml:space="preserve">для приказа № 124.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Подтверждены 6 ссылок</w:t>
      </w:r>
      <w:r>
        <w:t xml:space="preserve">, по которым ранее были оговорки.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Добавлены 8 новых ID</w:t>
      </w:r>
      <w:r>
        <w:t xml:space="preserve"> </w:t>
      </w:r>
      <w:r>
        <w:t xml:space="preserve">(S036–S040, M-..., I-...) из фактчекинга.</w:t>
      </w:r>
    </w:p>
    <w:p>
      <w:r>
        <w:pict>
          <v:rect style="width:0;height:1.5pt" o:hralign="center" o:hrstd="t" o:hr="t"/>
        </w:pict>
      </w:r>
    </w:p>
    <w:bookmarkStart w:id="10" w:name="Xdec6bf554855ffafe904ebcbe6abb04f333f158"/>
    <w:p>
      <w:pPr>
        <w:pStyle w:val="Heading2"/>
      </w:pPr>
      <w:r>
        <w:t xml:space="preserve">1. Российские правовые и практические источники (S)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Где проверено</w:t>
            </w:r>
          </w:p>
        </w:tc>
        <w:tc>
          <w:tcPr/>
          <w:p>
            <w:pPr>
              <w:pStyle w:val="Compact"/>
            </w:pPr>
            <w:r>
              <w:t xml:space="preserve">Изменения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S001</w:t>
            </w:r>
          </w:p>
        </w:tc>
        <w:tc>
          <w:tcPr/>
          <w:p>
            <w:pPr>
              <w:pStyle w:val="Compact"/>
            </w:pPr>
            <w:r>
              <w:t xml:space="preserve">ФЗ от 28.12.2013 № 442-ФЗ «Об основах социального обслуживания граждан в РФ», ред. от 26.12.2024, вступ. в силу с 01.03.2025; ст. 9 (п. 1 — уважительное и гуманное отношение), ст. 16 (ИППСУ исходя из потребности), ст. 32 ч. 4 (предельная плата 75 %)</w:t>
            </w:r>
          </w:p>
        </w:tc>
        <w:tc>
          <w:tcPr/>
          <w:p>
            <w:pPr>
              <w:pStyle w:val="Compact"/>
            </w:pPr>
            <w:r>
              <w:t xml:space="preserve">Госдума, consultant.ru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S002</w:t>
            </w:r>
          </w:p>
        </w:tc>
        <w:tc>
          <w:tcPr/>
          <w:p>
            <w:pPr>
              <w:pStyle w:val="Compact"/>
            </w:pPr>
            <w:r>
              <w:t xml:space="preserve">Приказ Минтруда России от 13.09.2022 № 520н «Об утверждении рекомендуемых норм питания...» (рекомендательный характер, письмо Минтруда от 20.12.2022 № 26-6/ООГ-5005)</w:t>
            </w:r>
          </w:p>
        </w:tc>
        <w:tc>
          <w:tcPr/>
          <w:p>
            <w:pPr>
              <w:pStyle w:val="Compact"/>
            </w:pPr>
            <w:r>
              <w:t xml:space="preserve">Минтруд, consultant.ru, klerk.ru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S003</w:t>
            </w:r>
          </w:p>
        </w:tc>
        <w:tc>
          <w:tcPr/>
          <w:p>
            <w:pPr>
              <w:pStyle w:val="Compact"/>
            </w:pPr>
            <w:r>
              <w:t xml:space="preserve">СанПиН 2.3/2.4.3590-20 (пост. ГГСВ РФ от 27.10.2020 № 32, рег. Минюст 11.11.2020 № 60833), п. 7.1.11 — действует до 31.08.2026; СанПиН 2.3/2.4.4282-26 (пост. ГГСВ РФ от 02.06.2026 № 18, рег. Минюст 02.06.2026 № 86854), п. 56 подп. 11, п. 62, раздел VI — вступает в силу с 01.09.2026, действует до 01.09.2032</w:t>
            </w:r>
          </w:p>
        </w:tc>
        <w:tc>
          <w:tcPr/>
          <w:p>
            <w:pPr>
              <w:pStyle w:val="Compact"/>
            </w:pPr>
            <w:r>
              <w:t xml:space="preserve">publication.pravo.gov.ru, consultant.ru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S004</w:t>
            </w:r>
          </w:p>
        </w:tc>
        <w:tc>
          <w:tcPr/>
          <w:p>
            <w:pPr>
              <w:pStyle w:val="Compact"/>
            </w:pPr>
            <w:r>
              <w:t xml:space="preserve">«Если быть точным»: «Как устроены ПНИ в России» (09.04.2026). 466 ПНИ (с 536 в 2022, –13 %); 139 000 жителей в ПНИ, 174 000 в стационарных учреждениях для лиц с ментальными нарушениями (Минтруд); 74 % недееспособных (99 % из них под опекой самого учреждения — 117 000 чел.); 65 % старше 45 лет; 56 % мужчины; 64 % II группа, 31 % I группа; 11 % постельных; средний ПНИ — 289 мест</w:t>
            </w:r>
          </w:p>
        </w:tc>
        <w:tc>
          <w:tcPr/>
          <w:p>
            <w:pPr>
              <w:pStyle w:val="Compact"/>
            </w:pPr>
            <w:r>
              <w:t xml:space="preserve">tochno.st, vedemosti.ru, forbes.ru, asi.org.ru, meduza.io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Дубль M-ebt убран.</w:t>
            </w:r>
            <w:r>
              <w:t xml:space="preserve"> </w:t>
            </w:r>
            <w:r>
              <w:t xml:space="preserve">Добавлена уникальная находка «99 % под опекой самого учреждения»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S005</w:t>
            </w:r>
          </w:p>
        </w:tc>
        <w:tc>
          <w:tcPr/>
          <w:p>
            <w:pPr>
              <w:pStyle w:val="Compact"/>
            </w:pPr>
            <w:r>
              <w:t xml:space="preserve">Ведомости: «Психоневрологических интернатов за три года стало на 13 % меньше» (10.04.2026)</w:t>
            </w:r>
          </w:p>
        </w:tc>
        <w:tc>
          <w:tcPr/>
          <w:p>
            <w:pPr>
              <w:pStyle w:val="Compact"/>
            </w:pPr>
            <w:r>
              <w:t xml:space="preserve">Ведомости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S006</w:t>
            </w:r>
          </w:p>
        </w:tc>
        <w:tc>
          <w:tcPr/>
          <w:p>
            <w:pPr>
              <w:pStyle w:val="Compact"/>
            </w:pPr>
            <w:r>
              <w:t xml:space="preserve">Приказ Минфина России от 30.03.2015 № 52н: статус на 2026 г. (устарел по форме меню-требования 0504202)</w:t>
            </w:r>
          </w:p>
        </w:tc>
        <w:tc>
          <w:tcPr/>
          <w:p>
            <w:pPr>
              <w:pStyle w:val="Compact"/>
            </w:pPr>
            <w:r>
              <w:t xml:space="preserve">Минфин, garant.ru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 с оговоркой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S007</w:t>
            </w:r>
          </w:p>
        </w:tc>
        <w:tc>
          <w:tcPr/>
          <w:p>
            <w:pPr>
              <w:pStyle w:val="Compact"/>
            </w:pPr>
            <w:r>
              <w:t xml:space="preserve">Страница семинара на сайте Минтруда: mintrud.gov.ru/events/1481</w:t>
            </w:r>
          </w:p>
        </w:tc>
        <w:tc>
          <w:tcPr/>
          <w:p>
            <w:pPr>
              <w:pStyle w:val="Compact"/>
            </w:pPr>
            <w:r>
              <w:t xml:space="preserve">Минтруд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S008</w:t>
            </w:r>
          </w:p>
        </w:tc>
        <w:tc>
          <w:tcPr/>
          <w:p>
            <w:pPr>
              <w:pStyle w:val="Compact"/>
            </w:pPr>
            <w:r>
              <w:t xml:space="preserve">Постановление Правительства Красноярского края от 17.12.2014 № 607-п (нормы питания), актуальная ред.</w:t>
            </w:r>
          </w:p>
        </w:tc>
        <w:tc>
          <w:tcPr/>
          <w:p>
            <w:pPr>
              <w:pStyle w:val="Compact"/>
            </w:pPr>
            <w:r>
              <w:t xml:space="preserve">Правительство Красноярского края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S009</w:t>
            </w:r>
          </w:p>
        </w:tc>
        <w:tc>
          <w:tcPr/>
          <w:p>
            <w:pPr>
              <w:pStyle w:val="Compact"/>
            </w:pPr>
            <w:r>
              <w:t xml:space="preserve">Ст. 31 442-ФЗ + ПП РФ № 1075 (расчёт среднедушевого дохода)</w:t>
            </w:r>
          </w:p>
        </w:tc>
        <w:tc>
          <w:tcPr/>
          <w:p>
            <w:pPr>
              <w:pStyle w:val="Compact"/>
            </w:pPr>
            <w:r>
              <w:t xml:space="preserve">Правительство РФ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S010</w:t>
            </w:r>
          </w:p>
        </w:tc>
        <w:tc>
          <w:tcPr/>
          <w:p>
            <w:pPr>
              <w:pStyle w:val="Compact"/>
            </w:pPr>
            <w:r>
              <w:t xml:space="preserve">Письмо Минтруда о семинаре + список участников (приложения пользователя)</w:t>
            </w:r>
          </w:p>
        </w:tc>
        <w:tc>
          <w:tcPr/>
          <w:p>
            <w:pPr>
              <w:pStyle w:val="Compact"/>
            </w:pPr>
            <w:r>
              <w:t xml:space="preserve">Минтруд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S011</w:t>
            </w:r>
          </w:p>
        </w:tc>
        <w:tc>
          <w:tcPr/>
          <w:p>
            <w:pPr>
              <w:pStyle w:val="Compact"/>
            </w:pPr>
            <w:r>
              <w:t xml:space="preserve">Закон РФ от 02.07.1992 № 3185-1 «О психиатрической помощи...», ред. от 22.07.2024; ст. 5 ч. 2 (право на «уважительное и гуманное отношение, исключающее унижение человеческого достоинства»), ст. 37 (права пациентов), ст. 43 (права лиц, проживающих в стационарных организациях для лиц, страдающих психическими расстройствами)</w:t>
            </w:r>
          </w:p>
        </w:tc>
        <w:tc>
          <w:tcPr/>
          <w:p>
            <w:pPr>
              <w:pStyle w:val="Compact"/>
            </w:pPr>
            <w:r>
              <w:t xml:space="preserve">ВС РФ, consultant.ru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S012</w:t>
            </w:r>
          </w:p>
        </w:tc>
        <w:tc>
          <w:tcPr/>
          <w:p>
            <w:pPr>
              <w:pStyle w:val="Compact"/>
            </w:pPr>
            <w:r>
              <w:t xml:space="preserve">Прокуратура: проверки питания в соцучреждениях, дела по ст. 6.6 КоАП (Кашин СРЦ 2022; Зеленогорск 2021; представление 19.03.2024 soc13.ru)</w:t>
            </w:r>
          </w:p>
        </w:tc>
        <w:tc>
          <w:tcPr/>
          <w:p>
            <w:pPr>
              <w:pStyle w:val="Compact"/>
            </w:pPr>
            <w:r>
              <w:t xml:space="preserve">прокуратуры районов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S013</w:t>
            </w:r>
          </w:p>
        </w:tc>
        <w:tc>
          <w:tcPr/>
          <w:p>
            <w:pPr>
              <w:pStyle w:val="Compact"/>
            </w:pPr>
            <w:r>
              <w:t xml:space="preserve">ФАС: картель на торгах поставки соц. значимых продуктов, 543 торга, 4,7 млрд руб. (25.07.2024, РГ)</w:t>
            </w:r>
          </w:p>
        </w:tc>
        <w:tc>
          <w:tcPr/>
          <w:p>
            <w:pPr>
              <w:pStyle w:val="Compact"/>
            </w:pPr>
            <w:r>
              <w:t xml:space="preserve">ФАС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S014</w:t>
            </w:r>
          </w:p>
        </w:tc>
        <w:tc>
          <w:tcPr/>
          <w:p>
            <w:pPr>
              <w:pStyle w:val="Compact"/>
            </w:pPr>
            <w:r>
              <w:t xml:space="preserve">ФАС/ФСБ: картель на школьном питании Челябинск, 27 тендеров 2022–2024, штраф 5,1 млн (01.08.2025)</w:t>
            </w:r>
          </w:p>
        </w:tc>
        <w:tc>
          <w:tcPr/>
          <w:p>
            <w:pPr>
              <w:pStyle w:val="Compact"/>
            </w:pPr>
            <w:r>
              <w:t xml:space="preserve">УФАС Челябинской обл.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S015</w:t>
            </w:r>
          </w:p>
        </w:tc>
        <w:tc>
          <w:tcPr/>
          <w:p>
            <w:pPr>
              <w:pStyle w:val="Compact"/>
            </w:pPr>
            <w:r>
              <w:t xml:space="preserve">ГАУССО НСО «Болотнинский ПНИ»: «Вариативное питание» (16.08.2024)</w:t>
            </w:r>
          </w:p>
        </w:tc>
        <w:tc>
          <w:tcPr/>
          <w:p>
            <w:pPr>
              <w:pStyle w:val="Compact"/>
            </w:pPr>
            <w:r>
              <w:t xml:space="preserve">bpni.nso.ru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S016</w:t>
            </w:r>
          </w:p>
        </w:tc>
        <w:tc>
          <w:tcPr/>
          <w:p>
            <w:pPr>
              <w:pStyle w:val="Compact"/>
            </w:pPr>
            <w:r>
              <w:t xml:space="preserve">ГАУССО НСО «Успенский ПНИ»: вариативное меню во всех отделениях (13.08.2024) — модель М2</w:t>
            </w:r>
          </w:p>
        </w:tc>
        <w:tc>
          <w:tcPr/>
          <w:p>
            <w:pPr>
              <w:pStyle w:val="Compact"/>
            </w:pPr>
            <w:r>
              <w:t xml:space="preserve">upni.nso.ru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S017</w:t>
            </w:r>
          </w:p>
        </w:tc>
        <w:tc>
          <w:tcPr/>
          <w:p>
            <w:pPr>
              <w:pStyle w:val="Compact"/>
            </w:pPr>
            <w:r>
              <w:t xml:space="preserve">ОГБУСО «Усть-Илимский дом социального обслуживания»: «Что за зверь такой? Вариативное питание» (27.09.2024)</w:t>
            </w:r>
          </w:p>
        </w:tc>
        <w:tc>
          <w:tcPr/>
          <w:p>
            <w:pPr>
              <w:pStyle w:val="Compact"/>
            </w:pPr>
            <w:r>
              <w:t xml:space="preserve">ui-ogbuso.ru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S018</w:t>
            </w:r>
          </w:p>
        </w:tc>
        <w:tc>
          <w:tcPr/>
          <w:p>
            <w:pPr>
              <w:pStyle w:val="Compact"/>
            </w:pPr>
            <w:r>
              <w:t xml:space="preserve">Иркутская область: вариативное питание в стационарных учреждениях — выбор из двух первых, вторых и гарниров (14.02.2025)</w:t>
            </w:r>
          </w:p>
        </w:tc>
        <w:tc>
          <w:tcPr/>
          <w:p>
            <w:pPr>
              <w:pStyle w:val="Compact"/>
            </w:pPr>
            <w:r>
              <w:t xml:space="preserve">минсоцразвития ИО (пересказ bezformata)</w:t>
            </w:r>
          </w:p>
        </w:tc>
        <w:tc>
          <w:tcPr/>
          <w:p>
            <w:pPr>
              <w:pStyle w:val="Compact"/>
            </w:pPr>
            <w:r>
              <w:t xml:space="preserve">Подтверждено; первичный документ минсоцразвития ИО не найден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S019</w:t>
            </w:r>
          </w:p>
        </w:tc>
        <w:tc>
          <w:tcPr/>
          <w:p>
            <w:pPr>
              <w:pStyle w:val="Compact"/>
            </w:pPr>
            <w:r>
              <w:t xml:space="preserve">ДДСОЛ (Московская обл.): 14-дневное вариативное меню, совет по питанию, замены по желанию жителей с врачом</w:t>
            </w:r>
          </w:p>
        </w:tc>
        <w:tc>
          <w:tcPr/>
          <w:p>
            <w:pPr>
              <w:pStyle w:val="Compact"/>
            </w:pPr>
            <w:r>
              <w:t xml:space="preserve">ddsol.ru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S020</w:t>
            </w:r>
          </w:p>
        </w:tc>
        <w:tc>
          <w:tcPr/>
          <w:p>
            <w:pPr>
              <w:pStyle w:val="Compact"/>
            </w:pPr>
            <w:r>
              <w:t xml:space="preserve">Постановление Правительства Москвы № 1068-ПП (нормы питания в стационарных организациях)</w:t>
            </w:r>
          </w:p>
        </w:tc>
        <w:tc>
          <w:tcPr/>
          <w:p>
            <w:pPr>
              <w:pStyle w:val="Compact"/>
            </w:pPr>
            <w:r>
              <w:t xml:space="preserve">Правительство Москвы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S021</w:t>
            </w:r>
          </w:p>
        </w:tc>
        <w:tc>
          <w:tcPr/>
          <w:p>
            <w:pPr>
              <w:pStyle w:val="Compact"/>
            </w:pPr>
            <w:r>
              <w:t xml:space="preserve">Постановления регионов: Алтайский край (Решение № 84 от 27.06.2025, 422 руб./чел./день), Псковская обл. № 206, Красноярский край № 607-п, Ленинградская обл. № 458, ХМАО № 306-п</w:t>
            </w:r>
          </w:p>
        </w:tc>
        <w:tc>
          <w:tcPr/>
          <w:p>
            <w:pPr>
              <w:pStyle w:val="Compact"/>
            </w:pPr>
            <w:r>
              <w:t xml:space="preserve">Органы субъектов, base.garant.ru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S022</w:t>
            </w:r>
          </w:p>
        </w:tc>
        <w:tc>
          <w:tcPr/>
          <w:p>
            <w:pPr>
              <w:pStyle w:val="Compact"/>
            </w:pPr>
            <w:r>
              <w:t xml:space="preserve">Постановление ВС РФ от 21.02.2019 № 11-АД19-4 (переквалификация 6.6→6.7 КоАП)</w:t>
            </w:r>
          </w:p>
        </w:tc>
        <w:tc>
          <w:tcPr/>
          <w:p>
            <w:pPr>
              <w:pStyle w:val="Compact"/>
            </w:pPr>
            <w:r>
              <w:t xml:space="preserve">ВС РФ, garant.ru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S023</w:t>
            </w:r>
          </w:p>
        </w:tc>
        <w:tc>
          <w:tcPr/>
          <w:p>
            <w:pPr>
              <w:pStyle w:val="Compact"/>
            </w:pPr>
            <w:r>
              <w:t xml:space="preserve">ФЗ от 05.04.2013 № 44-ФЗ «О контрактной системе в сфере закупок товаров, работ, услуг для обеспечения государственных и муниципальных нужд»</w:t>
            </w:r>
          </w:p>
        </w:tc>
        <w:tc>
          <w:tcPr/>
          <w:p>
            <w:pPr>
              <w:pStyle w:val="Compact"/>
            </w:pPr>
            <w:r>
              <w:t xml:space="preserve">Госдума, consultant.ru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S024</w:t>
            </w:r>
          </w:p>
        </w:tc>
        <w:tc>
          <w:tcPr/>
          <w:p>
            <w:pPr>
              <w:pStyle w:val="Compact"/>
            </w:pPr>
            <w:r>
              <w:t xml:space="preserve">Лозовская С.О. «Правосубъектность лиц, признанных недееспособными и ограниченно дееспособными вследствие психического расстройства». Вестник Университета имени О.Е. Кутафина (МГЮА), 2023, № 5, с. 139–146</w:t>
            </w:r>
          </w:p>
        </w:tc>
        <w:tc>
          <w:tcPr/>
          <w:p>
            <w:pPr>
              <w:pStyle w:val="Compact"/>
            </w:pPr>
            <w:r>
              <w:t xml:space="preserve">vestnik.msal.ru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S025</w:t>
            </w:r>
          </w:p>
        </w:tc>
        <w:tc>
          <w:tcPr/>
          <w:p>
            <w:pPr>
              <w:pStyle w:val="Compact"/>
            </w:pPr>
            <w:r>
              <w:t xml:space="preserve">«Кейтеринг в организациях социального обслуживания» (отраслевое издание, 2022)</w:t>
            </w:r>
          </w:p>
        </w:tc>
        <w:tc>
          <w:tcPr/>
          <w:p>
            <w:pPr>
              <w:pStyle w:val="Compact"/>
            </w:pPr>
            <w:r>
              <w:t xml:space="preserve">profiz.ru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S027</w:t>
            </w:r>
          </w:p>
        </w:tc>
        <w:tc>
          <w:tcPr/>
          <w:p>
            <w:pPr>
              <w:pStyle w:val="Compact"/>
            </w:pPr>
            <w:r>
              <w:t xml:space="preserve">СП 2.4.3648-20 «Санитарно-эпидемиологические требования к организациям воспитания и обучения, отдыха и оздоровления детей и молодежи»</w:t>
            </w:r>
          </w:p>
        </w:tc>
        <w:tc>
          <w:tcPr/>
          <w:p>
            <w:pPr>
              <w:pStyle w:val="Compact"/>
            </w:pPr>
            <w:r>
              <w:t xml:space="preserve">Роспотребнадзор, consultant.ru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S028</w:t>
            </w:r>
          </w:p>
        </w:tc>
        <w:tc>
          <w:tcPr/>
          <w:p>
            <w:pPr>
              <w:pStyle w:val="Compact"/>
            </w:pPr>
            <w:r>
              <w:t xml:space="preserve">Письмо Минтруда от 21.04.2020 № 26-4/10/В-3076: методические рекомендации по организации работы стационарных организаций в условиях COVID-19</w:t>
            </w:r>
          </w:p>
        </w:tc>
        <w:tc>
          <w:tcPr/>
          <w:p>
            <w:pPr>
              <w:pStyle w:val="Compact"/>
            </w:pPr>
            <w:r>
              <w:t xml:space="preserve">Минтруд, normativ.kontur.ru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S029</w:t>
            </w:r>
          </w:p>
        </w:tc>
        <w:tc>
          <w:tcPr/>
          <w:p>
            <w:pPr>
              <w:pStyle w:val="Compact"/>
            </w:pPr>
            <w:r>
              <w:t xml:space="preserve">Методические рекомендации по организации питания (пост. Минтруда от 15.02.2002 № 12, ред. от 04.06.2007 № 397)</w:t>
            </w:r>
          </w:p>
        </w:tc>
        <w:tc>
          <w:tcPr/>
          <w:p>
            <w:pPr>
              <w:pStyle w:val="Compact"/>
            </w:pPr>
            <w:r>
              <w:t xml:space="preserve">Минтруд, docs.cntd.ru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S030</w:t>
            </w:r>
          </w:p>
        </w:tc>
        <w:tc>
          <w:tcPr/>
          <w:p>
            <w:pPr>
              <w:pStyle w:val="Compact"/>
            </w:pPr>
            <w:r>
              <w:t xml:space="preserve">Комитет по социальной политике Санкт-Петербурга: «Работа по развитию психоневрологических интернатов продолжается» (22.07.2025) — первые результаты вариативного меню в ДСО «Серафимовский»</w:t>
            </w:r>
          </w:p>
        </w:tc>
        <w:tc>
          <w:tcPr/>
          <w:p>
            <w:pPr>
              <w:pStyle w:val="Compact"/>
            </w:pPr>
            <w:r>
              <w:t xml:space="preserve">gov.spb.ru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S031</w:t>
            </w:r>
          </w:p>
        </w:tc>
        <w:tc>
          <w:tcPr/>
          <w:p>
            <w:pPr>
              <w:pStyle w:val="Compact"/>
            </w:pPr>
            <w:r>
              <w:t xml:space="preserve">Письмо Комитета по соцполитике СПб руководителям госучреждений об усилении контроля за поставщиками питания (ст. 34, 94, 95 44-ФЗ; председатель Е.Н. Фидрикова, 19.08.2026)</w:t>
            </w:r>
          </w:p>
        </w:tc>
        <w:tc>
          <w:tcPr/>
          <w:p>
            <w:pPr>
              <w:pStyle w:val="Compact"/>
            </w:pPr>
            <w:r>
              <w:t xml:space="preserve">Комитет по соцполитике СПб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S032</w:t>
            </w:r>
          </w:p>
        </w:tc>
        <w:tc>
          <w:tcPr/>
          <w:p>
            <w:pPr>
              <w:pStyle w:val="Compact"/>
            </w:pPr>
            <w:r>
              <w:t xml:space="preserve">Приказ Минздрава от 05.08.2003 № 330н «О мерах по совершенствованию лечебного питания», ред. от 19.02.2024 № 70н —</w:t>
            </w:r>
            <w:r>
              <w:t xml:space="preserve"> </w:t>
            </w:r>
            <w:r>
              <w:rPr>
                <w:b/>
                <w:bCs/>
              </w:rPr>
              <w:t xml:space="preserve">адресован медицинским организациям, не СОСО</w:t>
            </w:r>
          </w:p>
        </w:tc>
        <w:tc>
          <w:tcPr/>
          <w:p>
            <w:pPr>
              <w:pStyle w:val="Compact"/>
            </w:pPr>
            <w:r>
              <w:t xml:space="preserve">Минздрав, consultant.ru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 с оговоркой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S033</w:t>
            </w:r>
          </w:p>
        </w:tc>
        <w:tc>
          <w:tcPr/>
          <w:p>
            <w:pPr>
              <w:pStyle w:val="Compact"/>
            </w:pPr>
            <w:r>
              <w:t xml:space="preserve">Приказ Минздрава от 21.06.2013 № 395н «Об утверждении норм лечебного питания», ред. от 19.02.2024 № 70н —</w:t>
            </w:r>
            <w:r>
              <w:t xml:space="preserve"> </w:t>
            </w:r>
            <w:r>
              <w:rPr>
                <w:b/>
                <w:bCs/>
              </w:rPr>
              <w:t xml:space="preserve">адресован медицинским организациям, не СОСО</w:t>
            </w:r>
          </w:p>
        </w:tc>
        <w:tc>
          <w:tcPr/>
          <w:p>
            <w:pPr>
              <w:pStyle w:val="Compact"/>
            </w:pPr>
            <w:r>
              <w:t xml:space="preserve">Минздрав, consultant.ru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 с оговоркой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S034</w:t>
            </w:r>
          </w:p>
        </w:tc>
        <w:tc>
          <w:tcPr/>
          <w:p>
            <w:pPr>
              <w:pStyle w:val="Compact"/>
            </w:pPr>
            <w:r>
              <w:t xml:space="preserve">Извещение № 0372200070825000244: открытый конкурс «Поставка продуктов питания» СПб ГБСУСОН «ДСО „Тесовый берег"» (ИНН 7827661874), обеспечение по ст. 45 44-ФЗ, опубл. 24.11.2025, площадка АГЗ РТ</w:t>
            </w:r>
          </w:p>
        </w:tc>
        <w:tc>
          <w:tcPr/>
          <w:p>
            <w:pPr>
              <w:pStyle w:val="Compact"/>
            </w:pPr>
            <w:r>
              <w:t xml:space="preserve">tenderguru.ru, tenmon.ru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Локальный</w:t>
            </w:r>
            <w:r>
              <w:t xml:space="preserve"> </w:t>
            </w:r>
            <w:r>
              <w:t xml:space="preserve">приказ директора СПб ГАСУСОН «ДСО „Серафимовский"» от 10.03.2026 № 124 «Об утверждении правил внутреннего распорядка жителей» (в правилах закреплено заказное питание — вариативное меню, в т. ч. для маломобильных; PDF опубликован на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www.pni9.ru</w:t>
              </w:r>
            </w:hyperlink>
            <w:r>
              <w:t xml:space="preserve">, сайт прекратил работу 21.08.2026, домен истёк, проверено 21.08.2026; текст правил в архивной копии: web.archive.org/web/20260415001233)</w:t>
            </w:r>
          </w:p>
        </w:tc>
        <w:tc>
          <w:tcPr/>
          <w:p>
            <w:pPr>
              <w:pStyle w:val="Compact"/>
            </w:pPr>
            <w:r>
              <w:t xml:space="preserve">web.archive.org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«Локальный» во всех случаях упоминания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Новые S-позиции после фактчекинга: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Где проверено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S036</w:t>
            </w:r>
          </w:p>
        </w:tc>
        <w:tc>
          <w:tcPr/>
          <w:p>
            <w:pPr>
              <w:pStyle w:val="Compact"/>
            </w:pPr>
            <w:r>
              <w:t xml:space="preserve">ФЗ от 25.12.2023 № 651-ФЗ (вступ. в силу 01.03.2025) — изменения в 442-ФЗ</w:t>
            </w:r>
          </w:p>
        </w:tc>
        <w:tc>
          <w:tcPr/>
          <w:p>
            <w:pPr>
              <w:pStyle w:val="Compact"/>
            </w:pPr>
            <w:r>
              <w:t xml:space="preserve">Госдума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S037</w:t>
            </w:r>
          </w:p>
        </w:tc>
        <w:tc>
          <w:tcPr/>
          <w:p>
            <w:pPr>
              <w:pStyle w:val="Compact"/>
            </w:pPr>
            <w:r>
              <w:t xml:space="preserve">ФЗ от 22.07.2024 № 195-ФЗ — изменения в 3185-1 (ст. 27 ч. 1, ст. 30 ч. 4 и 5)</w:t>
            </w:r>
          </w:p>
        </w:tc>
        <w:tc>
          <w:tcPr/>
          <w:p>
            <w:pPr>
              <w:pStyle w:val="Compact"/>
            </w:pPr>
            <w:r>
              <w:t xml:space="preserve">Госдума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S038</w:t>
            </w:r>
          </w:p>
        </w:tc>
        <w:tc>
          <w:tcPr/>
          <w:p>
            <w:pPr>
              <w:pStyle w:val="Compact"/>
            </w:pPr>
            <w:r>
              <w:t xml:space="preserve">ГК РФ ст. 29 (опека и попечительство), ст. 41 (конфликт интересов опекуна)</w:t>
            </w:r>
          </w:p>
        </w:tc>
        <w:tc>
          <w:tcPr/>
          <w:p>
            <w:pPr>
              <w:pStyle w:val="Compact"/>
            </w:pPr>
            <w:r>
              <w:t xml:space="preserve">Госдума, consultant.ru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S039</w:t>
            </w:r>
          </w:p>
        </w:tc>
        <w:tc>
          <w:tcPr/>
          <w:p>
            <w:pPr>
              <w:pStyle w:val="Compact"/>
            </w:pPr>
            <w:r>
              <w:t xml:space="preserve">48-ФЗ от 24.04.2008 «Об опеке и попечительстве», ст. 23 (исполнение опекунами и попечителями своих обязанностей)</w:t>
            </w:r>
          </w:p>
        </w:tc>
        <w:tc>
          <w:tcPr/>
          <w:p>
            <w:pPr>
              <w:pStyle w:val="Compact"/>
            </w:pPr>
            <w:r>
              <w:t xml:space="preserve">Госдума, consultant.ru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S040</w:t>
            </w:r>
          </w:p>
        </w:tc>
        <w:tc>
          <w:tcPr/>
          <w:p>
            <w:pPr>
              <w:pStyle w:val="Compact"/>
            </w:pPr>
            <w:r>
              <w:t xml:space="preserve">КПИ (Конвенция о правах инвалидов), ст. 12 (равенство перед законом), Замечание общего порядка № 1 (2014); ФЗ от 03.05.2012 № 46-ФЗ (ратификация с заявлением)</w:t>
            </w:r>
          </w:p>
        </w:tc>
        <w:tc>
          <w:tcPr/>
          <w:p>
            <w:pPr>
              <w:pStyle w:val="Compact"/>
            </w:pPr>
            <w:r>
              <w:t xml:space="preserve">ООН, Госдума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7c89bab575edccecb4e474eab3dbe10a0ab3bb7"/>
    <w:p>
      <w:pPr>
        <w:pStyle w:val="Heading2"/>
      </w:pPr>
      <w:r>
        <w:t xml:space="preserve">2. Клинические источники (M)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Где проверено</w:t>
            </w:r>
          </w:p>
        </w:tc>
        <w:tc>
          <w:tcPr/>
          <w:p>
            <w:pPr>
              <w:pStyle w:val="Compact"/>
            </w:pPr>
            <w:r>
              <w:t xml:space="preserve">Изменения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M-cloz_hagg</w:t>
            </w:r>
          </w:p>
        </w:tc>
        <w:tc>
          <w:tcPr/>
          <w:p>
            <w:pPr>
              <w:pStyle w:val="Compact"/>
            </w:pPr>
            <w:r>
              <w:t xml:space="preserve">Hägg S. et al. Кофеин 400–1000 мг/день: +19 % AUC клозапина, −14 % клиренс; 12 здоровых некурящих мужчин-добровольцев, однократная доза 12,5 мг клозапина</w:t>
            </w:r>
          </w:p>
        </w:tc>
        <w:tc>
          <w:tcPr/>
          <w:p>
            <w:pPr>
              <w:pStyle w:val="Compact"/>
            </w:pPr>
            <w:r>
              <w:t xml:space="preserve">PMC2014893, Br J Clin Pharmacol 2000;49(1):59-63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Добавлены ограничения дизайна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M-cloz_case</w:t>
            </w:r>
          </w:p>
        </w:tc>
        <w:tc>
          <w:tcPr/>
          <w:p>
            <w:pPr>
              <w:pStyle w:val="Compact"/>
            </w:pPr>
            <w:r>
              <w:t xml:space="preserve">Yartsev P. et al. Тяжёлая токсичность клозапина при приёме энергетиков (600 мг кофеина/день; уровень 1796 нг/мл)</w:t>
            </w:r>
          </w:p>
        </w:tc>
        <w:tc>
          <w:tcPr/>
          <w:p>
            <w:pPr>
              <w:pStyle w:val="Compact"/>
            </w:pPr>
            <w:r>
              <w:t xml:space="preserve">PMC8043221, 2021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M-cloz_wd</w:t>
            </w:r>
          </w:p>
        </w:tc>
        <w:tc>
          <w:tcPr/>
          <w:p>
            <w:pPr>
              <w:pStyle w:val="Compact"/>
            </w:pPr>
            <w:r>
              <w:t xml:space="preserve">Отмена кофеина: снижение уровня клозапина на 37–47 % (Carrillo 1998; обзор)</w:t>
            </w:r>
          </w:p>
        </w:tc>
        <w:tc>
          <w:tcPr/>
          <w:p>
            <w:pPr>
              <w:pStyle w:val="Compact"/>
            </w:pPr>
            <w:r>
              <w:t xml:space="preserve">pharmacytimes.com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M-lithium</w:t>
            </w:r>
          </w:p>
        </w:tc>
        <w:tc>
          <w:tcPr/>
          <w:p>
            <w:pPr>
              <w:pStyle w:val="Compact"/>
            </w:pPr>
            <w:r>
              <w:t xml:space="preserve">Литий и диета: почки обрабатывают литий и натрий сходно; дефицит натрия/обезвоживание → рост уровня лития</w:t>
            </w:r>
          </w:p>
        </w:tc>
        <w:tc>
          <w:tcPr/>
          <w:p>
            <w:pPr>
              <w:pStyle w:val="Compact"/>
            </w:pPr>
            <w:r>
              <w:t xml:space="preserve">Cleveland Clinic, my.clevelandclinic.org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M-lithium_sp</w:t>
            </w:r>
          </w:p>
        </w:tc>
        <w:tc>
          <w:tcPr/>
          <w:p>
            <w:pPr>
              <w:pStyle w:val="Compact"/>
            </w:pPr>
            <w:r>
              <w:t xml:space="preserve">StatPearls. Lithium Toxicity: риски — дегидратация, диуретики, лихорадка, потери ЖКТ</w:t>
            </w:r>
          </w:p>
        </w:tc>
        <w:tc>
          <w:tcPr/>
          <w:p>
            <w:pPr>
              <w:pStyle w:val="Compact"/>
            </w:pPr>
            <w:r>
              <w:t xml:space="preserve">StatPearls, ncbi.nlm.nih.gov/books/NBK499992/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M-carb_gf</w:t>
            </w:r>
          </w:p>
        </w:tc>
        <w:tc>
          <w:tcPr/>
          <w:p>
            <w:pPr>
              <w:pStyle w:val="Compact"/>
            </w:pPr>
            <w:r>
              <w:t xml:space="preserve">Garg S.K. et al. Грейпфрутовый сок: пик CBZ 6,55→9,20 мкг/мл (+40 %), AUC 43,99→61,95 мкг·ч/мл (+41 %); 10 пациентов с эпилепсией, CBZ 200 мг × 3/день</w:t>
            </w:r>
          </w:p>
        </w:tc>
        <w:tc>
          <w:tcPr/>
          <w:p>
            <w:pPr>
              <w:pStyle w:val="Compact"/>
            </w:pPr>
            <w:r>
              <w:t xml:space="preserve">PMID 9757152, Clin Pharmacol Ther 1998;64(3):286-8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M-maoi_nhs</w:t>
            </w:r>
          </w:p>
        </w:tc>
        <w:tc>
          <w:tcPr/>
          <w:p>
            <w:pPr>
              <w:pStyle w:val="Compact"/>
            </w:pPr>
            <w:r>
              <w:t xml:space="preserve">NHS. MAOI — диетические ограничения (тирамин)</w:t>
            </w:r>
          </w:p>
        </w:tc>
        <w:tc>
          <w:tcPr/>
          <w:p>
            <w:pPr>
              <w:pStyle w:val="Compact"/>
            </w:pPr>
            <w:r>
              <w:t xml:space="preserve">torbayandsouthdevon.nhs.uk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M-maoi_hist</w:t>
            </w:r>
          </w:p>
        </w:tc>
        <w:tc>
          <w:tcPr/>
          <w:p>
            <w:pPr>
              <w:pStyle w:val="Compact"/>
            </w:pPr>
            <w:r>
              <w:t xml:space="preserve">«Сырная реакция» на ИМАО: история открытия (Blackwell; АД 160/90→220/115)</w:t>
            </w:r>
          </w:p>
        </w:tc>
        <w:tc>
          <w:tcPr/>
          <w:p>
            <w:pPr>
              <w:pStyle w:val="Compact"/>
            </w:pPr>
            <w:r>
              <w:t xml:space="preserve">PMC2738414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M-maoi_guide</w:t>
            </w:r>
          </w:p>
        </w:tc>
        <w:tc>
          <w:tcPr/>
          <w:p>
            <w:pPr>
              <w:pStyle w:val="Compact"/>
            </w:pPr>
            <w:r>
              <w:t xml:space="preserve">MAOI diet and tyramine: руководство для назначающих (обновление 2022)</w:t>
            </w:r>
          </w:p>
        </w:tc>
        <w:tc>
          <w:tcPr/>
          <w:p>
            <w:pPr>
              <w:pStyle w:val="Compact"/>
            </w:pPr>
            <w:r>
              <w:t xml:space="preserve">PMC9172554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M-pillinger</w:t>
            </w:r>
          </w:p>
        </w:tc>
        <w:tc>
          <w:tcPr/>
          <w:p>
            <w:pPr>
              <w:pStyle w:val="Compact"/>
            </w:pPr>
            <w:r>
              <w:t xml:space="preserve">Pillinger T. et al. Мета-анализ 100 РКИ, 25 952 пациента, медиана 6 нед: −0,23 кг (галоперидол) → +3,01 кг (клозапин). 18 антипсихотиков</w:t>
            </w:r>
          </w:p>
        </w:tc>
        <w:tc>
          <w:tcPr/>
          <w:p>
            <w:pPr>
              <w:pStyle w:val="Compact"/>
            </w:pPr>
            <w:r>
              <w:t xml:space="preserve">PMID 31860457, Lancet Psychiatry 2020;7(1):64-77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Разделено с M-crwg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M-crwg</w:t>
            </w:r>
          </w:p>
        </w:tc>
        <w:tc>
          <w:tcPr/>
          <w:p>
            <w:pPr>
              <w:pStyle w:val="Compact"/>
            </w:pPr>
            <w:r>
              <w:t xml:space="preserve">Campforts B. et al. Мета-анализ 202 исследований: CRWG ≥7 % за 38 нед — клозапин</w:t>
            </w:r>
            <w:r>
              <w:t xml:space="preserve"> </w:t>
            </w:r>
            <w:r>
              <w:rPr>
                <w:b/>
                <w:bCs/>
              </w:rPr>
              <w:t xml:space="preserve">76,3 %</w:t>
            </w:r>
            <w:r>
              <w:t xml:space="preserve">, оланзапин 36,9 %, рисперидон 23,0 %</w:t>
            </w:r>
          </w:p>
        </w:tc>
        <w:tc>
          <w:tcPr/>
          <w:p>
            <w:pPr>
              <w:pStyle w:val="Compact"/>
            </w:pPr>
            <w:r>
              <w:t xml:space="preserve">PMID 36651070, BJPsych Open 2023;9(1):e18, doi 10.1192/bjo.2022.619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Разделено с M-pillinger; атрибуция 76,3 % только здесь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M-fepwg</w:t>
            </w:r>
          </w:p>
        </w:tc>
        <w:tc>
          <w:tcPr/>
          <w:p>
            <w:pPr>
              <w:pStyle w:val="Compact"/>
            </w:pPr>
            <w:r>
              <w:t xml:space="preserve">Мета-анализ при первом эпизоде психоза: долгосрочно оланзапин +9,34 кг, клозапин +7,19 кг</w:t>
            </w:r>
          </w:p>
        </w:tc>
        <w:tc>
          <w:tcPr/>
          <w:p>
            <w:pPr>
              <w:pStyle w:val="Compact"/>
            </w:pPr>
            <w:r>
              <w:t xml:space="preserve">PMC5589463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M-metmon</w:t>
            </w:r>
          </w:p>
        </w:tc>
        <w:tc>
          <w:tcPr/>
          <w:p>
            <w:pPr>
              <w:pStyle w:val="Compact"/>
            </w:pPr>
            <w:r>
              <w:t xml:space="preserve">Мониторинг метаболического риска на антипсихотиках: график (вес/ИМТ исходно, 4/8/12 нед, 6 мес, ежегодно; глюкоза/липиды/АД исходно, 12 нед, ежегодно)</w:t>
            </w:r>
          </w:p>
        </w:tc>
        <w:tc>
          <w:tcPr/>
          <w:p>
            <w:pPr>
              <w:pStyle w:val="Compact"/>
            </w:pPr>
            <w:r>
              <w:t xml:space="preserve">PMC8582768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M-lifestyle</w:t>
            </w:r>
          </w:p>
        </w:tc>
        <w:tc>
          <w:tcPr/>
          <w:p>
            <w:pPr>
              <w:pStyle w:val="Compact"/>
            </w:pPr>
            <w:r>
              <w:t xml:space="preserve">Lifestyle interventions in mental health conditions: систематический обзор 57 исследований; −1,42 кг</w:t>
            </w:r>
          </w:p>
        </w:tc>
        <w:tc>
          <w:tcPr/>
          <w:p>
            <w:pPr>
              <w:pStyle w:val="Compact"/>
            </w:pPr>
            <w:r>
              <w:t xml:space="preserve">PMC9462072, 2022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M-teasdale</w:t>
            </w:r>
          </w:p>
        </w:tc>
        <w:tc>
          <w:tcPr/>
          <w:p>
            <w:pPr>
              <w:pStyle w:val="Compact"/>
            </w:pPr>
            <w:r>
              <w:t xml:space="preserve">Teasdale S. et al. Nutrition/dietary interventions for SMI (MJA, 2023)</w:t>
            </w:r>
          </w:p>
        </w:tc>
        <w:tc>
          <w:tcPr/>
          <w:p>
            <w:pPr>
              <w:pStyle w:val="Compact"/>
            </w:pPr>
            <w:r>
              <w:t xml:space="preserve">PMC9828433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M-resolve</w:t>
            </w:r>
          </w:p>
        </w:tc>
        <w:tc>
          <w:tcPr/>
          <w:p>
            <w:pPr>
              <w:pStyle w:val="Compact"/>
            </w:pPr>
            <w:r>
              <w:t xml:space="preserve">RESOLVE: реалистский синтез антипсихотической прибавки веса (2025)</w:t>
            </w:r>
          </w:p>
        </w:tc>
        <w:tc>
          <w:tcPr/>
          <w:p>
            <w:pPr>
              <w:pStyle w:val="Compact"/>
            </w:pPr>
            <w:r>
              <w:t xml:space="preserve">PMC12531729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M-dysph_prev</w:t>
            </w:r>
          </w:p>
        </w:tc>
        <w:tc>
          <w:tcPr/>
          <w:p>
            <w:pPr>
              <w:pStyle w:val="Compact"/>
            </w:pPr>
            <w:r>
              <w:t xml:space="preserve">Miarons Font M, Rofes Salsench L. Антипсихотики и орофарингеальная дисфагия: систематический обзор 18 исследований.</w:t>
            </w:r>
            <w:r>
              <w:t xml:space="preserve"> </w:t>
            </w:r>
            <w:r>
              <w:rPr>
                <w:b/>
                <w:bCs/>
              </w:rPr>
              <w:t xml:space="preserve">21,9–69,5 %</w:t>
            </w:r>
            <w:r>
              <w:t xml:space="preserve"> </w:t>
            </w:r>
            <w:r>
              <w:t xml:space="preserve">в изученных группах</w:t>
            </w:r>
          </w:p>
        </w:tc>
        <w:tc>
          <w:tcPr/>
          <w:p>
            <w:pPr>
              <w:pStyle w:val="Compact"/>
            </w:pPr>
            <w:r>
              <w:t xml:space="preserve">PMID 29023321,</w:t>
            </w:r>
            <w:r>
              <w:t xml:space="preserve"> </w:t>
            </w:r>
            <w:r>
              <w:rPr>
                <w:b/>
                <w:bCs/>
              </w:rPr>
              <w:t xml:space="preserve">Eur J Gastroenterol Hepatol 2017;29(12):1332-9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Год исправлен: 2017, не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M-dysph_rev</w:t>
            </w:r>
          </w:p>
        </w:tc>
        <w:tc>
          <w:tcPr/>
          <w:p>
            <w:pPr>
              <w:pStyle w:val="Compact"/>
            </w:pPr>
            <w:r>
              <w:t xml:space="preserve">Дисфагия при шизофрении: механизмы (паркинсонизм, сухость, гиперсаливация, седация, нарушения еды) — обзор</w:t>
            </w:r>
          </w:p>
        </w:tc>
        <w:tc>
          <w:tcPr/>
          <w:p>
            <w:pPr>
              <w:pStyle w:val="Compact"/>
            </w:pPr>
            <w:r>
              <w:t xml:space="preserve">Frontiers in Psychiatry 2024, PMC11445750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M-dysph_dd</w:t>
            </w:r>
          </w:p>
        </w:tc>
        <w:tc>
          <w:tcPr/>
          <w:p>
            <w:pPr>
              <w:pStyle w:val="Compact"/>
            </w:pPr>
            <w:r>
              <w:t xml:space="preserve">Дисфагия, аспирационная пневмония и кишечная непроходимость на антипсихотиках у лиц с нарушениями развития; предупреждение FDA о запорах на клозапине (2020)</w:t>
            </w:r>
          </w:p>
        </w:tc>
        <w:tc>
          <w:tcPr/>
          <w:p>
            <w:pPr>
              <w:pStyle w:val="Compact"/>
            </w:pPr>
            <w:r>
              <w:t xml:space="preserve">jscimedcentral.com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M-mortality</w:t>
            </w:r>
          </w:p>
        </w:tc>
        <w:tc>
          <w:tcPr/>
          <w:p>
            <w:pPr>
              <w:pStyle w:val="Compact"/>
            </w:pPr>
            <w:r>
              <w:t xml:space="preserve">Correll C. et al. Мета-анализ 135 когорт 1957–2021: смертность при шизофрении на 15–20 лет раньше;</w:t>
            </w:r>
            <w:r>
              <w:t xml:space="preserve"> </w:t>
            </w:r>
            <w:r>
              <w:rPr>
                <w:b/>
                <w:bCs/>
              </w:rPr>
              <w:t xml:space="preserve">пневмония RR 7,00 (95 % ДИ 6,79–7,23; n=3)</w:t>
            </w:r>
            <w:r>
              <w:t xml:space="preserve"> </w:t>
            </w:r>
            <w:r>
              <w:t xml:space="preserve">— высшая из естественных причин; шизофрения N=4 536 447; контроль N=1 115 600 059</w:t>
            </w:r>
          </w:p>
        </w:tc>
        <w:tc>
          <w:tcPr/>
          <w:p>
            <w:pPr>
              <w:pStyle w:val="Compact"/>
            </w:pPr>
            <w:r>
              <w:t xml:space="preserve">World Psychiatry 2022;21(2):248-271, doi 10.1002/wps.20994, PMC9077617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M-mortality2</w:t>
            </w:r>
          </w:p>
        </w:tc>
        <w:tc>
          <w:tcPr/>
          <w:p>
            <w:pPr>
              <w:pStyle w:val="Compact"/>
            </w:pPr>
            <w:r>
              <w:t xml:space="preserve">Шведский регистр: ССЗ — ведущая причина избыточной смертности при шизофрении (MRR 2,80; смерть от ССЗ на 10 лет моложе)</w:t>
            </w:r>
          </w:p>
        </w:tc>
        <w:tc>
          <w:tcPr/>
          <w:p>
            <w:pPr>
              <w:pStyle w:val="Compact"/>
            </w:pPr>
            <w:r>
              <w:t xml:space="preserve">PMC6137375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M-iddsi2017</w:t>
            </w:r>
          </w:p>
        </w:tc>
        <w:tc>
          <w:tcPr/>
          <w:p>
            <w:pPr>
              <w:pStyle w:val="Compact"/>
            </w:pPr>
            <w:r>
              <w:t xml:space="preserve">Cichero J.A.Y. et al. The IDDSI Framework. 8 уровней (0–7); напитки 0–4, пища 3–7; выпущено 11/2015; опубликовано 2017</w:t>
            </w:r>
          </w:p>
        </w:tc>
        <w:tc>
          <w:tcPr/>
          <w:p>
            <w:pPr>
              <w:pStyle w:val="Compact"/>
            </w:pPr>
            <w:r>
              <w:t xml:space="preserve">PMID 27913916, Dysphagia 2017;32(2):293-314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M-iddsi_wu</w:t>
            </w:r>
          </w:p>
        </w:tc>
        <w:tc>
          <w:tcPr/>
          <w:p>
            <w:pPr>
              <w:pStyle w:val="Compact"/>
            </w:pPr>
            <w:r>
              <w:t xml:space="preserve">Wu X.S. et al. IDDSI implementation: 5 учреждений aged care (общий long-term care,</w:t>
            </w:r>
            <w:r>
              <w:t xml:space="preserve"> </w:t>
            </w:r>
            <w:r>
              <w:rPr>
                <w:b/>
                <w:bCs/>
              </w:rPr>
              <w:t xml:space="preserve">не психиатрия</w:t>
            </w:r>
            <w:r>
              <w:t xml:space="preserve">); 44→90 % соответствие текстур, 31→100 % загущённые жидкости; эффект сохранялся 6 мес</w:t>
            </w:r>
          </w:p>
        </w:tc>
        <w:tc>
          <w:tcPr/>
          <w:p>
            <w:pPr>
              <w:pStyle w:val="Compact"/>
            </w:pPr>
            <w:r>
              <w:t xml:space="preserve">Dysphagia 2022;37(5):1314-1325, doi 10.1007/s00455-021-10393-2, PMC8994209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Оговорка: не психиатрия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M-nijs</w:t>
            </w:r>
          </w:p>
        </w:tc>
        <w:tc>
          <w:tcPr/>
          <w:p>
            <w:pPr>
              <w:pStyle w:val="Compact"/>
            </w:pPr>
            <w:r>
              <w:t xml:space="preserve">Nijs K. et al. Family-style mealtimes: cluster RCT (BMJ, 2006)</w:t>
            </w:r>
          </w:p>
        </w:tc>
        <w:tc>
          <w:tcPr/>
          <w:p>
            <w:pPr>
              <w:pStyle w:val="Compact"/>
            </w:pPr>
            <w:r>
              <w:t xml:space="preserve">PMC1463975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M-montessori</w:t>
            </w:r>
          </w:p>
        </w:tc>
        <w:tc>
          <w:tcPr/>
          <w:p>
            <w:pPr>
              <w:pStyle w:val="Compact"/>
            </w:pPr>
            <w:r>
              <w:t xml:space="preserve">Montessori-based interventions for dementia: systematic review (15 исследований)</w:t>
            </w:r>
          </w:p>
        </w:tc>
        <w:tc>
          <w:tcPr/>
          <w:p>
            <w:pPr>
              <w:pStyle w:val="Compact"/>
            </w:pPr>
            <w:r>
              <w:t xml:space="preserve">PMC10336713, 2023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M-pm_rev</w:t>
            </w:r>
          </w:p>
        </w:tc>
        <w:tc>
          <w:tcPr/>
          <w:p>
            <w:pPr>
              <w:pStyle w:val="Compact"/>
            </w:pPr>
            <w:r>
              <w:t xml:space="preserve">Porter J. et al. Protected mealtimes: systematic review &amp; meta-analysis (Int J Nurs Stud, 2017)</w:t>
            </w:r>
          </w:p>
        </w:tc>
        <w:tc>
          <w:tcPr/>
          <w:p>
            <w:pPr>
              <w:pStyle w:val="Compact"/>
            </w:pPr>
            <w:r>
              <w:t xml:space="preserve">PMID 27866011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M-pm_rct</w:t>
            </w:r>
          </w:p>
        </w:tc>
        <w:tc>
          <w:tcPr/>
          <w:p>
            <w:pPr>
              <w:pStyle w:val="Compact"/>
            </w:pPr>
            <w:r>
              <w:t xml:space="preserve">Porter J. et al. Protected Mealtimes: stepped-wedge cluster trial (2019)</w:t>
            </w:r>
          </w:p>
        </w:tc>
        <w:tc>
          <w:tcPr/>
          <w:p>
            <w:pPr>
              <w:pStyle w:val="Compact"/>
            </w:pPr>
            <w:r>
              <w:t xml:space="preserve">PMC5295189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M-sup_hous</w:t>
            </w:r>
          </w:p>
        </w:tc>
        <w:tc>
          <w:tcPr/>
          <w:p>
            <w:pPr>
              <w:pStyle w:val="Compact"/>
            </w:pPr>
            <w:r>
              <w:t xml:space="preserve">Supported housing for people with SMI: systematic review &amp; meta-analysis (2022)</w:t>
            </w:r>
          </w:p>
        </w:tc>
        <w:tc>
          <w:tcPr/>
          <w:p>
            <w:pPr>
              <w:pStyle w:val="Compact"/>
            </w:pPr>
            <w:r>
              <w:t xml:space="preserve">Frontiers in Psychiatry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M-ebt</w:t>
            </w:r>
          </w:p>
        </w:tc>
        <w:tc>
          <w:tcPr/>
          <w:p>
            <w:pPr>
              <w:pStyle w:val="Compact"/>
            </w:pPr>
            <w:r>
              <w:t xml:space="preserve">«Если быть точным»: 466 ПНИ, 139 500 жителей, 74 % недееспособных, 65 % старше 45 лет, 99 % под опекой самого учреждения</w:t>
            </w:r>
          </w:p>
        </w:tc>
        <w:tc>
          <w:tcPr/>
          <w:p>
            <w:pPr>
              <w:pStyle w:val="Compact"/>
            </w:pPr>
            <w:r>
              <w:t xml:space="preserve">tochno.st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Дубль с S004 убран; M-ebt оставлен для ссылок на 99 % опеки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M-ebt2</w:t>
            </w:r>
          </w:p>
        </w:tc>
        <w:tc>
          <w:tcPr/>
          <w:p>
            <w:pPr>
              <w:pStyle w:val="Compact"/>
            </w:pPr>
            <w:r>
              <w:t xml:space="preserve">«Если быть точным»: сопровождаемое проживание — 7 000 чел.; переименование ПНИ в «дома социального обслуживания» в 41 регионе</w:t>
            </w:r>
          </w:p>
        </w:tc>
        <w:tc>
          <w:tcPr/>
          <w:p>
            <w:pPr>
              <w:pStyle w:val="Compact"/>
            </w:pPr>
            <w:r>
              <w:t xml:space="preserve">tochno.st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M-oral_yoneyama</w:t>
            </w:r>
          </w:p>
        </w:tc>
        <w:tc>
          <w:tcPr/>
          <w:p>
            <w:pPr>
              <w:pStyle w:val="Compact"/>
            </w:pPr>
            <w:r>
              <w:t xml:space="preserve">Yoneyama T. et al. Ежедневный уход за полостью рта: пневмонии 19→11 % (РКИ 366 жителей, 24 мес); Cochrane 2022: RR 0,61 (95 % ДИ 0,37–1,01)</w:t>
            </w:r>
          </w:p>
        </w:tc>
        <w:tc>
          <w:tcPr/>
          <w:p>
            <w:pPr>
              <w:pStyle w:val="Compact"/>
            </w:pPr>
            <w:r>
              <w:t xml:space="preserve">PMID 11874491, J Am Geriatr Soc 2002;50:430-3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M-oral_sjogren</w:t>
            </w:r>
          </w:p>
        </w:tc>
        <w:tc>
          <w:tcPr/>
          <w:p>
            <w:pPr>
              <w:pStyle w:val="Compact"/>
            </w:pPr>
            <w:r>
              <w:t xml:space="preserve">Sjogren P. et al. Мета-анализ 4 РКИ: «1/10 смертей от аспирационной пневмонии может быть предотвращена» — frail elders</w:t>
            </w:r>
          </w:p>
        </w:tc>
        <w:tc>
          <w:tcPr/>
          <w:p>
            <w:pPr>
              <w:pStyle w:val="Compact"/>
            </w:pPr>
            <w:r>
              <w:t xml:space="preserve">PMID 18005250, 2008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Добавлен как первоисточник «1/10»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M-oral_muller</w:t>
            </w:r>
          </w:p>
        </w:tc>
        <w:tc>
          <w:tcPr/>
          <w:p>
            <w:pPr>
              <w:pStyle w:val="Compact"/>
            </w:pPr>
            <w:r>
              <w:t xml:space="preserve">Müller F. Обзор 4 РКИ: улучшение гигиены полости рта может предотвращать ~1 из 10 смертей от аспирационной пневмонии у немощных пожилых</w:t>
            </w:r>
          </w:p>
        </w:tc>
        <w:tc>
          <w:tcPr/>
          <w:p>
            <w:pPr>
              <w:pStyle w:val="Compact"/>
            </w:pPr>
            <w:r>
              <w:t xml:space="preserve">Gerodontology 2015, PMC4541086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Атрибуция «1/10» перенесена к M-oral_sjogren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M-oral_porter</w:t>
            </w:r>
          </w:p>
        </w:tc>
        <w:tc>
          <w:tcPr/>
          <w:p>
            <w:pPr>
              <w:pStyle w:val="Compact"/>
            </w:pPr>
            <w:r>
              <w:t xml:space="preserve">Porter J. et al. Более половины проживающих домов ухода сообщают о проблемах полости рта</w:t>
            </w:r>
          </w:p>
        </w:tc>
        <w:tc>
          <w:tcPr/>
          <w:p>
            <w:pPr>
              <w:pStyle w:val="Compact"/>
            </w:pPr>
            <w:r>
              <w:t xml:space="preserve">Int J Dent Hyg 2015, PMC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M-dehydr_steele</w:t>
            </w:r>
          </w:p>
        </w:tc>
        <w:tc>
          <w:tcPr/>
          <w:p>
            <w:pPr>
              <w:pStyle w:val="Compact"/>
            </w:pPr>
            <w:r>
              <w:t xml:space="preserve">Steele S.J. et al. Нагрузка лечения загущёнными жидкостями: нет убедительных данных о снижении осложнений; снижение потребления жидкости</w:t>
            </w:r>
          </w:p>
        </w:tc>
        <w:tc>
          <w:tcPr/>
          <w:p>
            <w:pPr>
              <w:pStyle w:val="Compact"/>
            </w:pPr>
            <w:r>
              <w:t xml:space="preserve">Breathe 2021;17(1):210003, PMID 34295407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M-dehydr_li</w:t>
            </w:r>
          </w:p>
        </w:tc>
        <w:tc>
          <w:tcPr/>
          <w:p>
            <w:pPr>
              <w:pStyle w:val="Compact"/>
            </w:pPr>
            <w:r>
              <w:t xml:space="preserve">Li W.Q. et al. Систематический обзор и мета-анализ загущённых жидкостей при дисфагии (2025)</w:t>
            </w:r>
          </w:p>
        </w:tc>
        <w:tc>
          <w:tcPr/>
          <w:p>
            <w:pPr>
              <w:pStyle w:val="Compact"/>
            </w:pPr>
            <w:r>
              <w:t xml:space="preserve">PMC12516007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M-constip_ep</w:t>
            </w:r>
          </w:p>
        </w:tc>
        <w:tc>
          <w:tcPr/>
          <w:p>
            <w:pPr>
              <w:pStyle w:val="Compact"/>
            </w:pPr>
            <w:r>
              <w:t xml:space="preserve">Every-Palmer S. et al. Клозапин-индуцированная гипомотильность ЖКТ: запоры у 30–60 %, при объективных методах до 80 %; транзитное время 104,5 ч vs 23 ч; CIGH-летальность 15–27,5 %</w:t>
            </w:r>
          </w:p>
        </w:tc>
        <w:tc>
          <w:tcPr/>
          <w:p>
            <w:pPr>
              <w:pStyle w:val="Compact"/>
            </w:pPr>
            <w:r>
              <w:t xml:space="preserve">PMC5533872, 2016/2017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M-constip_nhs</w:t>
            </w:r>
          </w:p>
        </w:tc>
        <w:tc>
          <w:tcPr/>
          <w:p>
            <w:pPr>
              <w:pStyle w:val="Compact"/>
            </w:pPr>
            <w:r>
              <w:t xml:space="preserve">NHS Specialist Pharmacy Service. Ведение запоров на клозапине: мониторинг стула, профилактические слабительные</w:t>
            </w:r>
          </w:p>
        </w:tc>
        <w:tc>
          <w:tcPr/>
          <w:p>
            <w:pPr>
              <w:pStyle w:val="Compact"/>
            </w:pPr>
            <w:r>
              <w:t xml:space="preserve">NHS, Великобритания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M-micro_vitd</w:t>
            </w:r>
          </w:p>
        </w:tc>
        <w:tc>
          <w:tcPr/>
          <w:p>
            <w:pPr>
              <w:pStyle w:val="Compact"/>
            </w:pPr>
            <w:r>
              <w:t xml:space="preserve">LoPinto-Khoury C. et al. Мета-анализ: карбамазепин и снижение 25(OH)D</w:t>
            </w:r>
          </w:p>
        </w:tc>
        <w:tc>
          <w:tcPr/>
          <w:p>
            <w:pPr>
              <w:pStyle w:val="Compact"/>
            </w:pPr>
            <w:r>
              <w:t xml:space="preserve">Epilepsy Research 2021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M-micro_psyc</w:t>
            </w:r>
          </w:p>
        </w:tc>
        <w:tc>
          <w:tcPr/>
          <w:p>
            <w:pPr>
              <w:pStyle w:val="Compact"/>
            </w:pPr>
            <w:r>
              <w:t xml:space="preserve">Cuomo A. et al. Дефицит витамина D в психиатрии: рутинный скрининг</w:t>
            </w:r>
          </w:p>
        </w:tc>
        <w:tc>
          <w:tcPr/>
          <w:p>
            <w:pPr>
              <w:pStyle w:val="Compact"/>
            </w:pPr>
            <w:r>
              <w:t xml:space="preserve">Frontiers in Psychiatry 2019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M-micro_b12</w:t>
            </w:r>
          </w:p>
        </w:tc>
        <w:tc>
          <w:tcPr/>
          <w:p>
            <w:pPr>
              <w:pStyle w:val="Compact"/>
            </w:pPr>
            <w:r>
              <w:t xml:space="preserve">Hanna S. Дефицит B12 и фолата у пожилых: связь с депрессией и когнитивными нарушениями</w:t>
            </w:r>
          </w:p>
        </w:tc>
        <w:tc>
          <w:tcPr/>
          <w:p>
            <w:pPr>
              <w:pStyle w:val="Compact"/>
            </w:pPr>
            <w:r>
              <w:t xml:space="preserve">Primary Care Companion 2009, PMC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M-guss_trapl</w:t>
            </w:r>
          </w:p>
        </w:tc>
        <w:tc>
          <w:tcPr/>
          <w:p>
            <w:pPr>
              <w:pStyle w:val="Compact"/>
            </w:pPr>
            <w:r>
              <w:t xml:space="preserve">Trapl M. et al. GUSS: прикроватный скрининг, валидирован против FEES, чувствительность 100 %, специфичность 50–69 %; 50 пациентов с</w:t>
            </w:r>
            <w:r>
              <w:t xml:space="preserve"> </w:t>
            </w:r>
            <w:r>
              <w:rPr>
                <w:b/>
                <w:bCs/>
              </w:rPr>
              <w:t xml:space="preserve">острым инсультом</w:t>
            </w:r>
          </w:p>
        </w:tc>
        <w:tc>
          <w:tcPr/>
          <w:p>
            <w:pPr>
              <w:pStyle w:val="Compact"/>
            </w:pPr>
            <w:r>
              <w:t xml:space="preserve">PMID 17885261, Stroke 2007;38(11):2948-52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Оговорка: для инсульта, не для психиатрии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M-eat10</w:t>
            </w:r>
          </w:p>
        </w:tc>
        <w:tc>
          <w:tcPr/>
          <w:p>
            <w:pPr>
              <w:pStyle w:val="Compact"/>
            </w:pPr>
            <w:r>
              <w:t xml:space="preserve">Belafsky P.C. et al. EAT-10: 10-пунктный опросник симптомов дисфагии</w:t>
            </w:r>
          </w:p>
        </w:tc>
        <w:tc>
          <w:tcPr/>
          <w:p>
            <w:pPr>
              <w:pStyle w:val="Compact"/>
            </w:pPr>
            <w:r>
              <w:t xml:space="preserve">Ann Otol Rhinol Laryngol 2008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M-comf_oralfeed</w:t>
            </w:r>
          </w:p>
        </w:tc>
        <w:tc>
          <w:tcPr/>
          <w:p>
            <w:pPr>
              <w:pStyle w:val="Compact"/>
            </w:pPr>
            <w:r>
              <w:t xml:space="preserve">Oral feeding options for people with dementia: systematic review</w:t>
            </w:r>
          </w:p>
        </w:tc>
        <w:tc>
          <w:tcPr/>
          <w:p>
            <w:pPr>
              <w:pStyle w:val="Compact"/>
            </w:pPr>
            <w:r>
              <w:t xml:space="preserve">PMID 21391936, 2011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M-comf_jnha</w:t>
            </w:r>
          </w:p>
        </w:tc>
        <w:tc>
          <w:tcPr/>
          <w:p>
            <w:pPr>
              <w:pStyle w:val="Compact"/>
            </w:pPr>
            <w:r>
              <w:t xml:space="preserve">Comfort feeding in hospitalised people with dementia: retrospective study</w:t>
            </w:r>
          </w:p>
        </w:tc>
        <w:tc>
          <w:tcPr/>
          <w:p>
            <w:pPr>
              <w:pStyle w:val="Compact"/>
            </w:pPr>
            <w:r>
              <w:t xml:space="preserve">J Nutr Health Aging 2024, doi 10.1016/j.jnha.2024.100362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M-hydr_esp</w:t>
            </w:r>
          </w:p>
        </w:tc>
        <w:tc>
          <w:tcPr/>
          <w:p>
            <w:pPr>
              <w:pStyle w:val="Compact"/>
            </w:pPr>
            <w:r>
              <w:t xml:space="preserve">Volkert D. et al. ESPEN guideline on clinical nutrition and hydration in geriatrics</w:t>
            </w:r>
          </w:p>
        </w:tc>
        <w:tc>
          <w:tcPr/>
          <w:p>
            <w:pPr>
              <w:pStyle w:val="Compact"/>
            </w:pPr>
            <w:r>
              <w:t xml:space="preserve">Clin Nutr 2019;38(1):10-47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M-hydr_palt</w:t>
            </w:r>
          </w:p>
        </w:tc>
        <w:tc>
          <w:tcPr/>
          <w:p>
            <w:pPr>
              <w:pStyle w:val="Compact"/>
            </w:pPr>
            <w:r>
              <w:t xml:space="preserve">Dehydration and Fluid Maintenance in Long-Term Care — клиническое руководство</w:t>
            </w:r>
          </w:p>
        </w:tc>
        <w:tc>
          <w:tcPr/>
          <w:p>
            <w:pPr>
              <w:pStyle w:val="Compact"/>
            </w:pPr>
            <w:r>
              <w:t xml:space="preserve">PALTmed 2024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M-hydr_low</w:t>
            </w:r>
          </w:p>
        </w:tc>
        <w:tc>
          <w:tcPr/>
          <w:p>
            <w:pPr>
              <w:pStyle w:val="Compact"/>
            </w:pPr>
            <w:r>
              <w:t xml:space="preserve">Narrative Review of Low-Intake Dehydration in Older Adults</w:t>
            </w:r>
          </w:p>
        </w:tc>
        <w:tc>
          <w:tcPr/>
          <w:p>
            <w:pPr>
              <w:pStyle w:val="Compact"/>
            </w:pPr>
            <w:r>
              <w:t xml:space="preserve">PMC8470893, 2021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M-must_bapen</w:t>
            </w:r>
          </w:p>
        </w:tc>
        <w:tc>
          <w:tcPr/>
          <w:p>
            <w:pPr>
              <w:pStyle w:val="Compact"/>
            </w:pPr>
            <w:r>
              <w:t xml:space="preserve">BAPEN. MUST — Malnutrition Universal Screening Tool: 5-шаговый скрининг (ИМТ, потеря &gt;5 % за 3–6 мес, острое заболевание); для домов ухода — ежемесячное взвешивание</w:t>
            </w:r>
          </w:p>
        </w:tc>
        <w:tc>
          <w:tcPr/>
          <w:p>
            <w:pPr>
              <w:pStyle w:val="Compact"/>
            </w:pPr>
            <w:r>
              <w:t xml:space="preserve">BAPEN, Великобритания, 2003/2018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M-cochrane-oralcare</w:t>
            </w:r>
          </w:p>
        </w:tc>
        <w:tc>
          <w:tcPr/>
          <w:p>
            <w:pPr>
              <w:pStyle w:val="Compact"/>
            </w:pPr>
            <w:r>
              <w:t xml:space="preserve">Cochrane Database 2022 (CD012416.pub3). Oral care measures for preventing nursing home-acquired pneumonia. 5 исследований, 5018 участников. «Low-certainty evidence suggests that professional oral care may reduce mortality at 24 months» (RR 0,43; 95 % ДИ 0,25–0,76)</w:t>
            </w:r>
          </w:p>
        </w:tc>
        <w:tc>
          <w:tcPr/>
          <w:p>
            <w:pPr>
              <w:pStyle w:val="Compact"/>
            </w:pPr>
            <w:r>
              <w:t xml:space="preserve">cochranelibrary.com, PMC9668328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Добавлен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M-frazier-water</w:t>
            </w:r>
          </w:p>
        </w:tc>
        <w:tc>
          <w:tcPr/>
          <w:p>
            <w:pPr>
              <w:pStyle w:val="Compact"/>
            </w:pPr>
            <w:r>
              <w:t xml:space="preserve">Gillman A. et al. Free water protocol (Frazier): чистая вода между приёмами пищи после гигиены рта; не для аспирационного риска</w:t>
            </w:r>
          </w:p>
        </w:tc>
        <w:tc>
          <w:tcPr/>
          <w:p>
            <w:pPr>
              <w:pStyle w:val="Compact"/>
            </w:pPr>
            <w:r>
              <w:t xml:space="preserve">Dysphagia 2018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Добавлен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1fa5b869773389c46f585614d55c34d06e7cf05"/>
    <w:p>
      <w:pPr>
        <w:pStyle w:val="Heading2"/>
      </w:pPr>
      <w:r>
        <w:t xml:space="preserve">3. Международные источники (I)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Изменения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I-ontario</w:t>
            </w:r>
          </w:p>
        </w:tc>
        <w:tc>
          <w:tcPr/>
          <w:p>
            <w:pPr>
              <w:pStyle w:val="Compact"/>
            </w:pPr>
            <w:r>
              <w:t xml:space="preserve">Онтарио, O. Reg. 246/22 — стационарные учреждения длительного ухода: 3-разовое питание, цикл 21 день, диетические столы, замены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I-usa-cms</w:t>
            </w:r>
          </w:p>
        </w:tc>
        <w:tc>
          <w:tcPr/>
          <w:p>
            <w:pPr>
              <w:pStyle w:val="Compact"/>
            </w:pPr>
            <w:r>
              <w:t xml:space="preserve">42 CFR §483.60 (CMS F-Tag 803): Food and Nutrition Services; верхняя граница ночного интервала 14 ч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I-sweden-livsmedelsverket</w:t>
            </w:r>
          </w:p>
        </w:tc>
        <w:tc>
          <w:tcPr/>
          <w:p>
            <w:pPr>
              <w:pStyle w:val="Compact"/>
            </w:pPr>
            <w:r>
              <w:t xml:space="preserve">Швеция, Livsmedelsverket: ночной интервал ≤11 ч (рекомендация)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I-germany-dge</w:t>
            </w:r>
          </w:p>
        </w:tc>
        <w:tc>
          <w:tcPr/>
          <w:p>
            <w:pPr>
              <w:pStyle w:val="Compact"/>
            </w:pPr>
            <w:r>
              <w:t xml:space="preserve">Германия, DGE-QST: 4-недельный цикл, «биография питания» при поступлении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I-japan-tokyo</w:t>
            </w:r>
          </w:p>
        </w:tc>
        <w:tc>
          <w:tcPr/>
          <w:p>
            <w:pPr>
              <w:pStyle w:val="Compact"/>
            </w:pPr>
            <w:r>
              <w:t xml:space="preserve">Япония, Токио: доплаты за работу в домах престарелых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I-uk-bda</w:t>
            </w:r>
          </w:p>
        </w:tc>
        <w:tc>
          <w:tcPr/>
          <w:p>
            <w:pPr>
              <w:pStyle w:val="Compact"/>
            </w:pPr>
            <w:r>
              <w:t xml:space="preserve">Великобритания, BDA (British Dietetic Association): руководства по питанию в психиатрических стационарах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I-australia-acqsc</w:t>
            </w:r>
          </w:p>
        </w:tc>
        <w:tc>
          <w:tcPr/>
          <w:p>
            <w:pPr>
              <w:pStyle w:val="Compact"/>
            </w:pPr>
            <w:r>
              <w:t xml:space="preserve">Австралия, Aged Care Quality and Safety Commission: «Food and Nutrition» Standard 4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I-australia-oralfeeding</w:t>
            </w:r>
          </w:p>
        </w:tc>
        <w:tc>
          <w:tcPr/>
          <w:p>
            <w:pPr>
              <w:pStyle w:val="Compact"/>
            </w:pPr>
            <w:r>
              <w:t xml:space="preserve">Австралия: «осознанный риск» при дисфагии; подача в формах, имитирующих обычные блюда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I-finland-thl</w:t>
            </w:r>
          </w:p>
        </w:tc>
        <w:tc>
          <w:tcPr/>
          <w:p>
            <w:pPr>
              <w:pStyle w:val="Compact"/>
            </w:pPr>
            <w:r>
              <w:t xml:space="preserve">Финская национальная рекомендация: совместные трапезы персонала и проживающих как элемент качества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I-netherlands-family</w:t>
            </w:r>
          </w:p>
        </w:tc>
        <w:tc>
          <w:tcPr/>
          <w:p>
            <w:pPr>
              <w:pStyle w:val="Compact"/>
            </w:pPr>
            <w:r>
              <w:t xml:space="preserve">Голландское рандомизированное исследование: family-style подача и рост качества жизни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I-canada-cga</w:t>
            </w:r>
          </w:p>
        </w:tc>
        <w:tc>
          <w:tcPr/>
          <w:p>
            <w:pPr>
              <w:pStyle w:val="Compact"/>
            </w:pPr>
            <w:r>
              <w:t xml:space="preserve">Канада, CGA: «Palliative and end-of-life care»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I-usa-cms-aside</w:t>
            </w:r>
          </w:p>
        </w:tc>
        <w:tc>
          <w:tcPr/>
          <w:p>
            <w:pPr>
              <w:pStyle w:val="Compact"/>
            </w:pPr>
            <w:r>
              <w:t xml:space="preserve">США, CMS: гигиена полости рта в стационарных учреждениях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I-who-icf</w:t>
            </w:r>
          </w:p>
        </w:tc>
        <w:tc>
          <w:tcPr/>
          <w:p>
            <w:pPr>
              <w:pStyle w:val="Compact"/>
            </w:pPr>
            <w:r>
              <w:t xml:space="preserve">ВОЗ, ICF: Международная классификация функционирования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I-katz-adl</w:t>
            </w:r>
          </w:p>
        </w:tc>
        <w:tc>
          <w:tcPr/>
          <w:p>
            <w:pPr>
              <w:pStyle w:val="Compact"/>
            </w:pPr>
            <w:r>
              <w:t xml:space="preserve">Katz S. et al. ADL (Activities of Daily Living) — шкала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I-mna</w:t>
            </w:r>
          </w:p>
        </w:tc>
        <w:tc>
          <w:tcPr/>
          <w:p>
            <w:pPr>
              <w:pStyle w:val="Compact"/>
            </w:pPr>
            <w:r>
              <w:t xml:space="preserve">Nestlé MNA (Mini Nutritional Assessment)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I-sga</w:t>
            </w:r>
          </w:p>
        </w:tc>
        <w:tc>
          <w:tcPr/>
          <w:p>
            <w:pPr>
              <w:pStyle w:val="Compact"/>
            </w:pPr>
            <w:r>
              <w:t xml:space="preserve">Detsky A.S. et al. SGA (Subjective Global Assessment)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I-glim</w:t>
            </w:r>
          </w:p>
        </w:tc>
        <w:tc>
          <w:tcPr/>
          <w:p>
            <w:pPr>
              <w:pStyle w:val="Compact"/>
            </w:pPr>
            <w:r>
              <w:t xml:space="preserve">Cederholm T. et al. GLIM (Global Leadership Initiative on Malnutrition)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I-aspen</w:t>
            </w:r>
          </w:p>
        </w:tc>
        <w:tc>
          <w:tcPr/>
          <w:p>
            <w:pPr>
              <w:pStyle w:val="Compact"/>
            </w:pPr>
            <w:r>
              <w:t xml:space="preserve">ASPEN: nutrition support practice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I-freedom-water</w:t>
            </w:r>
          </w:p>
        </w:tc>
        <w:tc>
          <w:tcPr/>
          <w:p>
            <w:pPr>
              <w:pStyle w:val="Compact"/>
            </w:pPr>
            <w:r>
              <w:t xml:space="preserve">Gillman A., Winkler M. Free water protocol (Frazier)</w:t>
            </w:r>
          </w:p>
        </w:tc>
        <w:tc>
          <w:tcPr/>
          <w:p>
            <w:pPr>
              <w:pStyle w:val="Compact"/>
            </w:pPr>
            <w:r>
              <w:t xml:space="preserve">Дубликат с M-frazier-water — оставлен как I-источник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I-rcslt</w:t>
            </w:r>
          </w:p>
        </w:tc>
        <w:tc>
          <w:tcPr/>
          <w:p>
            <w:pPr>
              <w:pStyle w:val="Compact"/>
            </w:pPr>
            <w:r>
              <w:t xml:space="preserve">RCSLT (Великобритания): position paper on thickened fluids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Добавлен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I-fnha</w:t>
            </w:r>
          </w:p>
        </w:tc>
        <w:tc>
          <w:tcPr/>
          <w:p>
            <w:pPr>
              <w:pStyle w:val="Compact"/>
            </w:pPr>
            <w:r>
              <w:t xml:space="preserve">First Nations Health Authority (Канада): cultural safety in nutrition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I-tasmania</w:t>
            </w:r>
          </w:p>
        </w:tc>
        <w:tc>
          <w:tcPr/>
          <w:p>
            <w:pPr>
              <w:pStyle w:val="Compact"/>
            </w:pPr>
            <w:r>
              <w:t xml:space="preserve">Тасмания, Acute Hospital Nutrition Care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I-alberta</w:t>
            </w:r>
          </w:p>
        </w:tc>
        <w:tc>
          <w:tcPr/>
          <w:p>
            <w:pPr>
              <w:pStyle w:val="Compact"/>
            </w:pPr>
            <w:r>
              <w:t xml:space="preserve">Альберта, Continuing Care Health Service Standards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I-victoria</w:t>
            </w:r>
          </w:p>
        </w:tc>
        <w:tc>
          <w:tcPr/>
          <w:p>
            <w:pPr>
              <w:pStyle w:val="Compact"/>
            </w:pPr>
            <w:r>
              <w:t xml:space="preserve">Виктория, Public Hospital Food Provision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I-queensland</w:t>
            </w:r>
          </w:p>
        </w:tc>
        <w:tc>
          <w:tcPr/>
          <w:p>
            <w:pPr>
              <w:pStyle w:val="Compact"/>
            </w:pPr>
            <w:r>
              <w:t xml:space="preserve">Квинсленд, Aged Care Standards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I-tasmania2</w:t>
            </w:r>
          </w:p>
        </w:tc>
        <w:tc>
          <w:tcPr/>
          <w:p>
            <w:pPr>
              <w:pStyle w:val="Compact"/>
            </w:pPr>
            <w:r>
              <w:t xml:space="preserve">Тасмания, Food Safety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I-newzealand</w:t>
            </w:r>
          </w:p>
        </w:tc>
        <w:tc>
          <w:tcPr/>
          <w:p>
            <w:pPr>
              <w:pStyle w:val="Compact"/>
            </w:pPr>
            <w:r>
              <w:t xml:space="preserve">Новая Зеландия, Aged Residential Care Services Agreement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I-uk-cqc</w:t>
            </w:r>
          </w:p>
        </w:tc>
        <w:tc>
          <w:tcPr/>
          <w:p>
            <w:pPr>
              <w:pStyle w:val="Compact"/>
            </w:pPr>
            <w:r>
              <w:t xml:space="preserve">Великобритания, CQC: fundamental standards for food and nutrition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I-ireland-hiqa</w:t>
            </w:r>
          </w:p>
        </w:tc>
        <w:tc>
          <w:tcPr/>
          <w:p>
            <w:pPr>
              <w:pStyle w:val="Compact"/>
            </w:pPr>
            <w:r>
              <w:t xml:space="preserve">Ирландия, HIQA: national standards for residential care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I-norway</w:t>
            </w:r>
          </w:p>
        </w:tc>
        <w:tc>
          <w:tcPr/>
          <w:p>
            <w:pPr>
              <w:pStyle w:val="Compact"/>
            </w:pPr>
            <w:r>
              <w:t xml:space="preserve">Норвегия, Helsedirektoratet: nutrition in care homes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I-denmark</w:t>
            </w:r>
          </w:p>
        </w:tc>
        <w:tc>
          <w:tcPr/>
          <w:p>
            <w:pPr>
              <w:pStyle w:val="Compact"/>
            </w:pPr>
            <w:r>
              <w:t xml:space="preserve">Дания, Sundhedsstyrelsen: nutrition in elderly care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I-sweden-nfa</w:t>
            </w:r>
          </w:p>
        </w:tc>
        <w:tc>
          <w:tcPr/>
          <w:p>
            <w:pPr>
              <w:pStyle w:val="Compact"/>
            </w:pPr>
            <w:r>
              <w:t xml:space="preserve">Швеция, National Food Administration: питание в стационарах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I-finland-nfa</w:t>
            </w:r>
          </w:p>
        </w:tc>
        <w:tc>
          <w:tcPr/>
          <w:p>
            <w:pPr>
              <w:pStyle w:val="Compact"/>
            </w:pPr>
            <w:r>
              <w:t xml:space="preserve">Финляндия, Finnish Food Authority: стационарное питание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I-estonia</w:t>
            </w:r>
          </w:p>
        </w:tc>
        <w:tc>
          <w:tcPr/>
          <w:p>
            <w:pPr>
              <w:pStyle w:val="Compact"/>
            </w:pPr>
            <w:r>
              <w:t xml:space="preserve">Эстония, Terviseamet: питание в гериатрии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I-latvia</w:t>
            </w:r>
          </w:p>
        </w:tc>
        <w:tc>
          <w:tcPr/>
          <w:p>
            <w:pPr>
              <w:pStyle w:val="Compact"/>
            </w:pPr>
            <w:r>
              <w:t xml:space="preserve">Латвия, Veselības ministrija: стационарное питание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I-lithuania</w:t>
            </w:r>
          </w:p>
        </w:tc>
        <w:tc>
          <w:tcPr/>
          <w:p>
            <w:pPr>
              <w:pStyle w:val="Compact"/>
            </w:pPr>
            <w:r>
              <w:t xml:space="preserve">Литва, Sveikatos apsaugos ministerija: стационарное питание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I-estonia2</w:t>
            </w:r>
          </w:p>
        </w:tc>
        <w:tc>
          <w:tcPr/>
          <w:p>
            <w:pPr>
              <w:pStyle w:val="Compact"/>
            </w:pPr>
            <w:r>
              <w:t xml:space="preserve">Эстония, Haigekassa: финансирование питания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I-who-malnutrition</w:t>
            </w:r>
          </w:p>
        </w:tc>
        <w:tc>
          <w:tcPr/>
          <w:p>
            <w:pPr>
              <w:pStyle w:val="Compact"/>
            </w:pPr>
            <w:r>
              <w:t xml:space="preserve">ВОЗ: technical note on malnutrition in older persons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I-unicef</w:t>
            </w:r>
          </w:p>
        </w:tc>
        <w:tc>
          <w:tcPr/>
          <w:p>
            <w:pPr>
              <w:pStyle w:val="Compact"/>
            </w:pPr>
            <w:r>
              <w:t xml:space="preserve">ЮНИСЕФ: nutrition in institutional care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I-who-mental</w:t>
            </w:r>
          </w:p>
        </w:tc>
        <w:tc>
          <w:tcPr/>
          <w:p>
            <w:pPr>
              <w:pStyle w:val="Compact"/>
            </w:pPr>
            <w:r>
              <w:t xml:space="preserve">ВОЗ: Mental Health Gap Action Programme (mhGAP)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I-ohchr-crdpd</w:t>
            </w:r>
          </w:p>
        </w:tc>
        <w:tc>
          <w:tcPr/>
          <w:p>
            <w:pPr>
              <w:pStyle w:val="Compact"/>
            </w:pPr>
            <w:r>
              <w:t xml:space="preserve">OHCHR: Замечание общего порядка № 1 к ст. 12 КПИ (2014)</w:t>
            </w:r>
          </w:p>
        </w:tc>
        <w:tc>
          <w:tcPr/>
          <w:p>
            <w:pPr>
              <w:pStyle w:val="Compact"/>
            </w:pPr>
            <w:r>
              <w:t xml:space="preserve">Дубликат с S040 — оставлен как I-источник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I-unesco</w:t>
            </w:r>
          </w:p>
        </w:tc>
        <w:tc>
          <w:tcPr/>
          <w:p>
            <w:pPr>
              <w:pStyle w:val="Compact"/>
            </w:pPr>
            <w:r>
              <w:t xml:space="preserve">ЮНЕСКО: cultural rights and food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I-ilo</w:t>
            </w:r>
          </w:p>
        </w:tc>
        <w:tc>
          <w:tcPr/>
          <w:p>
            <w:pPr>
              <w:pStyle w:val="Compact"/>
            </w:pPr>
            <w:r>
              <w:t xml:space="preserve">МОТ: labour standards in care institutions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I-council-europe</w:t>
            </w:r>
          </w:p>
        </w:tc>
        <w:tc>
          <w:tcPr/>
          <w:p>
            <w:pPr>
              <w:pStyle w:val="Compact"/>
            </w:pPr>
            <w:r>
              <w:t xml:space="preserve">Совет Европы: права пожилых в стационарах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I-eu-charter</w:t>
            </w:r>
          </w:p>
        </w:tc>
        <w:tc>
          <w:tcPr/>
          <w:p>
            <w:pPr>
              <w:pStyle w:val="Compact"/>
            </w:pPr>
            <w:r>
              <w:t xml:space="preserve">Хартия ЕС об основных правах, ст. 25 (права пожилых)</w:t>
            </w:r>
          </w:p>
        </w:tc>
        <w:tc>
          <w:tcPr/>
          <w:p>
            <w:pPr>
              <w:pStyle w:val="Compact"/>
            </w:pPr>
            <w:r>
              <w:t xml:space="preserve">Подтверждено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2dcf020e59808265cb6340afa9f7182018f778f"/>
    <w:p>
      <w:pPr>
        <w:pStyle w:val="Heading2"/>
      </w:pPr>
      <w:r>
        <w:t xml:space="preserve">4. Удалённые и перенесённые записи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Было</w:t>
            </w:r>
          </w:p>
        </w:tc>
        <w:tc>
          <w:tcPr/>
          <w:p>
            <w:pPr>
              <w:pStyle w:val="Compact"/>
            </w:pPr>
            <w:r>
              <w:t xml:space="preserve">Стало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Дубль «74 % / Если быть точным» в S и M</w:t>
            </w:r>
          </w:p>
        </w:tc>
        <w:tc>
          <w:tcPr/>
          <w:p>
            <w:pPr>
              <w:pStyle w:val="Compact"/>
            </w:pPr>
            <w:r>
              <w:t xml:space="preserve">Один ID S004, M-ebt оставлен для 99 % опеки</w:t>
            </w:r>
          </w:p>
        </w:tc>
        <w:tc>
          <w:tcPr/>
          <w:p>
            <w:pPr>
              <w:pStyle w:val="Compact"/>
            </w:pPr>
            <w:r>
              <w:t xml:space="preserve">Дублирование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«1/10 смертей» в M-oral_muller</w:t>
            </w:r>
          </w:p>
        </w:tc>
        <w:tc>
          <w:tcPr/>
          <w:p>
            <w:pPr>
              <w:pStyle w:val="Compact"/>
            </w:pPr>
            <w:r>
              <w:t xml:space="preserve">Перенесён в новый M-oral_sjogren</w:t>
            </w:r>
          </w:p>
        </w:tc>
        <w:tc>
          <w:tcPr/>
          <w:p>
            <w:pPr>
              <w:pStyle w:val="Compact"/>
            </w:pPr>
            <w:r>
              <w:t xml:space="preserve">Атрибуция Sjogren 2008, не Müller 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«Campforts 2026» (ошибочный год)</w:t>
            </w:r>
          </w:p>
        </w:tc>
        <w:tc>
          <w:tcPr/>
          <w:p>
            <w:pPr>
              <w:pStyle w:val="Compact"/>
            </w:pPr>
            <w:r>
              <w:t xml:space="preserve">Исправлен на Campforts 2023 (BJPsych Open)</w:t>
            </w:r>
          </w:p>
        </w:tc>
        <w:tc>
          <w:tcPr/>
          <w:p>
            <w:pPr>
              <w:pStyle w:val="Compact"/>
            </w:pPr>
            <w:r>
              <w:t xml:space="preserve">Опечатка в v1.5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«Miarons Font 2023» (ошибочный год)</w:t>
            </w:r>
          </w:p>
        </w:tc>
        <w:tc>
          <w:tcPr/>
          <w:p>
            <w:pPr>
              <w:pStyle w:val="Compact"/>
            </w:pPr>
            <w:r>
              <w:t xml:space="preserve">Исправлен на Miarons Font 2017 (Eur J Gastroenterol Hepatol)</w:t>
            </w:r>
          </w:p>
        </w:tc>
        <w:tc>
          <w:tcPr/>
          <w:p>
            <w:pPr>
              <w:pStyle w:val="Compact"/>
            </w:pPr>
            <w:r>
              <w:t xml:space="preserve">Опечатка в v1.5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ae05dfe387b5a8ade627cf317e34e99ae007953"/>
    <w:p>
      <w:pPr>
        <w:pStyle w:val="Heading2"/>
      </w:pPr>
      <w:r>
        <w:t xml:space="preserve">5. Что не вошло в v2 (и почему)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Причина невключения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940н (упоминался в ранних материалах)</w:t>
            </w:r>
          </w:p>
        </w:tc>
        <w:tc>
          <w:tcPr/>
          <w:p>
            <w:pPr>
              <w:pStyle w:val="Compact"/>
            </w:pPr>
            <w:r>
              <w:t xml:space="preserve">Не подтверждён при верификации; AUDIT_OLD_REPORTS.md, этап 6. Исключён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«Единственный в мире» (BDA, процитировано в старых версиях)</w:t>
            </w:r>
          </w:p>
        </w:tc>
        <w:tc>
          <w:tcPr/>
          <w:p>
            <w:pPr>
              <w:pStyle w:val="Compact"/>
            </w:pPr>
            <w:r>
              <w:t xml:space="preserve">Превосходная степень без систематического поиска. Исключена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«Честная смета вариативности ≈ 0 руб.» (старая формула)</w:t>
            </w:r>
          </w:p>
        </w:tc>
        <w:tc>
          <w:tcPr/>
          <w:p>
            <w:pPr>
              <w:pStyle w:val="Compact"/>
            </w:pPr>
            <w:r>
              <w:t xml:space="preserve">Не подтверждена. Заменена на честную рамку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«40 % отходов» (без источника)</w:t>
            </w:r>
          </w:p>
        </w:tc>
        <w:tc>
          <w:tcPr/>
          <w:p>
            <w:pPr>
              <w:pStyle w:val="Compact"/>
            </w:pPr>
            <w:r>
              <w:t xml:space="preserve">Иллюстративный расчёт, не замер. Заменена на «семидневный замер даст цифру»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«46 % / 30 %» в устной версии</w:t>
            </w:r>
          </w:p>
        </w:tc>
        <w:tc>
          <w:tcPr/>
          <w:p>
            <w:pPr>
              <w:pStyle w:val="Compact"/>
            </w:pPr>
            <w:r>
              <w:t xml:space="preserve">Маркированы как иллюстративные, не как факт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bacb949a7ef76e049ac661feda9535eabe0bf9b"/>
    <w:p>
      <w:pPr>
        <w:pStyle w:val="Heading2"/>
      </w:pPr>
      <w:r>
        <w:t xml:space="preserve">6. Стандарт оформления источника (для будущих правок)</w:t>
      </w:r>
    </w:p>
    <w:p>
      <w:pPr>
        <w:pStyle w:val="FirstParagraph"/>
      </w:pPr>
      <w:r>
        <w:t xml:space="preserve">Каждый источник должен содержать: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Автор</w:t>
      </w:r>
      <w:r>
        <w:t xml:space="preserve"> </w:t>
      </w:r>
      <w:r>
        <w:t xml:space="preserve">(или коллективный автор, или орган).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Название</w:t>
      </w:r>
      <w:r>
        <w:t xml:space="preserve"> </w:t>
      </w:r>
      <w:r>
        <w:t xml:space="preserve">(на языке оригинала, с переводом для иностранных).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Год</w:t>
      </w:r>
      <w:r>
        <w:t xml:space="preserve"> </w:t>
      </w:r>
      <w:r>
        <w:t xml:space="preserve">(публикации, а не верификации).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Журнал или издатель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Том и номер</w:t>
      </w:r>
      <w:r>
        <w:t xml:space="preserve"> </w:t>
      </w:r>
      <w:r>
        <w:t xml:space="preserve">(для журналов).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Страницы</w:t>
      </w:r>
      <w:r>
        <w:t xml:space="preserve"> </w:t>
      </w:r>
      <w:r>
        <w:t xml:space="preserve">(для журналов) или URL (для онлайн-источников).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DOI или PMID</w:t>
      </w:r>
      <w:r>
        <w:t xml:space="preserve"> </w:t>
      </w:r>
      <w:r>
        <w:t xml:space="preserve">(если есть).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</w:t>
      </w:r>
      <w:r>
        <w:t xml:space="preserve"> </w:t>
      </w:r>
      <w:r>
        <w:t xml:space="preserve">(если есть).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Дата обращения</w:t>
      </w:r>
      <w:r>
        <w:t xml:space="preserve"> </w:t>
      </w:r>
      <w:r>
        <w:t xml:space="preserve">(последняя верификация).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Язык</w:t>
      </w:r>
      <w:r>
        <w:t xml:space="preserve"> </w:t>
      </w:r>
      <w:r>
        <w:t xml:space="preserve">(если не русский).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Статус</w:t>
      </w:r>
      <w:r>
        <w:t xml:space="preserve"> </w:t>
      </w:r>
      <w:r>
        <w:t xml:space="preserve">(действующая редакция / утратил силу / архив).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Соответствие ссылки утверждению</w:t>
      </w:r>
      <w:r>
        <w:t xml:space="preserve"> </w:t>
      </w:r>
      <w:r>
        <w:t xml:space="preserve">(где используется).</w:t>
      </w:r>
    </w:p>
    <w:p>
      <w:r>
        <w:pict>
          <v:rect style="width:0;height:1.5pt" o:hralign="center" o:hrstd="t" o:hr="t"/>
        </w:pict>
      </w:r>
    </w:p>
    <w:bookmarkEnd w:id="15"/>
    <w:bookmarkStart w:id="16" w:name="X2202520de8fc31599a3f2272f69962ad8515c00"/>
    <w:p>
      <w:pPr>
        <w:pStyle w:val="Heading2"/>
      </w:pPr>
      <w:r>
        <w:t xml:space="preserve">7. Сводка изменений v1.5 → v2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Дубли</w:t>
            </w:r>
          </w:p>
        </w:tc>
        <w:tc>
          <w:tcPr/>
          <w:p>
            <w:pPr>
              <w:pStyle w:val="Compact"/>
            </w:pPr>
            <w:r>
              <w:t xml:space="preserve">Убран дубль S004 / M-ebt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публикации</w:t>
            </w:r>
          </w:p>
        </w:tc>
        <w:tc>
          <w:tcPr/>
          <w:p>
            <w:pPr>
              <w:pStyle w:val="Compact"/>
            </w:pPr>
            <w:r>
              <w:t xml:space="preserve">Miarons Font 2017 (не 2023); Campforts 2023 (не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Атрибуция</w:t>
            </w:r>
          </w:p>
        </w:tc>
        <w:tc>
          <w:tcPr/>
          <w:p>
            <w:pPr>
              <w:pStyle w:val="Compact"/>
            </w:pPr>
            <w:r>
              <w:t xml:space="preserve">«1/10 смертей» — Sjogren 2008 (не Müller 2015)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</w:t>
            </w:r>
          </w:p>
        </w:tc>
        <w:tc>
          <w:tcPr/>
          <w:p>
            <w:pPr>
              <w:pStyle w:val="Compact"/>
            </w:pPr>
            <w:r>
              <w:t xml:space="preserve">Приказ № 124 — везде «локальный»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Оговорка переноса</w:t>
            </w:r>
          </w:p>
        </w:tc>
        <w:tc>
          <w:tcPr/>
          <w:p>
            <w:pPr>
              <w:pStyle w:val="Compact"/>
            </w:pPr>
            <w:r>
              <w:t xml:space="preserve">M-iddsi_wu — «общий long-term care, не психиатрия»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Оговорка дизайна</w:t>
            </w:r>
          </w:p>
        </w:tc>
        <w:tc>
          <w:tcPr/>
          <w:p>
            <w:pPr>
              <w:pStyle w:val="Compact"/>
            </w:pPr>
            <w:r>
              <w:t xml:space="preserve">M-cloz_hagg — «12 здоровых добровольцев, однократная доза»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Оговорка дизайна</w:t>
            </w:r>
          </w:p>
        </w:tc>
        <w:tc>
          <w:tcPr/>
          <w:p>
            <w:pPr>
              <w:pStyle w:val="Compact"/>
            </w:pPr>
            <w:r>
              <w:t xml:space="preserve">M-guss_trapl — «для инсульта, не для психиатрии»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Оговорка дизайна</w:t>
            </w:r>
          </w:p>
        </w:tc>
        <w:tc>
          <w:tcPr/>
          <w:p>
            <w:pPr>
              <w:pStyle w:val="Compact"/>
            </w:pPr>
            <w:r>
              <w:t xml:space="preserve">M-dysph_prev — «популяции не российские ДСО»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Оговорка адресата</w:t>
            </w:r>
          </w:p>
        </w:tc>
        <w:tc>
          <w:tcPr/>
          <w:p>
            <w:pPr>
              <w:pStyle w:val="Compact"/>
            </w:pPr>
            <w:r>
              <w:t xml:space="preserve">S032, S033 — «адресованы медицинским организациям, не СОСО»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Новые позиции</w:t>
            </w:r>
          </w:p>
        </w:tc>
        <w:tc>
          <w:tcPr/>
          <w:p>
            <w:pPr>
              <w:pStyle w:val="Compact"/>
            </w:pPr>
            <w:r>
              <w:t xml:space="preserve">8 (S036–S040; M-cochrane-oralcare, M-frazier-water, M-oral-sjogren)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Удалено</w:t>
            </w:r>
          </w:p>
        </w:tc>
        <w:tc>
          <w:tcPr/>
          <w:p>
            <w:pPr>
              <w:pStyle w:val="Compact"/>
            </w:pPr>
            <w:r>
              <w:t xml:space="preserve">4 (приказ 940н, превосходные степени, «0 руб.», неподтверждённые %)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в новой редакции v2 и в производных форматах.</w:t>
      </w:r>
      <w:r>
        <w:t xml:space="preserve"> </w:t>
      </w:r>
      <w:r>
        <w:rPr>
          <w:b/>
          <w:bCs/>
        </w:rPr>
        <w:t xml:space="preserve">Правовая сверка: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Фактчекинг: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Изменения после этой даты требуют перепроверки.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www.pni9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www.pni9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Библиография v2 (134 источника)</dc:title>
  <dc:creator>Чистяков Е. В.</dc:creator>
  <dc:language>ru</dc:language>
  <cp:keywords/>
  <dcterms:created xsi:type="dcterms:W3CDTF">2026-08-22T08:50:35Z</dcterms:created>
  <dcterms:modified xsi:type="dcterms:W3CDTF">2026-08-22T08:50:35Z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