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Этическая рецензия</w:t>
      </w:r>
    </w:p>
    <w:p>
      <w:pPr>
        <w:pStyle w:val="Author"/>
      </w:pPr>
      <w:r>
        <w:t xml:space="preserve">Редакционная группа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этическая-и-языковая-рецензия-этап-14"/>
    <w:p>
      <w:pPr>
        <w:pStyle w:val="Heading1"/>
      </w:pPr>
      <w:r>
        <w:t xml:space="preserve">Этическая и языковая рецензия (Этап 14)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рецензия на текст доклада «Не просто накормить…» v2 и производных форматов.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Аудитор:</w:t>
      </w:r>
      <w:r>
        <w:t xml:space="preserve"> </w:t>
      </w:r>
      <w:r>
        <w:t xml:space="preserve">специалист по доступному и нестигматизирующему языку, эксперт по правам жителей, юрист в области прав инвалидов.</w:t>
      </w:r>
      <w:r>
        <w:t xml:space="preserve"> </w:t>
      </w:r>
      <w:r>
        <w:rPr>
          <w:b/>
          <w:bCs/>
        </w:rPr>
        <w:t xml:space="preserve">Цель:</w:t>
      </w:r>
      <w:r>
        <w:t xml:space="preserve"> </w:t>
      </w:r>
      <w:r>
        <w:t xml:space="preserve">выявить стигматизирующие, патерналистские, обесценивающие формулировки; проверить соответствие принципам КПИ; оценить баланс безопасности и достоинства.</w:t>
      </w:r>
    </w:p>
    <w:p>
      <w:r>
        <w:pict>
          <v:rect style="width:0;height:1.5pt" o:hralign="center" o:hrstd="t" o:hr="t"/>
        </w:pict>
      </w:r>
    </w:p>
    <w:bookmarkStart w:id="9" w:name="X109c335a3194970c0dbbd0bd4dcd4a329c0c8ff"/>
    <w:p>
      <w:pPr>
        <w:pStyle w:val="Heading2"/>
      </w:pPr>
      <w:r>
        <w:t xml:space="preserve">1. Сводка по этическим рискам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Найдено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Стигматизирующие формулировки</w:t>
            </w:r>
          </w:p>
        </w:tc>
        <w:tc>
          <w:tcPr/>
          <w:p>
            <w:pPr>
              <w:pStyle w:val="Compact"/>
            </w:pPr>
            <w:r>
              <w:t xml:space="preserve">0 в новой редакции v2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Патерналистские конструкции</w:t>
            </w:r>
          </w:p>
        </w:tc>
        <w:tc>
          <w:tcPr/>
          <w:p>
            <w:pPr>
              <w:pStyle w:val="Compact"/>
            </w:pPr>
            <w:r>
              <w:t xml:space="preserve">2 (мягкие)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Переформулировать в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Обесценивание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Подмена воли</w:t>
            </w:r>
          </w:p>
        </w:tc>
        <w:tc>
          <w:tcPr/>
          <w:p>
            <w:pPr>
              <w:pStyle w:val="Compact"/>
            </w:pPr>
            <w:r>
              <w:t xml:space="preserve">1 (историческая)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Уточнить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Раскрытие персональных данных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Узнаваемость участников кейсов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Неподдержанное принятие решений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Подача диагноза как идентичности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Раскрытие данных о подопечных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Главный вывод:</w:t>
      </w:r>
      <w:r>
        <w:t xml:space="preserve"> </w:t>
      </w:r>
      <w:r>
        <w:t xml:space="preserve">исходный текст v1.5 + фактчекинг 22.08.2026 дают</w:t>
      </w:r>
      <w:r>
        <w:t xml:space="preserve"> </w:t>
      </w:r>
      <w:r>
        <w:rPr>
          <w:b/>
          <w:bCs/>
        </w:rPr>
        <w:t xml:space="preserve">этически зрелый текст</w:t>
      </w:r>
      <w:r>
        <w:t xml:space="preserve"> </w:t>
      </w:r>
      <w:r>
        <w:t xml:space="preserve">для целевой аудитории. Замечания — на уровне отдельных формулировок.</w:t>
      </w:r>
    </w:p>
    <w:p>
      <w:r>
        <w:pict>
          <v:rect style="width:0;height:1.5pt" o:hralign="center" o:hrstd="t" o:hr="t"/>
        </w:pict>
      </w:r>
    </w:p>
    <w:bookmarkEnd w:id="9"/>
    <w:bookmarkStart w:id="21" w:name="Xb594181485720beda2d78c1c8ab44d5f6e0f3fd"/>
    <w:p>
      <w:pPr>
        <w:pStyle w:val="Heading2"/>
      </w:pPr>
      <w:r>
        <w:t xml:space="preserve">2. Детальный разбор</w:t>
      </w:r>
    </w:p>
    <w:bookmarkStart w:id="10" w:name="X28de7528f5f1213f3b83fd64e171288e7155a8d"/>
    <w:p>
      <w:pPr>
        <w:pStyle w:val="Heading3"/>
      </w:pPr>
      <w:r>
        <w:t xml:space="preserve">2.1. Обращение к людям</w:t>
      </w:r>
    </w:p>
    <w:p>
      <w:pPr>
        <w:pStyle w:val="FirstParagraph"/>
      </w:pPr>
      <w:r>
        <w:rPr>
          <w:b/>
          <w:bCs/>
        </w:rPr>
        <w:t xml:space="preserve">Проверено по всему тексту.</w:t>
      </w:r>
      <w:r>
        <w:t xml:space="preserve"> </w:t>
      </w:r>
      <w:r>
        <w:t xml:space="preserve">Используется:</w:t>
      </w:r>
    </w:p>
    <w:p>
      <w:pPr>
        <w:pStyle w:val="Compact"/>
        <w:numPr>
          <w:ilvl w:val="0"/>
          <w:numId w:val="1001"/>
        </w:numPr>
      </w:pPr>
      <w:r>
        <w:t xml:space="preserve">✅ «житель» / «проживающий» (не «пациент» в социальном контексте, не «больной»).</w:t>
      </w:r>
    </w:p>
    <w:p>
      <w:pPr>
        <w:pStyle w:val="Compact"/>
        <w:numPr>
          <w:ilvl w:val="0"/>
          <w:numId w:val="1001"/>
        </w:numPr>
      </w:pPr>
      <w:r>
        <w:t xml:space="preserve">✅ «человек с дисфагией» (не «дисфагический больной»).</w:t>
      </w:r>
    </w:p>
    <w:p>
      <w:pPr>
        <w:pStyle w:val="Compact"/>
        <w:numPr>
          <w:ilvl w:val="0"/>
          <w:numId w:val="1001"/>
        </w:numPr>
      </w:pPr>
      <w:r>
        <w:t xml:space="preserve">✅ «человек с шизофренией» (не «шизофреник»).</w:t>
      </w:r>
    </w:p>
    <w:p>
      <w:pPr>
        <w:pStyle w:val="Compact"/>
        <w:numPr>
          <w:ilvl w:val="0"/>
          <w:numId w:val="1001"/>
        </w:numPr>
      </w:pPr>
      <w:r>
        <w:t xml:space="preserve">✅ «лица, страдающие психическими расстройствами» (формулировка 3185-1).</w:t>
      </w:r>
    </w:p>
    <w:p>
      <w:pPr>
        <w:pStyle w:val="Compact"/>
        <w:numPr>
          <w:ilvl w:val="0"/>
          <w:numId w:val="1001"/>
        </w:numPr>
      </w:pPr>
      <w:r>
        <w:t xml:space="preserve">✅ «лица с ментальной инвалидностью» (формулировка «Если быть точным»).</w:t>
      </w:r>
    </w:p>
    <w:p>
      <w:pPr>
        <w:pStyle w:val="Compact"/>
        <w:numPr>
          <w:ilvl w:val="0"/>
          <w:numId w:val="1001"/>
        </w:numPr>
      </w:pPr>
      <w:r>
        <w:t xml:space="preserve">⚠️ «помощник по уходу» — в v1.5 непоследовательно (частично «сиделка»).</w:t>
      </w:r>
      <w:r>
        <w:t xml:space="preserve"> </w:t>
      </w:r>
      <w:r>
        <w:rPr>
          <w:b/>
          <w:bCs/>
        </w:rPr>
        <w:t xml:space="preserve">MINOR.</w:t>
      </w:r>
      <w:r>
        <w:t xml:space="preserve"> </w:t>
      </w:r>
      <w:r>
        <w:t xml:space="preserve">В v2 унифицировать.</w:t>
      </w:r>
    </w:p>
    <w:p>
      <w:pPr>
        <w:pStyle w:val="Compact"/>
        <w:numPr>
          <w:ilvl w:val="0"/>
          <w:numId w:val="1001"/>
        </w:numPr>
      </w:pPr>
      <w:r>
        <w:t xml:space="preserve">✅ «опекун» — в юридическом контексте.</w:t>
      </w:r>
    </w:p>
    <w:p>
      <w:pPr>
        <w:pStyle w:val="Compact"/>
        <w:numPr>
          <w:ilvl w:val="0"/>
          <w:numId w:val="1001"/>
        </w:numPr>
      </w:pPr>
      <w:r>
        <w:t xml:space="preserve">✅ «подопечный» — в контексте 3185-1 и ГК РФ.</w:t>
      </w:r>
    </w:p>
    <w:p>
      <w:pPr>
        <w:pStyle w:val="FirstParagraph"/>
      </w:pPr>
      <w:r>
        <w:rPr>
          <w:b/>
          <w:bCs/>
        </w:rPr>
        <w:t xml:space="preserve">Замечание:</w:t>
      </w:r>
      <w:r>
        <w:t xml:space="preserve"> </w:t>
      </w:r>
      <w:r>
        <w:t xml:space="preserve">формулировка «лица с ментальной инвалидностью» (проект «Если быть точным») — это</w:t>
      </w:r>
      <w:r>
        <w:t xml:space="preserve"> </w:t>
      </w:r>
      <w:r>
        <w:rPr>
          <w:b/>
          <w:bCs/>
        </w:rPr>
        <w:t xml:space="preserve">неформальная</w:t>
      </w:r>
      <w:r>
        <w:t xml:space="preserve">, но принятая в современной литературе и в СМИ. В исходном докладе используется параллельно с «лица с психическими расстройствами» (формальная). Это нормально.</w:t>
      </w:r>
    </w:p>
    <w:bookmarkEnd w:id="10"/>
    <w:bookmarkStart w:id="11" w:name="Xbada8eb0cadd63397f9b50a0c67879572d2b905"/>
    <w:p>
      <w:pPr>
        <w:pStyle w:val="Heading3"/>
      </w:pPr>
      <w:r>
        <w:t xml:space="preserve">2.2. Патерналистские конструкции</w:t>
      </w:r>
    </w:p>
    <w:p>
      <w:pPr>
        <w:pStyle w:val="FirstParagraph"/>
      </w:pPr>
      <w:r>
        <w:rPr>
          <w:b/>
          <w:bCs/>
        </w:rPr>
        <w:t xml:space="preserve">Найдено 2 мягких случая:</w:t>
      </w:r>
    </w:p>
    <w:p>
      <w:pPr>
        <w:pStyle w:val="BodyText"/>
      </w:pPr>
      <w:r>
        <w:rPr>
          <w:b/>
          <w:bCs/>
        </w:rPr>
        <w:t xml:space="preserve">P-1.</w:t>
      </w:r>
      <w:r>
        <w:t xml:space="preserve"> </w:t>
      </w:r>
      <w:r>
        <w:t xml:space="preserve">В исходном докладе 7.4 «</w:t>
      </w:r>
      <w:r>
        <w:rPr>
          <w:b/>
          <w:bCs/>
        </w:rPr>
        <w:t xml:space="preserve">психология</w:t>
      </w:r>
      <w:r>
        <w:t xml:space="preserve">» — «спросить у трёх жителей „что сегодня было на обед" вечером: не помнят или „как обычно" — еда не доходит до сознания». Это правильное наблюдение, но</w:t>
      </w:r>
      <w:r>
        <w:t xml:space="preserve"> </w:t>
      </w:r>
      <w:r>
        <w:rPr>
          <w:b/>
          <w:bCs/>
        </w:rPr>
        <w:t xml:space="preserve">в формулировке есть скрытая властная позиция «спросить у жителя»</w:t>
      </w:r>
      <w:r>
        <w:t xml:space="preserve">. Альтернатива: «поговорить с тремя жителями» (без «спросить»). В v2 —</w:t>
      </w:r>
      <w:r>
        <w:t xml:space="preserve"> </w:t>
      </w:r>
      <w:r>
        <w:rPr>
          <w:b/>
          <w:bCs/>
        </w:rPr>
        <w:t xml:space="preserve">MINOR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P-2.</w:t>
      </w:r>
      <w:r>
        <w:t xml:space="preserve"> </w:t>
      </w:r>
      <w:r>
        <w:t xml:space="preserve">В исходном докладе 9.7 «житель съедает всё за минуты и просит ещё — не „жадность", а возможная гиперфагия».</w:t>
      </w:r>
      <w:r>
        <w:t xml:space="preserve"> </w:t>
      </w:r>
      <w:r>
        <w:rPr>
          <w:b/>
          <w:bCs/>
        </w:rPr>
        <w:t xml:space="preserve">Формулировка «жадность» в кавычках с отрицанием — это правильный приём</w:t>
      </w:r>
      <w:r>
        <w:t xml:space="preserve">, но сама конструкция «не жадность, а X» слегка снисходительна. Лучше: «житель, который съедает всё за минуты и просит ещё, нуждается в клинической оценке». В v2 —</w:t>
      </w:r>
      <w:r>
        <w:t xml:space="preserve"> </w:t>
      </w:r>
      <w:r>
        <w:rPr>
          <w:b/>
          <w:bCs/>
        </w:rPr>
        <w:t xml:space="preserve">MINOR</w:t>
      </w:r>
      <w:r>
        <w:t xml:space="preserve">.</w:t>
      </w:r>
    </w:p>
    <w:bookmarkEnd w:id="11"/>
    <w:bookmarkStart w:id="12" w:name="Xaaf58203711381b627dbae06805cea9fc59b80e"/>
    <w:p>
      <w:pPr>
        <w:pStyle w:val="Heading3"/>
      </w:pPr>
      <w:r>
        <w:t xml:space="preserve">2.3. Подмена воли</w:t>
      </w:r>
    </w:p>
    <w:p>
      <w:pPr>
        <w:pStyle w:val="FirstParagraph"/>
      </w:pPr>
      <w:r>
        <w:rPr>
          <w:b/>
          <w:bCs/>
        </w:rPr>
        <w:t xml:space="preserve">Найдено 1 историческое замечание.</w:t>
      </w:r>
    </w:p>
    <w:p>
      <w:pPr>
        <w:pStyle w:val="BodyText"/>
      </w:pPr>
      <w:r>
        <w:rPr>
          <w:b/>
          <w:bCs/>
        </w:rPr>
        <w:t xml:space="preserve">W-1.</w:t>
      </w:r>
      <w:r>
        <w:t xml:space="preserve"> </w:t>
      </w:r>
      <w:r>
        <w:t xml:space="preserve">В исходном докладе 6.3 «Маломобильные → подача под готовую помощь, контроль температуры». Это правильно с точки зрения безопасности, но</w:t>
      </w:r>
      <w:r>
        <w:t xml:space="preserve"> </w:t>
      </w:r>
      <w:r>
        <w:rPr>
          <w:b/>
          <w:bCs/>
        </w:rPr>
        <w:t xml:space="preserve">складывается паттерн «сделать для жителя всё, что он не может сделать сам»</w:t>
      </w:r>
      <w:r>
        <w:t xml:space="preserve">. В v2 в таблице 4.4 «люди» — добавить: «еда не подаётся, пока помощь не готова. В остальных случаях — самостоятельно». В v2 —</w:t>
      </w:r>
      <w:r>
        <w:t xml:space="preserve"> </w:t>
      </w:r>
      <w:r>
        <w:rPr>
          <w:b/>
          <w:bCs/>
        </w:rPr>
        <w:t xml:space="preserve">MINOR</w:t>
      </w:r>
      <w:r>
        <w:t xml:space="preserve">.</w:t>
      </w:r>
    </w:p>
    <w:bookmarkEnd w:id="12"/>
    <w:bookmarkStart w:id="13" w:name="X4a9975cfdf0f96e1435eb22cbbc18150cdb8041"/>
    <w:p>
      <w:pPr>
        <w:pStyle w:val="Heading3"/>
      </w:pPr>
      <w:r>
        <w:t xml:space="preserve">2.4. Невербальный выбор</w:t>
      </w:r>
    </w:p>
    <w:p>
      <w:pPr>
        <w:pStyle w:val="FirstParagraph"/>
      </w:pPr>
      <w:r>
        <w:rPr>
          <w:b/>
          <w:bCs/>
        </w:rPr>
        <w:t xml:space="preserve">Проверено в главе 15 и в разделе 6.2.</w:t>
      </w:r>
    </w:p>
    <w:p>
      <w:pPr>
        <w:pStyle w:val="Compact"/>
        <w:numPr>
          <w:ilvl w:val="0"/>
          <w:numId w:val="1002"/>
        </w:numPr>
      </w:pPr>
      <w:r>
        <w:t xml:space="preserve">✅ «Невербальный выбор» (авторский термин, в кавычках при первом употреблении).</w:t>
      </w:r>
    </w:p>
    <w:p>
      <w:pPr>
        <w:pStyle w:val="Compact"/>
        <w:numPr>
          <w:ilvl w:val="0"/>
          <w:numId w:val="1002"/>
        </w:numPr>
      </w:pPr>
      <w:r>
        <w:t xml:space="preserve">✅ «Выражение воли без слов» (альтернативная формулировка, эквивалентная).</w:t>
      </w:r>
    </w:p>
    <w:p>
      <w:pPr>
        <w:pStyle w:val="Compact"/>
        <w:numPr>
          <w:ilvl w:val="0"/>
          <w:numId w:val="1002"/>
        </w:numPr>
      </w:pPr>
      <w:r>
        <w:t xml:space="preserve">✅ «Показ двух порций, наблюдение за реакцией, пищевая биография» (три канала воли).</w:t>
      </w:r>
    </w:p>
    <w:p>
      <w:pPr>
        <w:pStyle w:val="Compact"/>
        <w:numPr>
          <w:ilvl w:val="0"/>
          <w:numId w:val="1002"/>
        </w:numPr>
      </w:pPr>
      <w:r>
        <w:t xml:space="preserve">✅ Ссылка на Замечание общего порядка № 1 к ст. 12 КПИ.</w:t>
      </w:r>
    </w:p>
    <w:p>
      <w:pPr>
        <w:pStyle w:val="FirstParagraph"/>
      </w:pPr>
      <w:r>
        <w:rPr>
          <w:b/>
          <w:bCs/>
        </w:rPr>
        <w:t xml:space="preserve">Замечание:</w:t>
      </w:r>
      <w:r>
        <w:t xml:space="preserve"> </w:t>
      </w:r>
      <w:r>
        <w:t xml:space="preserve">в v1.5 термин «невербальный выбор» — авторский и не общепринятый в клинической литературе.</w:t>
      </w:r>
      <w:r>
        <w:t xml:space="preserve"> </w:t>
      </w:r>
      <w:r>
        <w:rPr>
          <w:b/>
          <w:bCs/>
        </w:rPr>
        <w:t xml:space="preserve">Альтернативы:</w:t>
      </w:r>
      <w:r>
        <w:t xml:space="preserve"> </w:t>
      </w:r>
      <w:r>
        <w:t xml:space="preserve">«выражение воли без слов», «выражение воли невербальными средствами», «поддержанное выражение воли».</w:t>
      </w:r>
      <w:r>
        <w:t xml:space="preserve"> </w:t>
      </w:r>
      <w:r>
        <w:rPr>
          <w:b/>
          <w:bCs/>
        </w:rPr>
        <w:t xml:space="preserve">В v2 — оставить авторский термин, но добавить сноску: «Термин авторский. В международной практике используется „выражение воли без слов" (expression of will without words) или „поддержанное принятие решения" (supported decision-making)»</w:t>
      </w:r>
      <w:r>
        <w:t xml:space="preserve">.</w:t>
      </w:r>
    </w:p>
    <w:bookmarkEnd w:id="13"/>
    <w:bookmarkStart w:id="14" w:name="Xf73e23f8c988b574ae5ffd029bb749d0e2eeb4c"/>
    <w:p>
      <w:pPr>
        <w:pStyle w:val="Heading3"/>
      </w:pPr>
      <w:r>
        <w:t xml:space="preserve">2.5. Учреждение = опекун</w:t>
      </w:r>
    </w:p>
    <w:p>
      <w:pPr>
        <w:pStyle w:val="FirstParagraph"/>
      </w:pPr>
      <w:r>
        <w:rPr>
          <w:b/>
          <w:bCs/>
        </w:rPr>
        <w:t xml:space="preserve">Главный этический риск доклада.</w:t>
      </w:r>
      <w:r>
        <w:t xml:space="preserve"> </w:t>
      </w:r>
      <w:r>
        <w:t xml:space="preserve">В исходной редакции 17.12 это уже разобрано.</w:t>
      </w:r>
      <w:r>
        <w:t xml:space="preserve"> </w:t>
      </w:r>
      <w:r>
        <w:rPr>
          <w:b/>
          <w:bCs/>
        </w:rPr>
        <w:t xml:space="preserve">В новой редакции v2 это усилено</w:t>
      </w:r>
      <w:r>
        <w:t xml:space="preserve"> </w:t>
      </w:r>
      <w:r>
        <w:t xml:space="preserve">(см.</w:t>
      </w:r>
      <w:r>
        <w:t xml:space="preserve"> </w:t>
      </w:r>
      <w:r>
        <w:rPr>
          <w:rStyle w:val="VerbatimChar"/>
        </w:rPr>
        <w:t xml:space="preserve">02_фактчекинг/отчёт_о_фактчекинге.md</w:t>
      </w:r>
      <w:r>
        <w:t xml:space="preserve">, раздел 2.4): «99 % недееспособных жителей ПНИ находятся под опекой самого учреждения. Это значит, что учреждение одновременно является опекуном жителя и поставщиком услуг».</w:t>
      </w:r>
    </w:p>
    <w:p>
      <w:pPr>
        <w:pStyle w:val="BodyText"/>
      </w:pPr>
      <w:r>
        <w:rPr>
          <w:b/>
          <w:bCs/>
        </w:rPr>
        <w:t xml:space="preserve">В этическом плане:</w:t>
      </w:r>
      <w:r>
        <w:t xml:space="preserve"> </w:t>
      </w:r>
      <w:r>
        <w:t xml:space="preserve">это корректная подача.</w:t>
      </w:r>
      <w:r>
        <w:t xml:space="preserve"> </w:t>
      </w:r>
      <w:r>
        <w:rPr>
          <w:b/>
          <w:bCs/>
        </w:rPr>
        <w:t xml:space="preserve">Опасность</w:t>
      </w:r>
      <w:r>
        <w:t xml:space="preserve"> </w:t>
      </w:r>
      <w:r>
        <w:t xml:space="preserve">— в том, что</w:t>
      </w:r>
      <w:r>
        <w:t xml:space="preserve"> </w:t>
      </w:r>
      <w:r>
        <w:rPr>
          <w:b/>
          <w:bCs/>
        </w:rPr>
        <w:t xml:space="preserve">факт признаётся, но не решается</w:t>
      </w:r>
      <w:r>
        <w:t xml:space="preserve">. Решение — задокументированный процесс выражения воли (пищевая карта, журнал заказа, совет жителей).</w:t>
      </w:r>
      <w:r>
        <w:t xml:space="preserve"> </w:t>
      </w:r>
      <w:r>
        <w:rPr>
          <w:b/>
          <w:bCs/>
        </w:rPr>
        <w:t xml:space="preserve">В v2 это решено</w:t>
      </w:r>
      <w:r>
        <w:t xml:space="preserve"> </w:t>
      </w:r>
      <w:r>
        <w:t xml:space="preserve">(паспорт пилота 90 дней, пилот на одном отделении).</w:t>
      </w:r>
    </w:p>
    <w:bookmarkEnd w:id="14"/>
    <w:bookmarkStart w:id="15" w:name="Xe1d0374da86bceb20856c1f79df10647902cf43"/>
    <w:p>
      <w:pPr>
        <w:pStyle w:val="Heading3"/>
      </w:pPr>
      <w:r>
        <w:t xml:space="preserve">2.6. Стигматизация в кейсах</w:t>
      </w:r>
    </w:p>
    <w:p>
      <w:pPr>
        <w:pStyle w:val="FirstParagraph"/>
      </w:pPr>
      <w:r>
        <w:rPr>
          <w:b/>
          <w:bCs/>
        </w:rPr>
        <w:t xml:space="preserve">Проверено все 22 кейса (главы 5, 8.x, 25, + проект/cases/).</w:t>
      </w:r>
    </w:p>
    <w:p>
      <w:pPr>
        <w:pStyle w:val="Compact"/>
        <w:numPr>
          <w:ilvl w:val="0"/>
          <w:numId w:val="1003"/>
        </w:numPr>
      </w:pPr>
      <w:r>
        <w:t xml:space="preserve">✅ Каждый кейс начинается с дисклеймера «Учебный кейс, составленный для анализа» (раздел 5, раздел 5.4).</w:t>
      </w:r>
    </w:p>
    <w:p>
      <w:pPr>
        <w:pStyle w:val="Compact"/>
        <w:numPr>
          <w:ilvl w:val="0"/>
          <w:numId w:val="1003"/>
        </w:numPr>
      </w:pPr>
      <w:r>
        <w:t xml:space="preserve">✅ Имена заменены буквами: «житель С.», «житель К.», «житель П.».</w:t>
      </w:r>
    </w:p>
    <w:p>
      <w:pPr>
        <w:pStyle w:val="Compact"/>
        <w:numPr>
          <w:ilvl w:val="0"/>
          <w:numId w:val="1003"/>
        </w:numPr>
      </w:pPr>
      <w:r>
        <w:t xml:space="preserve">✅ Учреждения: «ДСО „Серафимовский"» (реальное, с разрешения автора), «Успенский ПНИ», «Болотнинский ПНИ» (с подтверждёнными публикациями), «Усть-Илимский ДСО» (опубликовано). «Тесовый берег» — со-модератор, упоминается по деловому контексту, не как кейс.</w:t>
      </w:r>
    </w:p>
    <w:p>
      <w:pPr>
        <w:pStyle w:val="Compact"/>
        <w:numPr>
          <w:ilvl w:val="0"/>
          <w:numId w:val="1003"/>
        </w:numPr>
      </w:pPr>
      <w:r>
        <w:t xml:space="preserve">✅ Конкретные лица не упоминаются.</w:t>
      </w:r>
    </w:p>
    <w:p>
      <w:pPr>
        <w:pStyle w:val="Compact"/>
        <w:numPr>
          <w:ilvl w:val="0"/>
          <w:numId w:val="1003"/>
        </w:numPr>
      </w:pPr>
      <w:r>
        <w:t xml:space="preserve">✅ Ситуации обезличены до уровня, на котором невозможно установить реального человека.</w:t>
      </w:r>
    </w:p>
    <w:p>
      <w:pPr>
        <w:pStyle w:val="FirstParagraph"/>
      </w:pPr>
      <w:r>
        <w:rPr>
          <w:b/>
          <w:bCs/>
        </w:rPr>
        <w:t xml:space="preserve">Замечание:</w:t>
      </w:r>
      <w:r>
        <w:t xml:space="preserve"> </w:t>
      </w:r>
      <w:r>
        <w:t xml:space="preserve">в исходном кейсе 5.1 «житель К. получает клозапин и с утра выпил две большие кружки крепкого кофе, который принесли родственники» — это</w:t>
      </w:r>
      <w:r>
        <w:t xml:space="preserve"> </w:t>
      </w:r>
      <w:r>
        <w:rPr>
          <w:b/>
          <w:bCs/>
        </w:rPr>
        <w:t xml:space="preserve">собирательный кейс</w:t>
      </w:r>
      <w:r>
        <w:t xml:space="preserve">, но ситуация правдоподобна. Проверка узнаваемости: ни в одной из публикаций Серафимовского или Тесового берега нет аналогичного случая с «родственниками, которые принесли кофе». Узнаваемость исключена.</w:t>
      </w:r>
    </w:p>
    <w:bookmarkEnd w:id="15"/>
    <w:bookmarkStart w:id="16" w:name="X5ab80189b6056212a5c742bbd4a23b70854551b"/>
    <w:p>
      <w:pPr>
        <w:pStyle w:val="Heading3"/>
      </w:pPr>
      <w:r>
        <w:t xml:space="preserve">2.7. Неподдержанное принятие решений</w:t>
      </w:r>
    </w:p>
    <w:p>
      <w:pPr>
        <w:pStyle w:val="FirstParagraph"/>
      </w:pPr>
      <w:r>
        <w:rPr>
          <w:b/>
          <w:bCs/>
        </w:rPr>
        <w:t xml:space="preserve">Проверено по всему тексту.</w:t>
      </w:r>
      <w:r>
        <w:t xml:space="preserve"> </w:t>
      </w:r>
      <w:r>
        <w:t xml:space="preserve">Сценарии, где</w:t>
      </w:r>
      <w:r>
        <w:t xml:space="preserve"> </w:t>
      </w:r>
      <w:r>
        <w:rPr>
          <w:b/>
          <w:bCs/>
        </w:rPr>
        <w:t xml:space="preserve">житель принимает решение сам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при поддержке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✅ 4.4 «Голос жителя — остатки на тарелках разбирают; есть хотя бы один канал пожеланий».</w:t>
      </w:r>
    </w:p>
    <w:p>
      <w:pPr>
        <w:pStyle w:val="Compact"/>
        <w:numPr>
          <w:ilvl w:val="0"/>
          <w:numId w:val="1004"/>
        </w:numPr>
      </w:pPr>
      <w:r>
        <w:t xml:space="preserve">✅ 6.3 «Маломобильные → подача под готовую помощь, контроль температуры» (помощь, не подмена).</w:t>
      </w:r>
    </w:p>
    <w:p>
      <w:pPr>
        <w:pStyle w:val="Compact"/>
        <w:numPr>
          <w:ilvl w:val="0"/>
          <w:numId w:val="1004"/>
        </w:numPr>
      </w:pPr>
      <w:r>
        <w:t xml:space="preserve">✅ Глава 15 «Невербальный выбор: как услышать того, кто не говорит» (центральная).</w:t>
      </w:r>
    </w:p>
    <w:p>
      <w:pPr>
        <w:pStyle w:val="Compact"/>
        <w:numPr>
          <w:ilvl w:val="0"/>
          <w:numId w:val="1004"/>
        </w:numPr>
      </w:pPr>
      <w:r>
        <w:t xml:space="preserve">✅ Глава 16 «Дееспособность, опека и выбор еды: карта решений» (12 вопрос-ответов).</w:t>
      </w:r>
    </w:p>
    <w:p>
      <w:pPr>
        <w:pStyle w:val="Compact"/>
        <w:numPr>
          <w:ilvl w:val="0"/>
          <w:numId w:val="1004"/>
        </w:numPr>
      </w:pPr>
      <w:r>
        <w:t xml:space="preserve">✅ Глава 34 «Права жителей и совет жителей: от объекта заботы к соавтору меню».</w:t>
      </w:r>
    </w:p>
    <w:p>
      <w:pPr>
        <w:pStyle w:val="FirstParagraph"/>
      </w:pPr>
      <w:r>
        <w:rPr>
          <w:b/>
          <w:bCs/>
        </w:rPr>
        <w:t xml:space="preserve">Сценарии, где житель НЕ принимает решение сам</w:t>
      </w:r>
      <w:r>
        <w:t xml:space="preserve"> </w:t>
      </w:r>
      <w:r>
        <w:t xml:space="preserve">(по медицинским показаниям):</w:t>
      </w:r>
    </w:p>
    <w:p>
      <w:pPr>
        <w:pStyle w:val="Compact"/>
        <w:numPr>
          <w:ilvl w:val="0"/>
          <w:numId w:val="1005"/>
        </w:numPr>
      </w:pPr>
      <w:r>
        <w:t xml:space="preserve">✅ Глава 11 «Лекарства и еда» — врач оценивает и документирует.</w:t>
      </w:r>
    </w:p>
    <w:p>
      <w:pPr>
        <w:pStyle w:val="Compact"/>
        <w:numPr>
          <w:ilvl w:val="0"/>
          <w:numId w:val="1005"/>
        </w:numPr>
      </w:pPr>
      <w:r>
        <w:t xml:space="preserve">✅ Глава 10 «Дисфагия и аспирационный риск» — текстура по назначению.</w:t>
      </w:r>
    </w:p>
    <w:p>
      <w:pPr>
        <w:pStyle w:val="Compact"/>
        <w:numPr>
          <w:ilvl w:val="0"/>
          <w:numId w:val="1005"/>
        </w:numPr>
      </w:pPr>
      <w:r>
        <w:t xml:space="preserve">✅ Глава 12 «Отказ от еды» — три отказа → врач.</w:t>
      </w:r>
    </w:p>
    <w:p>
      <w:pPr>
        <w:pStyle w:val="Compact"/>
        <w:numPr>
          <w:ilvl w:val="0"/>
          <w:numId w:val="1005"/>
        </w:numPr>
      </w:pPr>
      <w:r>
        <w:t xml:space="preserve">✅ Глава 13 «Гиперфагия и ночное едение» — структурированная доступность.</w:t>
      </w:r>
    </w:p>
    <w:p>
      <w:pPr>
        <w:pStyle w:val="FirstParagraph"/>
      </w:pPr>
      <w:r>
        <w:rPr>
          <w:b/>
          <w:bCs/>
        </w:rPr>
        <w:t xml:space="preserve">Замечание:</w:t>
      </w:r>
      <w:r>
        <w:t xml:space="preserve"> </w:t>
      </w:r>
      <w:r>
        <w:t xml:space="preserve">формулировки</w:t>
      </w:r>
      <w:r>
        <w:t xml:space="preserve"> </w:t>
      </w:r>
      <w:r>
        <w:rPr>
          <w:b/>
          <w:bCs/>
        </w:rPr>
        <w:t xml:space="preserve">не смешивают</w:t>
      </w:r>
      <w:r>
        <w:t xml:space="preserve"> </w:t>
      </w:r>
      <w:r>
        <w:t xml:space="preserve">«житель не может выбрать» (каприз) с «жителю нужна помощь в выборе» (поддержка). Это</w:t>
      </w:r>
      <w:r>
        <w:t xml:space="preserve"> </w:t>
      </w:r>
      <w:r>
        <w:rPr>
          <w:b/>
          <w:bCs/>
        </w:rPr>
        <w:t xml:space="preserve">главное этическое достижение исходного доклада</w:t>
      </w:r>
      <w:r>
        <w:t xml:space="preserve">.</w:t>
      </w:r>
    </w:p>
    <w:bookmarkEnd w:id="16"/>
    <w:bookmarkStart w:id="17" w:name="X92ee080e938d8d2200f1c94b13c65c5824a25e4"/>
    <w:p>
      <w:pPr>
        <w:pStyle w:val="Heading3"/>
      </w:pPr>
      <w:r>
        <w:t xml:space="preserve">2.8. Словарь предпочтительных формулировок (для новой редакции v2)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Общее</w:t>
            </w:r>
          </w:p>
        </w:tc>
        <w:tc>
          <w:tcPr/>
          <w:p>
            <w:pPr>
              <w:pStyle w:val="Compact"/>
            </w:pPr>
            <w:r>
              <w:t xml:space="preserve">«больной», «пациент» (в соц. контексте)</w:t>
            </w:r>
          </w:p>
        </w:tc>
        <w:tc>
          <w:tcPr/>
          <w:p>
            <w:pPr>
              <w:pStyle w:val="Compact"/>
            </w:pPr>
            <w:r>
              <w:t xml:space="preserve">«житель», «проживающий»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Диагноз</w:t>
            </w:r>
          </w:p>
        </w:tc>
        <w:tc>
          <w:tcPr/>
          <w:p>
            <w:pPr>
              <w:pStyle w:val="Compact"/>
            </w:pPr>
            <w:r>
              <w:t xml:space="preserve">«шизофреник», «псих»</w:t>
            </w:r>
          </w:p>
        </w:tc>
        <w:tc>
          <w:tcPr/>
          <w:p>
            <w:pPr>
              <w:pStyle w:val="Compact"/>
            </w:pPr>
            <w:r>
              <w:t xml:space="preserve">«человек с шизофренией», «человек с психическим расстройством»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Дисфагия</w:t>
            </w:r>
          </w:p>
        </w:tc>
        <w:tc>
          <w:tcPr/>
          <w:p>
            <w:pPr>
              <w:pStyle w:val="Compact"/>
            </w:pPr>
            <w:r>
              <w:t xml:space="preserve">«дисфагический больной»</w:t>
            </w:r>
          </w:p>
        </w:tc>
        <w:tc>
          <w:tcPr/>
          <w:p>
            <w:pPr>
              <w:pStyle w:val="Compact"/>
            </w:pPr>
            <w:r>
              <w:t xml:space="preserve">«человек с дисфагией», «житель с расстройством глотания»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Умственная отсталость</w:t>
            </w:r>
          </w:p>
        </w:tc>
        <w:tc>
          <w:tcPr/>
          <w:p>
            <w:pPr>
              <w:pStyle w:val="Compact"/>
            </w:pPr>
            <w:r>
              <w:t xml:space="preserve">«умственно отсталый»</w:t>
            </w:r>
          </w:p>
        </w:tc>
        <w:tc>
          <w:tcPr/>
          <w:p>
            <w:pPr>
              <w:pStyle w:val="Compact"/>
            </w:pPr>
            <w:r>
              <w:t xml:space="preserve">«человек с умственной отсталостью»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Помощник</w:t>
            </w:r>
          </w:p>
        </w:tc>
        <w:tc>
          <w:tcPr/>
          <w:p>
            <w:pPr>
              <w:pStyle w:val="Compact"/>
            </w:pPr>
            <w:r>
              <w:t xml:space="preserve">«сиделка», «санитарка»</w:t>
            </w:r>
          </w:p>
        </w:tc>
        <w:tc>
          <w:tcPr/>
          <w:p>
            <w:pPr>
              <w:pStyle w:val="Compact"/>
            </w:pPr>
            <w:r>
              <w:t xml:space="preserve">«помощник по уходу» (профстандарт Минтруда)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Выбор без слов</w:t>
            </w:r>
          </w:p>
        </w:tc>
        <w:tc>
          <w:tcPr/>
          <w:p>
            <w:pPr>
              <w:pStyle w:val="Compact"/>
            </w:pPr>
            <w:r>
              <w:t xml:space="preserve">(отсутствует общепринятый)</w:t>
            </w:r>
          </w:p>
        </w:tc>
        <w:tc>
          <w:tcPr/>
          <w:p>
            <w:pPr>
              <w:pStyle w:val="Compact"/>
            </w:pPr>
            <w:r>
              <w:t xml:space="preserve">«выражение воли без слов» / «невербальный выбор» (авторский)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</w:pPr>
            <w:r>
              <w:t xml:space="preserve">«решение за недееспособного»</w:t>
            </w:r>
          </w:p>
        </w:tc>
        <w:tc>
          <w:tcPr/>
          <w:p>
            <w:pPr>
              <w:pStyle w:val="Compact"/>
            </w:pPr>
            <w:r>
              <w:t xml:space="preserve">«поддержка принятия решения» / «содействие реализации воли»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Опека</w:t>
            </w:r>
          </w:p>
        </w:tc>
        <w:tc>
          <w:tcPr/>
          <w:p>
            <w:pPr>
              <w:pStyle w:val="Compact"/>
            </w:pPr>
            <w:r>
              <w:t xml:space="preserve">«опекаемый» (вне юридического контекста)</w:t>
            </w:r>
          </w:p>
        </w:tc>
        <w:tc>
          <w:tcPr/>
          <w:p>
            <w:pPr>
              <w:pStyle w:val="Compact"/>
            </w:pPr>
            <w:r>
              <w:t xml:space="preserve">«житель под опекой учреждения»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Учреждение = опекун</w:t>
            </w:r>
          </w:p>
        </w:tc>
        <w:tc>
          <w:tcPr/>
          <w:p>
            <w:pPr>
              <w:pStyle w:val="Compact"/>
            </w:pPr>
            <w:r>
              <w:t xml:space="preserve">«учреждение само решает»</w:t>
            </w:r>
          </w:p>
        </w:tc>
        <w:tc>
          <w:tcPr/>
          <w:p>
            <w:pPr>
              <w:pStyle w:val="Compact"/>
            </w:pPr>
            <w:r>
              <w:t xml:space="preserve">«учреждение — опекун и поставщик; конфликт интересов признаётся, процесс выражения воли документируется»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Отказ от еды</w:t>
            </w:r>
          </w:p>
        </w:tc>
        <w:tc>
          <w:tcPr/>
          <w:p>
            <w:pPr>
              <w:pStyle w:val="Compact"/>
            </w:pPr>
            <w:r>
              <w:t xml:space="preserve">«каприз», «отказник»</w:t>
            </w:r>
          </w:p>
        </w:tc>
        <w:tc>
          <w:tcPr/>
          <w:p>
            <w:pPr>
              <w:pStyle w:val="Compact"/>
            </w:pPr>
            <w:r>
              <w:t xml:space="preserve">«отказ от еды», «длительный отказ» (как клиническое явление)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Помощь</w:t>
            </w:r>
          </w:p>
        </w:tc>
        <w:tc>
          <w:tcPr/>
          <w:p>
            <w:pPr>
              <w:pStyle w:val="Compact"/>
            </w:pPr>
            <w:r>
              <w:t xml:space="preserve">«обслуживание»</w:t>
            </w:r>
          </w:p>
        </w:tc>
        <w:tc>
          <w:tcPr/>
          <w:p>
            <w:pPr>
              <w:pStyle w:val="Compact"/>
            </w:pPr>
            <w:r>
              <w:t xml:space="preserve">«помощь по уходу» / «сопровождение»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Подача</w:t>
            </w:r>
          </w:p>
        </w:tc>
        <w:tc>
          <w:tcPr/>
          <w:p>
            <w:pPr>
              <w:pStyle w:val="Compact"/>
            </w:pPr>
            <w:r>
              <w:t xml:space="preserve">«раздача» (только технический)</w:t>
            </w:r>
          </w:p>
        </w:tc>
        <w:tc>
          <w:tcPr/>
          <w:p>
            <w:pPr>
              <w:pStyle w:val="Compact"/>
            </w:pPr>
            <w:r>
              <w:t xml:space="preserve">«подача» / «сервировка» / «приём пищи»</w:t>
            </w:r>
          </w:p>
        </w:tc>
      </w:tr>
    </w:tbl>
    <w:bookmarkEnd w:id="17"/>
    <w:bookmarkStart w:id="18" w:name="X9754105875dc2b6919b1337c75fcfd0e6258941"/>
    <w:p>
      <w:pPr>
        <w:pStyle w:val="Heading3"/>
      </w:pPr>
      <w:r>
        <w:t xml:space="preserve">2.9. Замечания по главам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Глава</w:t>
            </w:r>
          </w:p>
        </w:tc>
        <w:tc>
          <w:tcPr/>
          <w:p>
            <w:pPr>
              <w:pStyle w:val="Compact"/>
            </w:pPr>
            <w:r>
              <w:t xml:space="preserve">Замечание</w:t>
            </w:r>
          </w:p>
        </w:tc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(Обращение)</w:t>
            </w:r>
          </w:p>
        </w:tc>
        <w:tc>
          <w:tcPr/>
          <w:p>
            <w:pPr>
              <w:pStyle w:val="Compact"/>
            </w:pPr>
            <w:r>
              <w:t xml:space="preserve">«пять конфликтов — пять отступлений от системы» — отлично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(Собирательный кейс)</w:t>
            </w:r>
          </w:p>
        </w:tc>
        <w:tc>
          <w:tcPr/>
          <w:p>
            <w:pPr>
              <w:pStyle w:val="Compact"/>
            </w:pPr>
            <w:r>
              <w:t xml:space="preserve">«Все персонажи и совпадения вымышлены» — отлично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(Контингент)</w:t>
            </w:r>
          </w:p>
        </w:tc>
        <w:tc>
          <w:tcPr/>
          <w:p>
            <w:pPr>
              <w:pStyle w:val="Compact"/>
            </w:pPr>
            <w:r>
              <w:t xml:space="preserve">«самостоятельные, стабильные» — не стигматизирует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(Шесть измерений)</w:t>
            </w:r>
          </w:p>
        </w:tc>
        <w:tc>
          <w:tcPr/>
          <w:p>
            <w:pPr>
              <w:pStyle w:val="Compact"/>
            </w:pPr>
            <w:r>
              <w:t xml:space="preserve">«вкус, температура, разнообразие» — уважительно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(Лестница моделей)</w:t>
            </w:r>
          </w:p>
        </w:tc>
        <w:tc>
          <w:tcPr/>
          <w:p>
            <w:pPr>
              <w:pStyle w:val="Compact"/>
            </w:pPr>
            <w:r>
              <w:t xml:space="preserve">«ресторанный день» — как компромисс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(Поведение)</w:t>
            </w:r>
          </w:p>
        </w:tc>
        <w:tc>
          <w:tcPr/>
          <w:p>
            <w:pPr>
              <w:pStyle w:val="Compact"/>
            </w:pPr>
            <w:r>
              <w:t xml:space="preserve">«не каприз, а возможная гиперфагия» — отлично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(Дисфагия)</w:t>
            </w:r>
          </w:p>
        </w:tc>
        <w:tc>
          <w:tcPr/>
          <w:p>
            <w:pPr>
              <w:pStyle w:val="Compact"/>
            </w:pPr>
            <w:r>
              <w:t xml:space="preserve">«IDDSI — терминология, не лечебный протокол»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(Лекарства)</w:t>
            </w:r>
          </w:p>
        </w:tc>
        <w:tc>
          <w:tcPr/>
          <w:p>
            <w:pPr>
              <w:pStyle w:val="Compact"/>
            </w:pPr>
            <w:r>
              <w:t xml:space="preserve">«кухня не отменяет кофе» — отлично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(Отказ)</w:t>
            </w:r>
          </w:p>
        </w:tc>
        <w:tc>
          <w:tcPr/>
          <w:p>
            <w:pPr>
              <w:pStyle w:val="Compact"/>
            </w:pPr>
            <w:r>
              <w:t xml:space="preserve">«3 отказа → врач» — правило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(Гиперфагия)</w:t>
            </w:r>
          </w:p>
        </w:tc>
        <w:tc>
          <w:tcPr/>
          <w:p>
            <w:pPr>
              <w:pStyle w:val="Compact"/>
            </w:pPr>
            <w:r>
              <w:t xml:space="preserve">«метаболический синдром, без самодеятельных диет»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(Пикацизм)</w:t>
            </w:r>
          </w:p>
        </w:tc>
        <w:tc>
          <w:tcPr/>
          <w:p>
            <w:pPr>
              <w:pStyle w:val="Compact"/>
            </w:pPr>
            <w:r>
              <w:t xml:space="preserve">защитные меры, не запреты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(Невербальный выбор)</w:t>
            </w:r>
          </w:p>
        </w:tc>
        <w:tc>
          <w:tcPr/>
          <w:p>
            <w:pPr>
              <w:pStyle w:val="Compact"/>
            </w:pPr>
            <w:r>
              <w:t xml:space="preserve">требует сноски (см. 2.4)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Сноска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(Дееспособность)</w:t>
            </w:r>
          </w:p>
        </w:tc>
        <w:tc>
          <w:tcPr/>
          <w:p>
            <w:pPr>
              <w:pStyle w:val="Compact"/>
            </w:pPr>
            <w:r>
              <w:t xml:space="preserve">12 карт решений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 (Право)</w:t>
            </w:r>
          </w:p>
        </w:tc>
        <w:tc>
          <w:tcPr/>
          <w:p>
            <w:pPr>
              <w:pStyle w:val="Compact"/>
            </w:pPr>
            <w:r>
              <w:t xml:space="preserve">6 вопросов дискуссии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 (Санитария)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 (Меню)</w:t>
            </w:r>
          </w:p>
        </w:tc>
        <w:tc>
          <w:tcPr/>
          <w:p>
            <w:pPr>
              <w:pStyle w:val="Compact"/>
            </w:pPr>
            <w:r>
              <w:t xml:space="preserve">«пары эквивалентов» — авторский термин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(Раздача)</w:t>
            </w:r>
          </w:p>
        </w:tc>
        <w:tc>
          <w:tcPr/>
          <w:p>
            <w:pPr>
              <w:pStyle w:val="Compact"/>
            </w:pPr>
            <w:r>
              <w:t xml:space="preserve">«медленный темп, без спешки»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 (Аудит)</w:t>
            </w:r>
          </w:p>
        </w:tc>
        <w:tc>
          <w:tcPr/>
          <w:p>
            <w:pPr>
              <w:pStyle w:val="Compact"/>
            </w:pPr>
            <w:r>
              <w:t xml:space="preserve">«5 групп показателей»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(Практики)</w:t>
            </w:r>
          </w:p>
        </w:tc>
        <w:tc>
          <w:tcPr/>
          <w:p>
            <w:pPr>
              <w:pStyle w:val="Compact"/>
            </w:pPr>
            <w:r>
              <w:t xml:space="preserve">все 5 кейсов — публичные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 (Международный)</w:t>
            </w:r>
          </w:p>
        </w:tc>
        <w:tc>
          <w:tcPr/>
          <w:p>
            <w:pPr>
              <w:pStyle w:val="Compact"/>
            </w:pPr>
            <w:r>
              <w:t xml:space="preserve">«не норма в РФ, а ориентир»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 (Документы)</w:t>
            </w:r>
          </w:p>
        </w:tc>
        <w:tc>
          <w:tcPr/>
          <w:p>
            <w:pPr>
              <w:pStyle w:val="Compact"/>
            </w:pPr>
            <w:r>
              <w:t xml:space="preserve">«комплект для проверяющего»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 (Проверяющий)</w:t>
            </w:r>
          </w:p>
        </w:tc>
        <w:tc>
          <w:tcPr/>
          <w:p>
            <w:pPr>
              <w:pStyle w:val="Compact"/>
            </w:pPr>
            <w:r>
              <w:t xml:space="preserve">«комплект, не формула запрета нет»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 (Ответственность)</w:t>
            </w:r>
          </w:p>
        </w:tc>
        <w:tc>
          <w:tcPr/>
          <w:p>
            <w:pPr>
              <w:pStyle w:val="Compact"/>
            </w:pPr>
            <w:r>
              <w:t xml:space="preserve">«система контроля, не каждое событие»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 (Совет жителей)</w:t>
            </w:r>
          </w:p>
        </w:tc>
        <w:tc>
          <w:tcPr/>
          <w:p>
            <w:pPr>
              <w:pStyle w:val="Compact"/>
            </w:pPr>
            <w:r>
              <w:t xml:space="preserve">«соавтор меню»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 (Пилот)</w:t>
            </w:r>
          </w:p>
        </w:tc>
        <w:tc>
          <w:tcPr/>
          <w:p>
            <w:pPr>
              <w:pStyle w:val="Compact"/>
            </w:pPr>
            <w:r>
              <w:t xml:space="preserve">«измеримая гипотеза»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 (Дорожная карта)</w:t>
            </w:r>
          </w:p>
        </w:tc>
        <w:tc>
          <w:tcPr/>
          <w:p>
            <w:pPr>
              <w:pStyle w:val="Compact"/>
            </w:pPr>
            <w:r>
              <w:t xml:space="preserve">«от пилота к системе»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 (Возражения)</w:t>
            </w:r>
          </w:p>
        </w:tc>
        <w:tc>
          <w:tcPr/>
          <w:p>
            <w:pPr>
              <w:pStyle w:val="Compact"/>
            </w:pPr>
            <w:r>
              <w:t xml:space="preserve">«честные ответы»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 (Достоверность)</w:t>
            </w:r>
          </w:p>
        </w:tc>
        <w:tc>
          <w:tcPr/>
          <w:p>
            <w:pPr>
              <w:pStyle w:val="Compact"/>
            </w:pPr>
            <w:r>
              <w:t xml:space="preserve">«заявление о достоверности»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 (Заключение)</w:t>
            </w:r>
          </w:p>
        </w:tc>
        <w:tc>
          <w:tcPr/>
          <w:p>
            <w:pPr>
              <w:pStyle w:val="Compact"/>
            </w:pPr>
            <w:r>
              <w:t xml:space="preserve">«право выбора доходит до тарелки»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8"/>
    <w:bookmarkStart w:id="19" w:name="Xb0bdf8abb85cd3bb569c5784b160696d97d9ba8"/>
    <w:p>
      <w:pPr>
        <w:pStyle w:val="Heading3"/>
      </w:pPr>
      <w:r>
        <w:t xml:space="preserve">2.10. Языковая доступность</w:t>
      </w:r>
    </w:p>
    <w:p>
      <w:pPr>
        <w:pStyle w:val="FirstParagraph"/>
      </w:pPr>
      <w:r>
        <w:rPr>
          <w:b/>
          <w:bCs/>
        </w:rPr>
        <w:t xml:space="preserve">Проверено по критериям easy-read:</w:t>
      </w:r>
    </w:p>
    <w:p>
      <w:pPr>
        <w:pStyle w:val="Compact"/>
        <w:numPr>
          <w:ilvl w:val="0"/>
          <w:numId w:val="1006"/>
        </w:numPr>
      </w:pPr>
      <w:r>
        <w:t xml:space="preserve">✅ Предложения преимущественно короткие (средняя длина 15–20 слов).</w:t>
      </w:r>
    </w:p>
    <w:p>
      <w:pPr>
        <w:pStyle w:val="Compact"/>
        <w:numPr>
          <w:ilvl w:val="0"/>
          <w:numId w:val="1006"/>
        </w:numPr>
      </w:pPr>
      <w:r>
        <w:t xml:space="preserve">✅ Аббревиатуры расшифрованы при первом употреблении.</w:t>
      </w:r>
    </w:p>
    <w:p>
      <w:pPr>
        <w:pStyle w:val="Compact"/>
        <w:numPr>
          <w:ilvl w:val="0"/>
          <w:numId w:val="1006"/>
        </w:numPr>
      </w:pPr>
      <w:r>
        <w:t xml:space="preserve">⚠️ Сложные термины (например, «метаболический синдром», «экстрапирамидные нарушения») —</w:t>
      </w:r>
      <w:r>
        <w:t xml:space="preserve"> </w:t>
      </w:r>
      <w:r>
        <w:rPr>
          <w:b/>
          <w:bCs/>
        </w:rPr>
        <w:t xml:space="preserve">только в клинических главах</w:t>
      </w:r>
      <w:r>
        <w:t xml:space="preserve">, не в управленческом тексте.</w:t>
      </w:r>
    </w:p>
    <w:p>
      <w:pPr>
        <w:pStyle w:val="Compact"/>
        <w:numPr>
          <w:ilvl w:val="0"/>
          <w:numId w:val="1006"/>
        </w:numPr>
      </w:pPr>
      <w:r>
        <w:t xml:space="preserve">✅ Управленческое резюме (новая редакция v2) — на языке директора, без жаргона.</w:t>
      </w:r>
    </w:p>
    <w:p>
      <w:pPr>
        <w:pStyle w:val="Compact"/>
        <w:numPr>
          <w:ilvl w:val="0"/>
          <w:numId w:val="1006"/>
        </w:numPr>
      </w:pPr>
      <w:r>
        <w:t xml:space="preserve">⚠️ «Нестигматизирующий язык» — в основном соблюдается, но в паре мест (см. 2.2) можно улучшить.</w:t>
      </w:r>
    </w:p>
    <w:bookmarkEnd w:id="19"/>
    <w:bookmarkStart w:id="20" w:name="X558db624a8ebf6632aa9011efcad9286b78e47e"/>
    <w:p>
      <w:pPr>
        <w:pStyle w:val="Heading3"/>
      </w:pPr>
      <w:r>
        <w:t xml:space="preserve">2.11. Итог</w:t>
      </w:r>
    </w:p>
    <w:p>
      <w:pPr>
        <w:pStyle w:val="FirstParagraph"/>
      </w:pPr>
      <w:r>
        <w:rPr>
          <w:b/>
          <w:bCs/>
        </w:rPr>
        <w:t xml:space="preserve">Этический уровень исходного доклада v1.5 + фактчекинг 22.08.2026 — высокий.</w:t>
      </w:r>
      <w:r>
        <w:t xml:space="preserve"> </w:t>
      </w:r>
      <w:r>
        <w:t xml:space="preserve">14 из 14 проверенных критериев этики и языка выполнены.</w:t>
      </w:r>
      <w:r>
        <w:t xml:space="preserve"> </w:t>
      </w:r>
      <w:r>
        <w:rPr>
          <w:b/>
          <w:bCs/>
        </w:rPr>
        <w:t xml:space="preserve">2 мягких замечания</w:t>
      </w:r>
      <w:r>
        <w:t xml:space="preserve"> </w:t>
      </w:r>
      <w:r>
        <w:t xml:space="preserve">(патерналистские формулировки P-1, P-2) и</w:t>
      </w:r>
      <w:r>
        <w:t xml:space="preserve"> </w:t>
      </w:r>
      <w:r>
        <w:rPr>
          <w:b/>
          <w:bCs/>
        </w:rPr>
        <w:t xml:space="preserve">1 историческое</w:t>
      </w:r>
      <w:r>
        <w:t xml:space="preserve"> </w:t>
      </w:r>
      <w:r>
        <w:t xml:space="preserve">(W-1) — исправлены в новой редакции v2.</w:t>
      </w:r>
    </w:p>
    <w:p>
      <w:pPr>
        <w:pStyle w:val="BodyText"/>
      </w:pPr>
      <w:r>
        <w:rPr>
          <w:b/>
          <w:bCs/>
        </w:rPr>
        <w:t xml:space="preserve">Главные этические достижения доклада (сохраняются в v2):</w:t>
      </w:r>
    </w:p>
    <w:p>
      <w:pPr>
        <w:pStyle w:val="Compact"/>
        <w:numPr>
          <w:ilvl w:val="0"/>
          <w:numId w:val="1007"/>
        </w:numPr>
      </w:pPr>
      <w:r>
        <w:t xml:space="preserve">Граница 4.0 — что кухня не назначает (снимает «медицинскую реформу руками повара»).</w:t>
      </w:r>
    </w:p>
    <w:p>
      <w:pPr>
        <w:pStyle w:val="Compact"/>
        <w:numPr>
          <w:ilvl w:val="0"/>
          <w:numId w:val="1007"/>
        </w:numPr>
      </w:pPr>
      <w:r>
        <w:t xml:space="preserve">99 % недееспособных под опекой самого учреждения — факт признаётся.</w:t>
      </w:r>
    </w:p>
    <w:p>
      <w:pPr>
        <w:pStyle w:val="Compact"/>
        <w:numPr>
          <w:ilvl w:val="0"/>
          <w:numId w:val="1007"/>
        </w:numPr>
      </w:pPr>
      <w:r>
        <w:t xml:space="preserve">Глава 15 «Невербальный выбор» — поддержанное, не замещающее принятие решений.</w:t>
      </w:r>
    </w:p>
    <w:p>
      <w:pPr>
        <w:pStyle w:val="Compact"/>
        <w:numPr>
          <w:ilvl w:val="0"/>
          <w:numId w:val="1007"/>
        </w:numPr>
      </w:pPr>
      <w:r>
        <w:t xml:space="preserve">Глава 34 «Совет жителей: от объекта заботы к соавтору меню» — соавторство.</w:t>
      </w:r>
    </w:p>
    <w:p>
      <w:pPr>
        <w:pStyle w:val="Compact"/>
        <w:numPr>
          <w:ilvl w:val="0"/>
          <w:numId w:val="1007"/>
        </w:numPr>
      </w:pPr>
      <w:r>
        <w:t xml:space="preserve">«% выбравших — не KPI» — уважение к стандартному выбору.</w:t>
      </w:r>
    </w:p>
    <w:p>
      <w:pPr>
        <w:pStyle w:val="Compact"/>
        <w:numPr>
          <w:ilvl w:val="0"/>
          <w:numId w:val="1007"/>
        </w:numPr>
      </w:pPr>
      <w:r>
        <w:t xml:space="preserve">«Последнее слово — не „внедряйте", а „измеряйте"» — осторожность.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c31ab47647b02c729d9c6e1b87026eb9e3362ac"/>
    <w:p>
      <w:pPr>
        <w:pStyle w:val="Heading2"/>
      </w:pPr>
      <w:r>
        <w:t xml:space="preserve">3. Словарь предпочтительных формулировок (полная версия)</w:t>
      </w:r>
    </w:p>
    <w:p>
      <w:pPr>
        <w:pStyle w:val="FirstParagraph"/>
      </w:pPr>
      <w:r>
        <w:t xml:space="preserve">См.</w:t>
      </w:r>
      <w:r>
        <w:t xml:space="preserve"> </w:t>
      </w:r>
      <w:r>
        <w:rPr>
          <w:rStyle w:val="VerbatimChar"/>
        </w:rPr>
        <w:t xml:space="preserve">11_этика/словарь_предпочтительных_формулировок.md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Применяется:</w:t>
      </w:r>
      <w:r>
        <w:t xml:space="preserve"> </w:t>
      </w:r>
      <w:r>
        <w:t xml:space="preserve">в новой редакции v2 и в производных форматах.</w:t>
      </w:r>
      <w:r>
        <w:t xml:space="preserve"> </w:t>
      </w:r>
      <w:r>
        <w:rPr>
          <w:b/>
          <w:bCs/>
        </w:rPr>
        <w:t xml:space="preserve">Правовая база:</w:t>
      </w:r>
      <w:r>
        <w:t xml:space="preserve"> </w:t>
      </w:r>
      <w:r>
        <w:t xml:space="preserve">3185-1 ст. 5, 442-ФЗ ст. 9, КПИ ст. 12 и Замечание общего порядка № 1 (2014).</w:t>
      </w:r>
      <w:r>
        <w:t xml:space="preserve"> </w:t>
      </w:r>
      <w:r>
        <w:rPr>
          <w:b/>
          <w:bCs/>
        </w:rPr>
        <w:t xml:space="preserve">Изменения после 22.08.2026 требуют перепроверки.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Этическая рецензия</dc:title>
  <dc:creator>Редакционная группа</dc:creator>
  <dc:language>ru</dc:language>
  <cp:keywords/>
  <dcterms:created xsi:type="dcterms:W3CDTF">2026-08-22T08:50:36Z</dcterms:created>
  <dcterms:modified xsi:type="dcterms:W3CDTF">2026-08-22T08:50:36Z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