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четыре учреждения, трое из которых представлены в этом зале (включая дом докладчика), публично рассказали о вариативном меню</w:t>
      </w:r>
      <w:r>
        <w:t xml:space="preserve">4</w:t>
      </w:r>
      <w:r>
        <w:t xml:space="preserve">5</w:t>
      </w:r>
      <w:r>
        <w:t xml:space="preserve">6</w:t>
      </w:r>
      <w:r>
        <w:t xml:space="preserve">7</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8</w:t>
      </w:r>
      <w:r>
        <w:t xml:space="preserve">9</w:t>
      </w:r>
      <w:r>
        <w:t xml:space="preserve">10</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на одном отделении это реалистично без новых денег (модель Новосибирской области); полный переход может потребовать оборудования и ставок, и это тоже уже сказано публично</w:t>
      </w:r>
      <w:r>
        <w:t xml:space="preserve">7</w:t>
      </w:r>
      <w:r>
        <w:t xml:space="preserve">.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четыре,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32 проверенных российских правовых и практических источника, 48 клинических публикаций и 44 международных нормативных и исследовательских источника — 124 позиции в трёх реестрах. Подтверждены четыре российские публичные практики вариативного меню в ПНИ и ДСО (Новосибирская и Иркутская области, Санкт-Петербург, 2024–2025 годы), что снимает с темы статус эксперимента.</w:t>
      </w:r>
    </w:p>
    <w:p>
      <w:pPr>
        <w:pStyle w:val="BodyText"/>
      </w:pPr>
      <w:r>
        <w:t xml:space="preserve">Структура: 44 раздела, объединённые в девять частей, — от клинических особенностей и правовой рамки до финансовых моделей, ответственности, пилота, аутсорсинга и дорожной карты; 22 учебных кейса с разборами; 45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(июль–август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11</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12</w:t>
      </w:r>
      <w:r>
        <w:t xml:space="preserve">13</w:t>
      </w:r>
      <w:r>
        <w:t xml:space="preserve">. В 2024–2025 годах минимум четыре учреждения (два ПНИ Новосибирской области, ДСО Иркутской области, ДСО «Серафимовский» в Санкт-Петербурге)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7</w:t>
      </w:r>
      <w:r>
        <w:t xml:space="preserve">14</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10</w:t>
      </w:r>
      <w:r>
        <w:t xml:space="preserve">; дисфагия при психических расстройствах встречается у 21,9–69,5 % проживающих по разным исследованиям</w:t>
      </w:r>
      <w:r>
        <w:t xml:space="preserve">15</w:t>
      </w:r>
      <w:r>
        <w:t xml:space="preserve">; смертность от пневмонии при тяжёлых психических расстройствах в семь раз выше популяционной</w:t>
      </w:r>
      <w:r>
        <w:t xml:space="preserve">8</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16</w:t>
      </w:r>
      <w:r>
        <w:t xml:space="preserve">17</w:t>
      </w:r>
      <w:r>
        <w:t xml:space="preserve">18</w:t>
      </w:r>
      <w:r>
        <w:t xml:space="preserve">19</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20</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21</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11</w:t>
      </w:r>
      <w:r>
        <w:t xml:space="preserve">22</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Новосибирской области)</w:t>
      </w:r>
      <w:r>
        <w:t xml:space="preserve">4</w:t>
      </w:r>
      <w:r>
        <w:t xml:space="preserve">5</w:t>
      </w:r>
      <w:r>
        <w:t xml:space="preserve">. «Без новой сметы» не значит «без затрат»: полный переход на весь дом может потребовать оборудования и ставок — это публично назвал петербургский кейс</w:t>
      </w:r>
      <w:r>
        <w:t xml:space="preserve">7</w:t>
      </w:r>
      <w:r>
        <w:t xml:space="preserve">. Раздел 35.</w:t>
      </w:r>
    </w:p>
    <w:p>
      <w:pPr>
        <w:pStyle w:val="BodyText"/>
      </w:pPr>
      <w:r>
        <w:rPr>
          <w:b/>
          <w:bCs/>
        </w:rPr>
        <w:t xml:space="preserve">Вывод 11. Шесть вопросов дискуссии 26.08 — ключевая развилка зала.</w:t>
      </w:r>
      <w:r>
        <w:t xml:space="preserve"> </w:t>
      </w:r>
      <w:r>
        <w:t xml:space="preserve">На дискуссии 26.08 (14.00–15.30, площадка № 2 ДСО «Тесовый берег»,</w:t>
      </w:r>
      <w:r>
        <w:t xml:space="preserve"> </w:t>
      </w:r>
      <w:r>
        <w:rPr>
          <w:b/>
          <w:bCs/>
        </w:rPr>
        <w:t xml:space="preserve">эксперты</w:t>
      </w:r>
      <w:r>
        <w:t xml:space="preserve"> </w:t>
      </w:r>
      <w:r>
        <w:t xml:space="preserve">Чистяков Е. В. и Нурбаев Т. А.; модератор в программе не указан) обсуждаются шесть вопросов раздела 17.12. Формулировка «хозяин» в программе заменяется на «руководитель учреждения».</w:t>
      </w:r>
      <w:r>
        <w:t xml:space="preserve"> </w:t>
      </w:r>
      <w:r>
        <w:rPr>
          <w:b/>
          <w:bCs/>
        </w:rPr>
        <w:t xml:space="preserve">Главный практический вывод: лечебное питание и вариативное меню не противоречат друг другу.</w:t>
      </w:r>
      <w:r>
        <w:t xml:space="preserve"> </w:t>
      </w:r>
      <w:r>
        <w:t xml:space="preserve">Два дома одного учредителя работают в</w:t>
      </w:r>
      <w:r>
        <w:t xml:space="preserve"> </w:t>
      </w:r>
      <w:r>
        <w:rPr>
          <w:b/>
          <w:bCs/>
        </w:rPr>
        <w:t xml:space="preserve">разных</w:t>
      </w:r>
      <w:r>
        <w:t xml:space="preserve"> </w:t>
      </w:r>
      <w:r>
        <w:t xml:space="preserve">закупочных режимах (Серафимовский — автономное, 223-ФЗ; Тесовый берег — бюджетное, 44-ФЗ). Смежные площадки 25–26.08 (право быть человеком, право на выбор, недееспособность, режим дня, достоинство) закрываются в разделе 17.13 — их нельзя оставлять «на вчерашнюю панель». Разделы 17.12–17.13, 8, 17, 29,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p>
      <w:pPr>
        <w:pStyle w:val="Compact"/>
        <w:numPr>
          <w:ilvl w:val="0"/>
          <w:numId w:val="1001"/>
        </w:numPr>
      </w:pPr>
      <w:r>
        <w:t xml:space="preserve">Проверить, есть ли выбор у постельных: два варианта на подносе, не только на линии (раздел 20.11).</w:t>
      </w:r>
    </w:p>
    <w:p>
      <w:pPr>
        <w:pStyle w:val="Compact"/>
        <w:numPr>
          <w:ilvl w:val="0"/>
          <w:numId w:val="1001"/>
        </w:numPr>
      </w:pPr>
      <w:r>
        <w:t xml:space="preserve">Если кухня не своя — открыть спецификацию: есть ли строка выбора (разделы 42 и 35.9).</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20</w:t>
      </w:r>
      <w:r>
        <w:t xml:space="preserve">. Обеденный зал на 120 мест, поточная раздача в три захода</w:t>
      </w:r>
      <w:r>
        <w:t xml:space="preserve">21</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23</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9</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16</w:t>
      </w:r>
      <w:r>
        <w:t xml:space="preserve">24</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10</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11</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25</w:t>
      </w:r>
      <w:r>
        <w:t xml:space="preserve">26</w:t>
      </w:r>
      <w:r>
        <w:t xml:space="preserve">; взаимодействие клозапина с кофеином — фармакокинетический факт уровня систематических данных</w:t>
      </w:r>
      <w:r>
        <w:t xml:space="preserve">16</w:t>
      </w:r>
      <w:r>
        <w:t xml:space="preserve">; дисфагия, видимая только в наблюдении, — главный сюжет эпидемиологии нарушений глотания</w:t>
      </w:r>
      <w:r>
        <w:t xml:space="preserve">15</w:t>
      </w:r>
      <w:r>
        <w:t xml:space="preserve">; невербальная воля — предмет стандартов поддерживаемого принятия решений</w:t>
      </w:r>
      <w:r>
        <w:t xml:space="preserve">27</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4"/>
    <w:bookmarkEnd w:id="25"/>
    <w:bookmarkStart w:id="32"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20</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27</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28</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29</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0"/>
    <w:bookmarkStart w:id="31"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1"/>
    <w:bookmarkEnd w:id="32"/>
    <w:bookmarkStart w:id="39" w:name="что-значит-накормить"/>
    <w:p>
      <w:pPr>
        <w:pStyle w:val="Heading1"/>
      </w:pPr>
      <w:r>
        <w:t xml:space="preserve">7. Что значит «накормить»</w:t>
      </w:r>
    </w:p>
    <w:bookmarkStart w:id="33"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30</w:t>
      </w:r>
      <w:r>
        <w:t xml:space="preserve">12</w:t>
      </w:r>
      <w:r>
        <w:t xml:space="preserve">13</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11</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31</w:t>
      </w:r>
      <w:r>
        <w:t xml:space="preserve">32</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33</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34</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20</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21</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35</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3"/>
    <w:bookmarkStart w:id="34"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4"/>
    <w:bookmarkStart w:id="35"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5"/>
    <w:bookmarkStart w:id="36"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31</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6"/>
    <w:bookmarkStart w:id="37"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7"/>
    <w:bookmarkStart w:id="38"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8"/>
    <w:bookmarkEnd w:id="39"/>
    <w:bookmarkStart w:id="47" w:name="X9665fe89d4d19ad137e3bff23f576bf880b5f0e"/>
    <w:p>
      <w:pPr>
        <w:pStyle w:val="Heading1"/>
      </w:pPr>
      <w:r>
        <w:t xml:space="preserve">8. От мономеню к вариативности: лестница моделей</w:t>
      </w:r>
    </w:p>
    <w:bookmarkStart w:id="40"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21</w:t>
      </w:r>
      <w:r>
        <w:t xml:space="preserve">23</w:t>
      </w:r>
      <w:r>
        <w:t xml:space="preserve">32</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12</w:t>
      </w:r>
      <w:r>
        <w:t xml:space="preserve">13</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0"/>
    <w:bookmarkStart w:id="41"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36</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14</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21</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34</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37</w:t>
      </w:r>
      <w:r>
        <w:t xml:space="preserve"> </w:t>
      </w:r>
      <w:r>
        <w:t xml:space="preserve">и американская модель малых домов Green House</w:t>
      </w:r>
      <w:r>
        <w:t xml:space="preserve">26</w:t>
      </w:r>
      <w:r>
        <w:t xml:space="preserve">. Для нас — горизонт квартир тренинга жизненных навыков и подготовки к сопровождаемому проживанию, а не массовая модель.</w:t>
      </w:r>
    </w:p>
    <w:bookmarkEnd w:id="41"/>
    <w:bookmarkStart w:id="42"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12</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2"/>
    <w:bookmarkStart w:id="43"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14</w:t>
      </w:r>
      <w:r>
        <w:t xml:space="preserve">: это и есть реалистичный горизонт большинства участников семинара на ближайший год.</w:t>
      </w:r>
    </w:p>
    <w:bookmarkEnd w:id="43"/>
    <w:bookmarkStart w:id="44"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4"/>
    <w:bookmarkStart w:id="45"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20</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6"/>
    <w:bookmarkEnd w:id="47"/>
    <w:bookmarkStart w:id="54" w:name="X58f5e918231fc0d88d240a4d1c7eb5171dbdbe6"/>
    <w:p>
      <w:pPr>
        <w:pStyle w:val="Heading1"/>
      </w:pPr>
      <w:r>
        <w:t xml:space="preserve">9. Пищевое поведение при психических расстройствах</w:t>
      </w:r>
    </w:p>
    <w:bookmarkStart w:id="48"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8"/>
    <w:bookmarkStart w:id="49"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29</w:t>
      </w:r>
      <w:r>
        <w:t xml:space="preserve">38</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37</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39</w:t>
      </w:r>
      <w:r>
        <w:t xml:space="preserve">35</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37</w:t>
      </w:r>
      <w:r>
        <w:t xml:space="preserve">; австралийский стандарт закрепляет доступность еды и перекусов круглосуточно</w:t>
      </w:r>
      <w:r>
        <w:t xml:space="preserve">35</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49"/>
    <w:bookmarkStart w:id="50"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0"/>
    <w:bookmarkStart w:id="51"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1"/>
    <w:bookmarkStart w:id="52"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2"/>
    <w:bookmarkStart w:id="53"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40</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End w:id="54"/>
    <w:bookmarkStart w:id="66" w:name="X3bdde6f59ee00f58bf623869e7116aa59fe3ad4"/>
    <w:p>
      <w:pPr>
        <w:pStyle w:val="Heading1"/>
      </w:pPr>
      <w:r>
        <w:t xml:space="preserve">10. Дисфагия и риск аспирации: скрытая эпидемия стационарного стола</w:t>
      </w:r>
    </w:p>
    <w:bookmarkStart w:id="55"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15</w:t>
      </w:r>
      <w:r>
        <w:t xml:space="preserve">9</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8</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8</w:t>
      </w:r>
      <w:r>
        <w:t xml:space="preserve">. Это главный аргумент раздела: дисфагия — не «удобство еды», а вопрос смертности.</w:t>
      </w:r>
    </w:p>
    <w:bookmarkEnd w:id="55"/>
    <w:bookmarkStart w:id="56"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9</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20</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6"/>
    <w:bookmarkStart w:id="57"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9</w:t>
      </w:r>
      <w:r>
        <w:t xml:space="preserve">41</w:t>
      </w:r>
      <w:r>
        <w:t xml:space="preserve">. Любой из них — повод для врачебной оценки и простого теста с водой; несколько — для немедленной коррекции подачи до выяснения.</w:t>
      </w:r>
    </w:p>
    <w:bookmarkEnd w:id="57"/>
    <w:bookmarkStart w:id="58"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42</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43</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58"/>
    <w:bookmarkStart w:id="59"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44</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44</w:t>
      </w:r>
      <w:r>
        <w:t xml:space="preserve">.</w:t>
      </w:r>
    </w:p>
    <w:bookmarkEnd w:id="59"/>
    <w:bookmarkStart w:id="60"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0"/>
    <w:bookmarkStart w:id="61"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43</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45</w:t>
      </w:r>
      <w:r>
        <w:t xml:space="preserve">46</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45</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1"/>
    <w:bookmarkStart w:id="62"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41</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42</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43</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2"/>
    <w:bookmarkStart w:id="63"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47</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48</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3"/>
    <w:bookmarkStart w:id="64"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49</w:t>
      </w:r>
      <w:r>
        <w:t xml:space="preserve">. Обзор, который часто цитируют как Müller 2015 (Journal of Dental Research; исходная оценка — Sjögren 2008 и van der Maarel-Wierink 2013), относит к улучшению гигиены рта предотвращение примерно каждой десятой смерти от аспирационной пневмонии у немощных пожилых</w:t>
      </w:r>
      <w:r>
        <w:t xml:space="preserve">50</w:t>
      </w:r>
      <w:r>
        <w:t xml:space="preserve">. Перенос на ПНИ — с оговоркой популяции: это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51</w:t>
      </w:r>
      <w:r>
        <w:t xml:space="preserve">; протез, который мешает жевать, — частая маска «плохого аппетита» (раздел 12).</w:t>
      </w:r>
    </w:p>
    <w:bookmarkEnd w:id="64"/>
    <w:bookmarkStart w:id="65"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5"/>
    <w:bookmarkEnd w:id="66"/>
    <w:bookmarkStart w:id="77" w:name="Xccd25ac2d389d4e547d3f0ef32338bd0cd39a57"/>
    <w:p>
      <w:pPr>
        <w:pStyle w:val="Heading1"/>
      </w:pPr>
      <w:r>
        <w:t xml:space="preserve">11. Лекарства и еда: пять правил, которые обязана знать кухня</w:t>
      </w:r>
    </w:p>
    <w:bookmarkStart w:id="6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7"/>
    <w:bookmarkStart w:id="68"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16</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24</w:t>
      </w:r>
      <w:r>
        <w:t xml:space="preserve">. Симметричный риск — резкая отмена привычного кофеина: падение концентрации клозапина на 37–47 % с риском потери эффекта</w:t>
      </w:r>
      <w:r>
        <w:t xml:space="preserve">52</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16</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37</w:t>
      </w:r>
      <w:r>
        <w:t xml:space="preserve">.</w:t>
      </w:r>
    </w:p>
    <w:bookmarkEnd w:id="68"/>
    <w:bookmarkStart w:id="69"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17</w:t>
      </w:r>
      <w:r>
        <w:t xml:space="preserve">53</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9"/>
    <w:bookmarkStart w:id="70"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18</w:t>
      </w:r>
      <w:r>
        <w:t xml:space="preserve">54</w:t>
      </w:r>
      <w:r>
        <w:t xml:space="preserve">. Описанные реакции — подъём давления со 160/90 до 220/115 и выше</w:t>
      </w:r>
      <w:r>
        <w:t xml:space="preserve">55</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0"/>
    <w:bookmarkStart w:id="71"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19</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1"/>
    <w:bookmarkStart w:id="72"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2"/>
    <w:bookmarkStart w:id="7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37</w:t>
      </w:r>
      <w:r>
        <w:t xml:space="preserve"> </w:t>
      </w:r>
      <w:r>
        <w:t xml:space="preserve">— наша форма делает то же в рамках российского документооборота.</w:t>
      </w:r>
    </w:p>
    <w:bookmarkEnd w:id="73"/>
    <w:bookmarkStart w:id="7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4"/>
    <w:bookmarkStart w:id="75"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24</w:t>
      </w:r>
      <w:r>
        <w:t xml:space="preserve">, а популяционные данные дают рост AUC порядка 19 % уже при обычном потреблении</w:t>
      </w:r>
      <w:r>
        <w:t xml:space="preserve">16</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52</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17</w:t>
      </w:r>
      <w:r>
        <w:t xml:space="preserve">53</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19</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6"/>
    <w:bookmarkEnd w:id="77"/>
    <w:bookmarkStart w:id="89"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8</w:t>
      </w:r>
      <w:r>
        <w:t xml:space="preserve">9</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51</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23</w:t>
      </w:r>
      <w:r>
        <w:t xml:space="preserve">56</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36</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53</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39</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29</w:t>
      </w:r>
      <w:r>
        <w:t xml:space="preserve">38</w:t>
      </w:r>
      <w:r>
        <w:t xml:space="preserve">. Для ПНИ, где стареющий контингент растёт</w:t>
      </w:r>
      <w:r>
        <w:t xml:space="preserve">20</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57</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58</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57</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88"/>
    <w:bookmarkEnd w:id="89"/>
    <w:bookmarkStart w:id="102" w:name="переедание-гиперфагия-и-ночное-едение"/>
    <w:p>
      <w:pPr>
        <w:pStyle w:val="Heading1"/>
      </w:pPr>
      <w:r>
        <w:t xml:space="preserve">13. Переедание, гиперфагия и ночное едение</w:t>
      </w:r>
    </w:p>
    <w:bookmarkStart w:id="9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10</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59</w:t>
      </w:r>
      <w:r>
        <w:t xml:space="preserve">. При первом эпизоде психоза скорость максимальна: долгосрочная прибавка достигает +9,34 кг (оланзапин) и +7,19 кг (клозапин)</w:t>
      </w:r>
      <w:r>
        <w:t xml:space="preserve">60</w:t>
      </w:r>
      <w:r>
        <w:t xml:space="preserve">. Метаболический мониторинг предписан руководствами (вес, глюкоза, липиды по расписанию)</w:t>
      </w:r>
      <w:r>
        <w:t xml:space="preserve">61</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0"/>
    <w:bookmarkStart w:id="9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40</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62</w:t>
      </w:r>
      <w:r>
        <w:t xml:space="preserve">; программа с участием диетолога (Teasdale) показывает лучшие результаты именно при специалисте</w:t>
      </w:r>
      <w:r>
        <w:t xml:space="preserve">63</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1"/>
    <w:bookmarkStart w:id="92"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61</w:t>
      </w:r>
      <w:r>
        <w:t xml:space="preserve">23</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2"/>
    <w:bookmarkStart w:id="9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40</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31</w:t>
      </w:r>
      <w:r>
        <w:t xml:space="preserve">36</w:t>
      </w:r>
      <w:r>
        <w:t xml:space="preserve">. То есть одна бесплатная мера закрывает сразу две задачи — поведенческую и нормативную.</w:t>
      </w:r>
    </w:p>
    <w:bookmarkEnd w:id="93"/>
    <w:bookmarkStart w:id="9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4"/>
    <w:bookmarkStart w:id="9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5"/>
    <w:bookmarkStart w:id="96"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10</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6"/>
    <w:bookmarkStart w:id="97"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10</w:t>
      </w:r>
      <w:r>
        <w:t xml:space="preserve">, при первом эпизоде психоза долгосрочная прибавка достигает +9,34 кг на оланзапине</w:t>
      </w:r>
      <w:r>
        <w:t xml:space="preserve">60</w:t>
      </w:r>
      <w:r>
        <w:t xml:space="preserve">, а мониторинг метаболических параметров в реальной практике выполняется неполно</w:t>
      </w:r>
      <w:r>
        <w:t xml:space="preserve">61</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64</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23</w:t>
      </w:r>
      <w:r>
        <w:t xml:space="preserve"> </w:t>
      </w:r>
      <w:r>
        <w:t xml:space="preserve">— сигнал врачу сегодня, не «наблюдаем до обхода».</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40</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65</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66</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99"/>
    <w:bookmarkStart w:id="100"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67</w:t>
      </w:r>
      <w:r>
        <w:t xml:space="preserve">; карбамазепин — фермент-индуктор и по данным мета-анализа ассоциирован со снижением 25(OH)D</w:t>
      </w:r>
      <w:r>
        <w:t xml:space="preserve">68</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69</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67</w:t>
      </w:r>
      <w:r>
        <w:t xml:space="preserve">.</w:t>
      </w:r>
    </w:p>
    <w:bookmarkEnd w:id="100"/>
    <w:bookmarkStart w:id="101"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1"/>
    <w:bookmarkEnd w:id="102"/>
    <w:bookmarkStart w:id="109"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41</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37</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37</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7"/>
    <w:bookmarkStart w:id="108"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08"/>
    <w:bookmarkEnd w:id="109"/>
    <w:bookmarkStart w:id="121" w:name="X78b150e1e56547c8d70d8e69d408178151d013f"/>
    <w:p>
      <w:pPr>
        <w:pStyle w:val="Heading1"/>
      </w:pPr>
      <w:r>
        <w:t xml:space="preserve">15. Невербальный выбор: как услышать того, кто не говорит</w:t>
      </w:r>
    </w:p>
    <w:bookmarkStart w:id="110"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20</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0"/>
    <w:bookmarkStart w:id="111"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27</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1"/>
    <w:bookmarkStart w:id="112"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70</w:t>
      </w:r>
      <w:r>
        <w:t xml:space="preserve">37</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71</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29</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27</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27</w:t>
      </w:r>
      <w:r>
        <w:t xml:space="preserve">.</w:t>
      </w:r>
    </w:p>
    <w:bookmarkEnd w:id="112"/>
    <w:bookmarkStart w:id="113"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38</w:t>
      </w:r>
      <w:r>
        <w:t xml:space="preserve">.</w:t>
      </w:r>
    </w:p>
    <w:bookmarkEnd w:id="113"/>
    <w:bookmarkStart w:id="114"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4"/>
    <w:bookmarkStart w:id="115"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20</w:t>
      </w:r>
      <w:r>
        <w:t xml:space="preserve">, технология невербального выбора — это и есть вариативность, а не её доступный вариант для меньшинства.</w:t>
      </w:r>
    </w:p>
    <w:bookmarkEnd w:id="115"/>
    <w:bookmarkStart w:id="11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6"/>
    <w:bookmarkStart w:id="117"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23</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19"/>
    <w:bookmarkStart w:id="120"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30</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0"/>
    <w:bookmarkEnd w:id="121"/>
    <w:bookmarkStart w:id="132"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27</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38</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20</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27</w:t>
      </w:r>
      <w:r>
        <w:t xml:space="preserve">: опека фиксирует неспособность, поддержка ищет формат, при котором способность проявляется.</w:t>
      </w:r>
    </w:p>
    <w:bookmarkEnd w:id="130"/>
    <w:bookmarkStart w:id="131"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72</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72</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1"/>
    <w:bookmarkEnd w:id="132"/>
    <w:bookmarkStart w:id="163" w:name="X96a7c8a46e63da1f29fbfdc710b487fc4dc07a6"/>
    <w:p>
      <w:pPr>
        <w:pStyle w:val="Heading1"/>
      </w:pPr>
      <w:r>
        <w:t xml:space="preserve">17. Право Российской Федерации: что разрешено, что требуется, что опасно</w:t>
      </w:r>
    </w:p>
    <w:bookmarkStart w:id="133"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3"/>
    <w:bookmarkStart w:id="134"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30</w:t>
      </w:r>
      <w:r>
        <w:t xml:space="preserve">12</w:t>
      </w:r>
      <w:r>
        <w:t xml:space="preserve">13</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12</w:t>
      </w:r>
      <w:r>
        <w:t xml:space="preserve">13</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4</w:t>
      </w:r>
      <w:r>
        <w:t xml:space="preserve">5</w:t>
      </w:r>
      <w:r>
        <w:t xml:space="preserve">6</w:t>
      </w:r>
      <w:r>
        <w:t xml:space="preserve">7</w:t>
      </w:r>
      <w:r>
        <w:t xml:space="preserve">14</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73</w:t>
      </w:r>
      <w:r>
        <w:t xml:space="preserve"> </w:t>
      </w:r>
      <w:r>
        <w:t xml:space="preserve">— рамка для финансовых моделей раздела 29.</w:t>
      </w:r>
    </w:p>
    <w:bookmarkEnd w:id="134"/>
    <w:bookmarkStart w:id="135"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38</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12</w:t>
            </w:r>
            <w:r>
              <w:t xml:space="preserve">13</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23</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5"/>
    <w:bookmarkStart w:id="136"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11</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11</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74</w:t>
      </w:r>
      <w:r>
        <w:t xml:space="preserve">75</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6"/>
    <w:bookmarkStart w:id="137"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21</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7"/>
    <w:bookmarkStart w:id="138"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8"/>
    <w:bookmarkStart w:id="139"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76</w:t>
      </w:r>
      <w:r>
        <w:t xml:space="preserve">27</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9"/>
    <w:bookmarkStart w:id="140"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0"/>
    <w:bookmarkStart w:id="141"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27</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35</w:t>
      </w:r>
      <w:r>
        <w:t xml:space="preserve"> </w:t>
      </w:r>
      <w:r>
        <w:t xml:space="preserve">и онтарийские требования</w:t>
      </w:r>
      <w:r>
        <w:t xml:space="preserve">23</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13</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13</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30</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2"/>
    <w:bookmarkStart w:id="153"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20.08.2026 по итогам полной верификации фактов; доработано 19.08.2026 после сверки с программой семинара и правками к ней. Дискуссия 26.08, 14.00–15.30, площадка № 2: «Организация питания: опыт реализации проектов».</w:t>
      </w:r>
      <w:r>
        <w:rPr>
          <w:i/>
          <w:iCs/>
        </w:rPr>
        <w:t xml:space="preserve"> </w:t>
      </w:r>
      <w:r>
        <w:rPr>
          <w:b/>
          <w:bCs/>
          <w:i/>
          <w:iCs/>
        </w:rPr>
        <w:t xml:space="preserve">Эксперты</w:t>
      </w:r>
      <w:r>
        <w:rPr>
          <w:i/>
          <w:iCs/>
        </w:rPr>
        <w:t xml:space="preserve"> </w:t>
      </w:r>
      <w:r>
        <w:rPr>
          <w:i/>
          <w:iCs/>
        </w:rPr>
        <w:t xml:space="preserve">(не модераторы — в программе модератор этой сессии не указан, правка № 14): Е. В. Чистяков, директор СПб ГАСУСОН «ДСО „Серафимовский”»; Т. А. Нурбаев, директор СПб ГБСУСОН «ДСО „Тесовый берег”» (в программе у Нурбаева ошибочно стоит ГАСУСОН — по ЕГРЮЛ учреждение бюджетное, ИНН 7827661874, ОГРН 1027812404256). Шесть вопросов ниже воспроизведены дословно по программе семинара; в ответах «хозяин» читается как «руководитель учреждения» (правка № 15), вопрос 5 — как «баланс</w:t>
      </w:r>
      <w:r>
        <w:rPr>
          <w:i/>
          <w:iCs/>
        </w:rPr>
        <w:t xml:space="preserve"> </w:t>
      </w:r>
      <w:r>
        <w:rPr>
          <w:b/>
          <w:bCs/>
          <w:i/>
          <w:iCs/>
        </w:rPr>
        <w:t xml:space="preserve">между</w:t>
      </w:r>
      <w:r>
        <w:rPr>
          <w:i/>
          <w:iCs/>
        </w:rPr>
        <w:t xml:space="preserve"> </w:t>
      </w:r>
      <w:r>
        <w:rPr>
          <w:i/>
          <w:iCs/>
        </w:rPr>
        <w:t xml:space="preserve">правом выбора и медицинскими показаниями»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 корректура 19.08.2026 — исправлены дата приказа Минтруда 520н, наборы продуктов для ПНИ/ДСО СПб по Постановлению 1284, тип акта о базовых нормативах 655,53 руб, разделение правовых оснований 195-ФЗ (изменения 3185-1 ст. 27, 30; не ст. 37/43).</w:t>
      </w:r>
    </w:p>
    <w:bookmarkStart w:id="149"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право выбора уже существует</w:t>
      </w:r>
      <w:r>
        <w:t xml:space="preserve"> </w:t>
      </w:r>
      <w:r>
        <w:t xml:space="preserve">(зелёная зона 17.2) — вопрос лишь в том, как его организовать, чтобы не выйти в жёлтую или красную зону (17.3–17.4).</w:t>
      </w:r>
    </w:p>
    <w:bookmarkStart w:id="143" w:name="X37f43b1a1924cdbbe382e041f81dc90ff097e01"/>
    <w:p>
      <w:pPr>
        <w:pStyle w:val="Heading4"/>
      </w:pPr>
      <w:r>
        <w:t xml:space="preserve">Вопрос 1. Кто выбирает форму питания — проживающий в социальном доме или его хозяин?</w:t>
      </w:r>
    </w:p>
    <w:p>
      <w:pPr>
        <w:pStyle w:val="FirstParagraph"/>
      </w:pPr>
      <w:r>
        <w:rPr>
          <w:i/>
          <w:iCs/>
        </w:rPr>
        <w:t xml:space="preserve">Дословная формулировка программы. В ответах и на слайдах: «руководитель учреждения», не «хозяин» (правка № 15 к программе).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 статья 37 (права пациентов, получающих психиатрическую помощь) и статья 43 (распространение этих прав на лиц, страдающих психическими расстройствами и находящихся в стационарных учреждениях социального обслуживания): права пациента, в том числе право на гуманное отношение и уважение достоинства личности,</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(вступает в силу с 01.03.2025) изменил в 3185-1 статьи</w:t>
      </w:r>
      <w:r>
        <w:t xml:space="preserve"> </w:t>
      </w:r>
      <w:r>
        <w:rPr>
          <w:b/>
          <w:bCs/>
        </w:rPr>
        <w:t xml:space="preserve">27</w:t>
      </w:r>
      <w:r>
        <w:t xml:space="preserve"> </w:t>
      </w:r>
      <w:r>
        <w:t xml:space="preserve">(диспансерное наблюдение) и</w:t>
      </w:r>
      <w:r>
        <w:t xml:space="preserve"> </w:t>
      </w:r>
      <w:r>
        <w:rPr>
          <w:b/>
          <w:bCs/>
        </w:rPr>
        <w:t xml:space="preserve">30</w:t>
      </w:r>
      <w:r>
        <w:t xml:space="preserve"> </w:t>
      </w:r>
      <w:r>
        <w:t xml:space="preserve">(участие органов внутренних дел), а также ряд статей 323-ФЗ и 3-ФЗ «О полиции»; статьи</w:t>
      </w:r>
      <w:r>
        <w:t xml:space="preserve"> </w:t>
      </w:r>
      <w:r>
        <w:rPr>
          <w:b/>
          <w:bCs/>
        </w:rPr>
        <w:t xml:space="preserve">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(и с 01.09.2026 — СанПиН 2.3/2.4.4282-26, п. 56 подп. 11, утв. постановлением Главного государственного санитарного врача РФ от 02.06.2026 № 18, действует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Право выбора в основном меню — реализация ст. 9 442-ФЗ («права получателя социальных услуг»), конкретизированной в ИППСУ.</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Новосибирский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Внедрена система «шведского стола» — каждый житель самостоятельно выбирает блюда; особым вниманием охвачено диетическое питание при сахарном диабете и патологии ЖКТ. Цитата зам. министра труда и соцразвития Новосибирской области В. А. Машанова: «для людей с хроническими заболеваниями, такими как сахарный диабет и патологии ЖКТ, реализовано в общем пространстве выбора — отдельная линия/зона для диетических блюд» (precedent.tv, 2025; публикации 2024–2025).</w:t>
      </w:r>
    </w:p>
    <w:p>
      <w:pPr>
        <w:pStyle w:val="Compact"/>
        <w:numPr>
          <w:ilvl w:val="0"/>
          <w:numId w:val="1012"/>
        </w:numPr>
      </w:pPr>
      <w:r>
        <w:rPr>
          <w:b/>
          <w:bCs/>
        </w:rPr>
        <w:t xml:space="preserve">Новосибирский ПНИ.</w:t>
      </w:r>
      <w:r>
        <w:t xml:space="preserve"> </w:t>
      </w:r>
      <w:r>
        <w:t xml:space="preserve">В марте 2024 года все отделения перешли на вариативное меню — два варианта вторых блюд, два варианта салатов, два варианта напитков на каждый приём пищи (upni.nso.ru/news/1916, 2024).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11, 37, 43 в действующей редакции; 195-ФЗ от 22.07.2024 изменил ст. 27, 30); 442-ФЗ (ст. 9, 16, 32 ч. 4); СанПиН 2.3/2.4.3590-20 п. 7.1.11; СанПиН 2.3/2.4.4282-26 п. 56(11), утв. пост. Гл. гос. санврача РФ от 02.06.2026 № 18; публикации: gov.spb.ru (2026), upchspb.ru/news/32938 (19.05.2026), precedent.tv об Успенском ПНИ (2025), upni.nso.ru/news/1916 (2024), bpni.nso.ru/news/2312 (2024), kcso-barnaul.gosuslugi.ru (Решение № 84 от 27.06.2025), tenmon.ru/tender/32616151967, tenderguru.ru/tender/95375953, www.pni9.ru (официальный сайт ДСО «Серафимовский»).</w:t>
      </w:r>
    </w:p>
    <w:bookmarkEnd w:id="143"/>
    <w:bookmarkStart w:id="144"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4"/>
    <w:bookmarkStart w:id="145"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 2. Лечебное питание является</w:t>
      </w:r>
      <w:r>
        <w:t xml:space="preserve"> </w:t>
      </w:r>
      <w:r>
        <w:rPr>
          <w:b/>
          <w:bCs/>
        </w:rPr>
        <w:t xml:space="preserve">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Статья 32 323-ФЗ (медицинская помощь) и лицензионное законодательство (постановление Правительства РФ от 01.06.2021 № 852 «О лицензировании медицинской деятельности…», ФЗ от 04.05.2011 № 99-ФЗ) устанавливают, что медицинская деятельность подлежит лицензированию.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допускается вариативный выбор блюд жителями (в пределах раскладки), поскольку выбор — это реализация их субъективного права (ст. 9 442-ФЗ, ст. 37/43 3185-1), а не назначение лечения.</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в системе «шведского стола» диетическое питание для жителей с сахарным диабетом и патологией ЖКТ охвачено особым вниманием (precedent.tv, 2025; invabeloretsk.ru, 2025).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32, 39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invabeloretsk.ru (2025), www.pni9.ru (2025), precedent.tv (2025).</w:t>
      </w:r>
    </w:p>
    <w:bookmarkEnd w:id="145"/>
    <w:bookmarkStart w:id="146"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но это уже возможно только при наличии второй линии раздачи или буфетной зоны. Применяется в Успенском ПНИ (Новосибирская обл.), Серафимовском (частично), Новосибирском ПНИ.</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Применяется в Успенском ПНИ (precedent.tv, 2025). Требует: наличие буфетной зоны, дополнительный повар на диетической линии, чёткая маркировка «без сахара / протёртое / щадящее», журнал выбора.</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Новосибирского ПНИ.</w:t>
      </w:r>
      <w:r>
        <w:t xml:space="preserve"> </w:t>
      </w:r>
      <w:r>
        <w:t xml:space="preserve">В марте 2024 года все отделения перешли на вариативное меню с двумя вариантами вторых блюд.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 (upni.nso.ru/news/1916, 2024).</w:t>
      </w:r>
    </w:p>
    <w:p>
      <w:pPr>
        <w:pStyle w:val="BodyText"/>
      </w:pPr>
      <w:r>
        <w:rPr>
          <w:b/>
          <w:bCs/>
        </w:rPr>
        <w:t xml:space="preserve">Практика Успенского ПНИ (Новосибирская обл.).</w:t>
      </w:r>
      <w:r>
        <w:t xml:space="preserve"> </w:t>
      </w:r>
      <w:r>
        <w:t xml:space="preserve">В системе «шведского стола» диетическое питание «для людей с хроническими заболеваниями, такими как сахарный диабет и патологии ЖКТ» реализовано</w:t>
      </w:r>
      <w:r>
        <w:t xml:space="preserve"> </w:t>
      </w:r>
      <w:r>
        <w:rPr>
          <w:b/>
          <w:bCs/>
        </w:rPr>
        <w:t xml:space="preserve">в общем пространстве</w:t>
      </w:r>
      <w:r>
        <w:t xml:space="preserve"> </w:t>
      </w:r>
      <w:r>
        <w:t xml:space="preserve">выбора: отдельная линия/зона для диетических блюд, жители с диетой выбирают между эквивалентными диетическими блюдами (precedent.tv, 2025; invabeloretsk.ru, 2025).</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precedent.tv (2025), invabeloretsk.ru (2025);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6"/>
    <w:bookmarkStart w:id="147" w:name="Xcab9b9fcf7f1977bedcc4ce981f053296b1b0f6"/>
    <w:p>
      <w:pPr>
        <w:pStyle w:val="Heading4"/>
      </w:pPr>
      <w:r>
        <w:t xml:space="preserve">Вопрос 5. Как соблюсти баланс права выбора недееспособного проживающего «что есть» и медицинскими показаниями?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РФ в 2012 г.),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а не замещающее.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Ущемлять выбор недееспособного жителя без медицинского назначения.</w:t>
      </w:r>
      <w:r>
        <w:t xml:space="preserve"> </w:t>
      </w:r>
      <w:r>
        <w:t xml:space="preserve">Это нарушение ст. 37/43 3185-1, ст. 21 Конституции РФ, ст. 9 442-ФЗ.</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7"/>
    <w:bookmarkStart w:id="148"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48"/>
    <w:bookmarkEnd w:id="149"/>
    <w:bookmarkStart w:id="150"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Новосибирский ПНИ,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шведский стол с диет-зоной</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(шведский стол).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0"/>
    <w:bookmarkStart w:id="151"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субъективное право жителя на выбор и достоинство,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«право выбора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1"/>
    <w:bookmarkStart w:id="152"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экспертов</w:t>
      </w:r>
      <w:r>
        <w:t xml:space="preserve">, не лекция одного директора. Модератора в программе нет: регламент выступлений нужно согласовать с оргкомитетом до 25.08 (правка № 14). Рабочая схема без модератора:</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w:t>
      </w:r>
    </w:p>
    <w:p>
      <w:pPr>
        <w:pStyle w:val="FirstParagraph"/>
      </w:pPr>
      <w:r>
        <w:t xml:space="preserve">На стол: 10 документов из 17.12.Y + карточка «два закона закупки» + правка «руководитель учреждения».</w:t>
      </w:r>
    </w:p>
    <w:bookmarkEnd w:id="152"/>
    <w:bookmarkEnd w:id="153"/>
    <w:bookmarkStart w:id="162"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вопросов — по программе (PDF от 19.08.2026) с учётом правок № 6, 15, 16.</w:t>
      </w:r>
    </w:p>
    <w:bookmarkStart w:id="154"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4"/>
    <w:bookmarkStart w:id="155"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5"/>
    <w:bookmarkStart w:id="156"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выбор блюда —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6"/>
    <w:bookmarkStart w:id="157" w:name="как-наладить-жизнь-в-доме"/>
    <w:p>
      <w:pPr>
        <w:pStyle w:val="Heading3"/>
      </w:pPr>
      <w:r>
        <w:t xml:space="preserve">17.13.4. 25.08, 16.15–18.00. «Как наладить жизнь в доме?»</w:t>
      </w:r>
    </w:p>
    <w:p>
      <w:pPr>
        <w:pStyle w:val="FirstParagraph"/>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7"/>
    <w:bookmarkStart w:id="158"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58"/>
    <w:bookmarkStart w:id="159"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59"/>
    <w:bookmarkStart w:id="160" w:name="лекция-а.-к.-федермессер-о-достоинстве"/>
    <w:p>
      <w:pPr>
        <w:pStyle w:val="Heading3"/>
      </w:pPr>
      <w:r>
        <w:t xml:space="preserve">17.13.7. 26.08, 16.00–17.30. Лекция А. К. Федермессер о достоинстве</w:t>
      </w:r>
    </w:p>
    <w:p>
      <w:pPr>
        <w:pStyle w:val="FirstParagraph"/>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 Сессия «Право на достойный уход» (Олескина, параллельно 14.00–15.30) пересекается по предсмертному периоду: если эксперт питания не будет на той площадке, ответ всё равно должен быть в 17.12 вопрос 5, сценарий В, и в 12.11.</w:t>
      </w:r>
    </w:p>
    <w:bookmarkEnd w:id="160"/>
    <w:bookmarkStart w:id="161"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программа семинара 25–27.08.2026 (текст PDF / markdown в</w:t>
      </w:r>
      <w:r>
        <w:t xml:space="preserve"> </w:t>
      </w:r>
      <w:r>
        <w:rPr>
          <w:rStyle w:val="VerbatimChar"/>
        </w:rPr>
        <w:t xml:space="preserve">03_семинарский_пакет/20_программа_семинара_25-27_08_2026.md</w:t>
      </w:r>
      <w:r>
        <w:t xml:space="preserve">); список правок к программе (позиции 14–16); разделы 7, 8, 12, 12.11, 16, 17.12, 18, 42 настоящего доклада; Конституция ст. 21, 41; 3185-1 ст. 11; ГК ст. 29.</w:t>
      </w:r>
    </w:p>
    <w:bookmarkEnd w:id="161"/>
    <w:bookmarkEnd w:id="162"/>
    <w:bookmarkEnd w:id="163"/>
    <w:bookmarkStart w:id="175" w:name="X131e78ca5af909a63ed9c9fa9bc7c801822a7c9"/>
    <w:p>
      <w:pPr>
        <w:pStyle w:val="Heading1"/>
      </w:pPr>
      <w:r>
        <w:t xml:space="preserve">18. Санитария и пищевая безопасность при вариативности</w:t>
      </w:r>
    </w:p>
    <w:bookmarkStart w:id="16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4"/>
    <w:bookmarkStart w:id="16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65"/>
    <w:bookmarkStart w:id="16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11</w:t>
      </w:r>
      <w:r>
        <w:t xml:space="preserve">. Ответственность по ст. 6.6 КоАП для должностного лица — штраф (в разобранных делах — 5 тыс. руб.)</w:t>
      </w:r>
      <w:r>
        <w:t xml:space="preserve">11</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11</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6"/>
    <w:bookmarkStart w:id="16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35</w:t>
      </w:r>
      <w:r>
        <w:t xml:space="preserve">31</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7"/>
    <w:bookmarkStart w:id="16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68"/>
    <w:bookmarkStart w:id="16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69"/>
    <w:bookmarkStart w:id="170"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0"/>
    <w:bookmarkStart w:id="17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16</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1"/>
    <w:bookmarkStart w:id="172"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2"/>
    <w:bookmarkStart w:id="173"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2</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3"/>
    <w:bookmarkStart w:id="174"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77</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78</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2</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4"/>
    <w:bookmarkEnd w:id="175"/>
    <w:bookmarkStart w:id="185" w:name="X79637e3ce59fbc58b15746178dceda1e23e75c3"/>
    <w:p>
      <w:pPr>
        <w:pStyle w:val="Heading1"/>
      </w:pPr>
      <w:r>
        <w:t xml:space="preserve">19. Два варианта блюда: технология без второй кухни</w:t>
      </w:r>
    </w:p>
    <w:bookmarkStart w:id="176"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14</w:t>
      </w:r>
      <w:r>
        <w:t xml:space="preserve">.</w:t>
      </w:r>
    </w:p>
    <w:bookmarkEnd w:id="176"/>
    <w:bookmarkStart w:id="177"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12</w:t>
      </w:r>
      <w:r>
        <w:t xml:space="preserve">13</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7"/>
    <w:bookmarkStart w:id="178"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78"/>
    <w:bookmarkStart w:id="179"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79"/>
    <w:bookmarkStart w:id="180"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0"/>
    <w:bookmarkStart w:id="181"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1"/>
    <w:bookmarkStart w:id="182"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82"/>
    <w:bookmarkStart w:id="18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36</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3"/>
    <w:bookmarkStart w:id="18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14</w:t>
      </w:r>
      <w:r>
        <w:t xml:space="preserve"> </w:t>
      </w:r>
      <w:r>
        <w:t xml:space="preserve">— укладывается в этот набор без единой экзотической позиции.</w:t>
      </w:r>
    </w:p>
    <w:p>
      <w:pPr>
        <w:pStyle w:val="BodyText"/>
      </w:pPr>
      <w:r>
        <w:t xml:space="preserve">[[FIG:f18_derevo1]]</w:t>
      </w:r>
    </w:p>
    <w:bookmarkEnd w:id="184"/>
    <w:bookmarkEnd w:id="185"/>
    <w:bookmarkStart w:id="196" w:name="X2569848eec558f3ed00c7a2a69f119e79566693"/>
    <w:p>
      <w:pPr>
        <w:pStyle w:val="Heading1"/>
      </w:pPr>
      <w:r>
        <w:t xml:space="preserve">20. Точка раздачи: дизайн линии, очередь и помощь</w:t>
      </w:r>
    </w:p>
    <w:bookmarkStart w:id="186"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6"/>
    <w:bookmarkStart w:id="187"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7"/>
    <w:bookmarkStart w:id="188"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23</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88"/>
    <w:bookmarkStart w:id="189"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89"/>
    <w:bookmarkStart w:id="190"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29</w:t>
      </w:r>
      <w:r>
        <w:t xml:space="preserve">; финская норма — персонал за общим столом</w:t>
      </w:r>
      <w:r>
        <w:t xml:space="preserve">33</w:t>
      </w:r>
      <w:r>
        <w:t xml:space="preserve">; австралийский стандарт формулирует ожидание жителя «я выбираю, что, когда, где и как я ем»</w:t>
      </w:r>
      <w:r>
        <w:t xml:space="preserve">35</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0"/>
    <w:bookmarkStart w:id="191"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1"/>
    <w:bookmarkStart w:id="192"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2"/>
    <w:bookmarkStart w:id="193"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25</w:t>
      </w:r>
      <w:r>
        <w:t xml:space="preserve">79</w:t>
      </w:r>
      <w:r>
        <w:t xml:space="preserve">26</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3"/>
    <w:bookmarkStart w:id="194"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4"/>
    <w:bookmarkStart w:id="195"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20</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95"/>
    <w:bookmarkEnd w:id="196"/>
    <w:bookmarkStart w:id="205" w:name="Xb9e787c6b5d72bb8257ded363b4137c029af36b"/>
    <w:p>
      <w:pPr>
        <w:pStyle w:val="Heading1"/>
      </w:pPr>
      <w:r>
        <w:t xml:space="preserve">21. Когда выбор изменился: журнал, пересчёт и «фиктивная вариативность»</w:t>
      </w:r>
    </w:p>
    <w:bookmarkStart w:id="197"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7"/>
    <w:bookmarkStart w:id="198"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98"/>
    <w:bookmarkStart w:id="199"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12</w:t>
      </w:r>
      <w:r>
        <w:t xml:space="preserve">13</w:t>
      </w:r>
      <w:r>
        <w:t xml:space="preserve">). Международный ориентир для цикла: 21 день (Онтарио) и 4 недели (Германия) против наших типовых 14</w:t>
      </w:r>
      <w:r>
        <w:t xml:space="preserve">23</w:t>
      </w:r>
      <w:r>
        <w:t xml:space="preserve">32</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99"/>
    <w:bookmarkStart w:id="200"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0"/>
    <w:bookmarkStart w:id="201"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23</w:t>
      </w:r>
      <w:r>
        <w:t xml:space="preserve">80</w:t>
      </w:r>
      <w:r>
        <w:t xml:space="preserve">), дегустации новых блюд с голосованием (немецкая практика</w:t>
      </w:r>
      <w:r>
        <w:t xml:space="preserve">29</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32</w:t>
      </w:r>
      <w:r>
        <w:t xml:space="preserve"> </w:t>
      </w:r>
      <w:r>
        <w:t xml:space="preserve">— переносимая практика, стоящая одну строку в регламенте.</w:t>
      </w:r>
    </w:p>
    <w:bookmarkEnd w:id="201"/>
    <w:bookmarkStart w:id="202"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2"/>
    <w:bookmarkStart w:id="203"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3"/>
    <w:bookmarkStart w:id="204"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4"/>
    <w:bookmarkEnd w:id="205"/>
    <w:bookmarkStart w:id="214" w:name="X06e853546a990506482f390d7b70bbe8e37e167"/>
    <w:p>
      <w:pPr>
        <w:pStyle w:val="Heading1"/>
      </w:pPr>
      <w:r>
        <w:t xml:space="preserve">22. Как проверить реальность питания: аудит и замеры</w:t>
      </w:r>
    </w:p>
    <w:bookmarkStart w:id="20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6"/>
    <w:bookmarkStart w:id="20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7"/>
    <w:bookmarkStart w:id="20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08"/>
    <w:bookmarkStart w:id="20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09"/>
    <w:bookmarkStart w:id="21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0"/>
    <w:bookmarkStart w:id="21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1"/>
    <w:bookmarkStart w:id="212"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2"/>
    <w:bookmarkStart w:id="213"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3"/>
    <w:bookmarkEnd w:id="214"/>
    <w:bookmarkStart w:id="221" w:name="X10ac9b3cdd13b2af1178b24ac3f68935875a7f2"/>
    <w:p>
      <w:pPr>
        <w:pStyle w:val="Heading1"/>
      </w:pPr>
      <w:r>
        <w:t xml:space="preserve">23. Кто участвует: география семинара и система ПНИ-2026</w:t>
      </w:r>
    </w:p>
    <w:bookmarkStart w:id="215"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81</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5"/>
    <w:bookmarkStart w:id="216"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20</w:t>
      </w:r>
      <w:r>
        <w:t xml:space="preserve">82</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6"/>
    <w:bookmarkStart w:id="217"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7"/>
    <w:bookmarkStart w:id="218"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Усть-Илимский дом социального обслуживания (№ 94)</w:t>
      </w:r>
      <w:r>
        <w:t xml:space="preserve">6</w:t>
      </w:r>
      <w:r>
        <w:t xml:space="preserve">, ДСО «Серафимовский» (Санкт-Петербург, дом докладчика)</w:t>
      </w:r>
      <w:r>
        <w:t xml:space="preserve">7</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18"/>
    <w:bookmarkStart w:id="219"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5</w:t>
      </w:r>
      <w:r>
        <w:t xml:space="preserve">, Усть-Илимская организация</w:t>
      </w:r>
      <w:r>
        <w:t xml:space="preserve">6</w:t>
      </w:r>
      <w:r>
        <w:t xml:space="preserve"> </w:t>
      </w:r>
      <w:r>
        <w:t xml:space="preserve">и ДСО «Серафимовский»</w:t>
      </w:r>
      <w:r>
        <w:t xml:space="preserve">7</w:t>
      </w:r>
      <w:r>
        <w:t xml:space="preserve">; четвёртый практик (Болотнинский ПНИ</w:t>
      </w:r>
      <w:r>
        <w:t xml:space="preserve">4</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19"/>
    <w:bookmarkStart w:id="220"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0"/>
    <w:bookmarkEnd w:id="221"/>
    <w:bookmarkStart w:id="229" w:name="как-устроены-нормы-в-регионах"/>
    <w:p>
      <w:pPr>
        <w:pStyle w:val="Heading1"/>
      </w:pPr>
      <w:r>
        <w:t xml:space="preserve">24. Как устроены нормы в регионах</w:t>
      </w:r>
    </w:p>
    <w:bookmarkStart w:id="222"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30</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83</w:t>
      </w:r>
      <w:r>
        <w:t xml:space="preserve">13</w:t>
      </w:r>
      <w:r>
        <w:t xml:space="preserve">12</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2"/>
    <w:bookmarkStart w:id="223"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23"/>
    <w:bookmarkStart w:id="224"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20</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4"/>
    <w:bookmarkStart w:id="225"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5"/>
    <w:bookmarkStart w:id="226"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6"/>
    <w:bookmarkStart w:id="22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7"/>
    <w:bookmarkStart w:id="228"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13</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28"/>
    <w:bookmarkEnd w:id="229"/>
    <w:bookmarkStart w:id="241" w:name="X86ac6eb95ae9f7d62c6f3461e940b8adeecb857"/>
    <w:p>
      <w:pPr>
        <w:pStyle w:val="Heading1"/>
      </w:pPr>
      <w:r>
        <w:t xml:space="preserve">25. Российские практики: четыре подтверждённых кейса и одна региональная модель</w:t>
      </w:r>
    </w:p>
    <w:bookmarkStart w:id="230"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0"/>
    <w:bookmarkStart w:id="231"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1"/>
    <w:bookmarkStart w:id="232"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2"/>
    <w:bookmarkStart w:id="233"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3"/>
    <w:bookmarkStart w:id="234"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7</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84</w:t>
      </w:r>
      <w:r>
        <w:rPr>
          <w:b/>
          <w:bCs/>
        </w:rPr>
        <w:t xml:space="preserve">.</w:t>
      </w:r>
      <w:r>
        <w:t xml:space="preserve"> </w:t>
      </w:r>
      <w:r>
        <w:t xml:space="preserve">Приказ директора от 10.03.2026 № 124 утверждает</w:t>
      </w:r>
      <w:r>
        <w:t xml:space="preserve"> </w:t>
      </w:r>
      <w:r>
        <w:rPr>
          <w:b/>
          <w:bCs/>
        </w:rPr>
        <w:t xml:space="preserve">правила внутреннего распорядка жителей</w:t>
      </w:r>
      <w:r>
        <w:t xml:space="preserve"> </w:t>
      </w:r>
      <w:r>
        <w:t xml:space="preserve">ДСО «Серафимовский», и в этих правилах закреплено</w:t>
      </w:r>
      <w:r>
        <w:t xml:space="preserve"> </w:t>
      </w:r>
      <w:r>
        <w:rPr>
          <w:b/>
          <w:bCs/>
        </w:rPr>
        <w:t xml:space="preserve">заказное питание (вариативное меню)</w:t>
      </w:r>
      <w:r>
        <w:t xml:space="preserve"> </w:t>
      </w:r>
      <w:r>
        <w:t xml:space="preserve">— в том числе для маломобильных граждан: «для маломобильных граждан приём пищи осуществляется в жилых комнатах, оказывается помощь в кормлении (при необходимости)». Для доклада это меняет статус кейса: вариативность переведена из «эксперимента по новости» в</w:t>
      </w:r>
      <w:r>
        <w:t xml:space="preserve"> </w:t>
      </w:r>
      <w:r>
        <w:rPr>
          <w:b/>
          <w:bCs/>
        </w:rPr>
        <w:t xml:space="preserve">норму внутреннего распорядка</w:t>
      </w:r>
      <w:r>
        <w:t xml:space="preserve"> </w:t>
      </w:r>
      <w:r>
        <w:t xml:space="preserve">— локальный акт, на который можно ссылаться перед проверяющими («это правила дома, утверждённые приказом»).</w:t>
      </w:r>
      <w:r>
        <w:t xml:space="preserve"> </w:t>
      </w:r>
      <w:r>
        <w:rPr>
          <w:i/>
          <w:iCs/>
        </w:rPr>
        <w:t xml:space="preserve">Маркировка: реквизиты и формулировки — по PDF приказа, опубликованному на официальном сайте учреждения (www.pni9.ru); корректура от 20.08.2026 — ранее приказ ошибочно описывался как приказ «о зале заказного питания»; заказное питание — раздел правил, а не предмет отдельного приказа.</w:t>
      </w:r>
    </w:p>
    <w:bookmarkEnd w:id="234"/>
    <w:bookmarkStart w:id="235"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14</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5"/>
    <w:bookmarkStart w:id="236"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21</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6"/>
    <w:bookmarkStart w:id="237"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7"/>
    <w:bookmarkStart w:id="238"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4</w:t>
      </w:r>
      <w:r>
        <w:t xml:space="preserve">5</w:t>
      </w:r>
      <w:r>
        <w:t xml:space="preserve">6</w:t>
      </w:r>
      <w:r>
        <w:t xml:space="preserve">7</w:t>
      </w:r>
      <w:r>
        <w:t xml:space="preserve">14</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7</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38"/>
    <w:bookmarkStart w:id="239"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21</w:t>
      </w:r>
      <w:r>
        <w:t xml:space="preserve">, региональное решение по Иркутску</w:t>
      </w:r>
      <w:r>
        <w:t xml:space="preserve">14</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7</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39"/>
    <w:bookmarkStart w:id="240"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Серафимовский</w:t>
      </w:r>
      <w:r>
        <w:t xml:space="preserve">7</w:t>
      </w:r>
      <w:r>
        <w:t xml:space="preserve">, Иркутская область</w:t>
      </w:r>
      <w:r>
        <w:t xml:space="preserve">14</w:t>
      </w:r>
      <w:r>
        <w:t xml:space="preserve">, ДДСОЛ</w:t>
      </w:r>
      <w:r>
        <w:t xml:space="preserve">21</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w:t>
      </w:r>
      <w:r>
        <w:t xml:space="preserve">или заказ накануне для части жителей</w:t>
      </w:r>
      <w:r>
        <w:t xml:space="preserve">7</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5</w:t>
      </w:r>
      <w:r>
        <w:t xml:space="preserve"> </w:t>
      </w:r>
      <w:r>
        <w:t xml:space="preserve">и «полный переход крайне затруднителен»</w:t>
      </w:r>
      <w:r>
        <w:t xml:space="preserve">7</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0"/>
    <w:bookmarkEnd w:id="241"/>
    <w:bookmarkStart w:id="254" w:name="X425a70431dde03db255a93c37e85d31ea3ea318"/>
    <w:p>
      <w:pPr>
        <w:pStyle w:val="Heading1"/>
      </w:pPr>
      <w:r>
        <w:t xml:space="preserve">26. Международный опыт: проверяемые нормы девяти систем</w:t>
      </w:r>
    </w:p>
    <w:bookmarkStart w:id="242"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2"/>
    <w:bookmarkStart w:id="243"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37</w:t>
      </w:r>
      <w:r>
        <w:t xml:space="preserve">85</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39</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86</w:t>
      </w:r>
      <w:r>
        <w:t xml:space="preserve">87</w:t>
      </w:r>
      <w:r>
        <w:t xml:space="preserve">.</w:t>
      </w:r>
    </w:p>
    <w:bookmarkEnd w:id="243"/>
    <w:bookmarkStart w:id="244"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35</w:t>
      </w:r>
      <w:r>
        <w:t xml:space="preserve">44</w:t>
      </w:r>
      <w:r>
        <w:t xml:space="preserve">. Финансовая подпорка — следствие скандала: медиана расходов на сырьё $8,00 AUD в день (исследование Hugo)</w:t>
      </w:r>
      <w:r>
        <w:t xml:space="preserve">88</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89</w:t>
      </w:r>
      <w:r>
        <w:t xml:space="preserve">. Механизм «деньги в обмен на прозрачность» — самый переносимый финансовый элемент международного опыта (раздел 29).</w:t>
      </w:r>
    </w:p>
    <w:bookmarkEnd w:id="244"/>
    <w:bookmarkStart w:id="245"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23</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56</w:t>
      </w:r>
      <w:r>
        <w:t xml:space="preserve">. Почти вся эта решётка переносима в российский локальный акт без изменения закона — что и сделано в разделах 12, 20, 21.</w:t>
      </w:r>
    </w:p>
    <w:bookmarkEnd w:id="245"/>
    <w:bookmarkStart w:id="246"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36</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90</w:t>
      </w:r>
      <w:r>
        <w:t xml:space="preserve">: механика пронумерованных проверяемых пунктов переносима во внутренний аудит учреждения (приложения 18–24).</w:t>
      </w:r>
    </w:p>
    <w:bookmarkEnd w:id="246"/>
    <w:bookmarkStart w:id="247"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31</w:t>
      </w:r>
      <w:r>
        <w:t xml:space="preserve">80</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80</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33</w:t>
      </w:r>
      <w:r>
        <w:t xml:space="preserve">91</w:t>
      </w:r>
      <w:r>
        <w:t xml:space="preserve"> </w:t>
      </w:r>
      <w:r>
        <w:t xml:space="preserve">— бесплатный мониторинг потребления и поведения.</w:t>
      </w:r>
    </w:p>
    <w:bookmarkEnd w:id="247"/>
    <w:bookmarkStart w:id="248"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32</w:t>
      </w:r>
      <w:r>
        <w:t xml:space="preserve">29</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38</w:t>
      </w:r>
      <w:r>
        <w:t xml:space="preserve">; исследование SUNRISE показало, что</w:t>
      </w:r>
      <w:r>
        <w:t xml:space="preserve"> </w:t>
      </w:r>
      <w:r>
        <w:rPr>
          <w:b/>
          <w:bCs/>
        </w:rPr>
        <w:t xml:space="preserve">аппетитные названия блюд измеримо меняют выбор</w:t>
      </w:r>
      <w:r>
        <w:t xml:space="preserve">92</w:t>
      </w:r>
      <w:r>
        <w:t xml:space="preserve"> </w:t>
      </w:r>
      <w:r>
        <w:t xml:space="preserve">— самая дешёвая из всех норм раздела.</w:t>
      </w:r>
    </w:p>
    <w:bookmarkEnd w:id="248"/>
    <w:bookmarkStart w:id="249"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93</w:t>
      </w:r>
      <w:r>
        <w:t xml:space="preserve">94</w:t>
      </w:r>
      <w:r>
        <w:t xml:space="preserve">95</w:t>
      </w:r>
      <w:r>
        <w:t xml:space="preserve">. Измеримые связки: доплата — с меньшим риском ухудшения уровня ухода (HR 0,90)</w:t>
      </w:r>
      <w:r>
        <w:t xml:space="preserve">96</w:t>
      </w:r>
      <w:r>
        <w:t xml:space="preserve">; два управляющих диетолога вместо одного — госпитализация 20,3 % против 30,6 %</w:t>
      </w:r>
      <w:r>
        <w:t xml:space="preserve">97</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49"/>
    <w:bookmarkStart w:id="250"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0"/>
    <w:bookmarkStart w:id="251"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1"/>
    <w:bookmarkStart w:id="252"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31</w:t>
      </w:r>
      <w:r>
        <w:t xml:space="preserve">, США — не более 14 (16 с ночным перекусом)</w:t>
      </w:r>
      <w:r>
        <w:t xml:space="preserve">36</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93</w:t>
      </w:r>
      <w:r>
        <w:t xml:space="preserve">), через 16 лет — обязательность</w:t>
      </w:r>
      <w:r>
        <w:t xml:space="preserve">95</w:t>
      </w:r>
      <w:r>
        <w:t xml:space="preserve">, параллельно — национальная база данных LIFE, делающая практики сопоставимыми</w:t>
      </w:r>
      <w:r>
        <w:t xml:space="preserve">96</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98</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2"/>
    <w:bookmarkStart w:id="253"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23</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90</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35</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3"/>
    <w:bookmarkEnd w:id="254"/>
    <w:bookmarkStart w:id="263" w:name="X161f5f8b1c07faf8cc4bd08aca8a6b3d6060e69"/>
    <w:p>
      <w:pPr>
        <w:pStyle w:val="Heading1"/>
      </w:pPr>
      <w:r>
        <w:t xml:space="preserve">27. Что говорят исследования: доказательные вмешательства и их границы</w:t>
      </w:r>
    </w:p>
    <w:bookmarkStart w:id="255"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5"/>
    <w:bookmarkStart w:id="256"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34</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43</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70</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96</w:t>
      </w:r>
      <w:r>
        <w:t xml:space="preserve">97</w:t>
      </w:r>
      <w:r>
        <w:t xml:space="preserve">.</w:t>
      </w:r>
      <w:r>
        <w:t xml:space="preserve"> </w:t>
      </w:r>
      <w:r>
        <w:rPr>
          <w:i/>
          <w:iCs/>
        </w:rPr>
        <w:t xml:space="preserve">Ограничение: наблюдательные данные, возможен отбор; причинность не доказана.</w:t>
      </w:r>
    </w:p>
    <w:bookmarkEnd w:id="256"/>
    <w:bookmarkStart w:id="257"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86</w:t>
      </w:r>
      <w:r>
        <w:t xml:space="preserve">87</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62</w:t>
      </w:r>
      <w:r>
        <w:t xml:space="preserve"> </w:t>
      </w:r>
      <w:r>
        <w:t xml:space="preserve">— статистически реальный, клинически скромный. Программы с диетологом сильнее</w:t>
      </w:r>
      <w:r>
        <w:t xml:space="preserve">63</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26</w:t>
      </w:r>
      <w:r>
        <w:t xml:space="preserve">79</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7"/>
    <w:bookmarkStart w:id="258"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10</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59</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60</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16</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19</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15</w:t>
            </w:r>
            <w:r>
              <w:t xml:space="preserve">9</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8</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8</w:t>
            </w:r>
          </w:p>
        </w:tc>
      </w:tr>
    </w:tbl>
    <w:bookmarkEnd w:id="258"/>
    <w:bookmarkStart w:id="259"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59"/>
    <w:bookmarkStart w:id="260"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0"/>
    <w:bookmarkStart w:id="26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1"/>
    <w:bookmarkStart w:id="262"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34</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43</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98</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2"/>
    <w:bookmarkEnd w:id="263"/>
    <w:bookmarkStart w:id="273" w:name="люди-за-линией-персонал-стола"/>
    <w:p>
      <w:pPr>
        <w:pStyle w:val="Heading1"/>
      </w:pPr>
      <w:r>
        <w:t xml:space="preserve">28. Люди за линией: персонал стола</w:t>
      </w:r>
    </w:p>
    <w:bookmarkStart w:id="26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64"/>
    <w:bookmarkStart w:id="265"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29</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5"/>
    <w:bookmarkStart w:id="26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23</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6"/>
    <w:bookmarkStart w:id="26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43</w:t>
      </w:r>
      <w:r>
        <w:t xml:space="preserve">. Обучение — самая дешёвая точка рычага во всём докладе.</w:t>
      </w:r>
    </w:p>
    <w:bookmarkEnd w:id="267"/>
    <w:bookmarkStart w:id="26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68"/>
    <w:bookmarkStart w:id="269"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69"/>
    <w:bookmarkStart w:id="27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70"/>
    <w:bookmarkStart w:id="271"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14</w:t>
      </w:r>
      <w:r>
        <w:t xml:space="preserve">21</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1"/>
    <w:bookmarkStart w:id="272"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2"/>
    <w:bookmarkEnd w:id="273"/>
    <w:bookmarkStart w:id="284" w:name="Xdd21f798fe908fdd37793a1f368b417b1c4cb2b"/>
    <w:p>
      <w:pPr>
        <w:pStyle w:val="Heading1"/>
      </w:pPr>
      <w:r>
        <w:t xml:space="preserve">29. Финансовые модели: сколько стоит питание и сколько стоит выбор</w:t>
      </w:r>
    </w:p>
    <w:bookmarkStart w:id="27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4"/>
    <w:bookmarkStart w:id="27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88</w:t>
      </w:r>
      <w:r>
        <w:t xml:space="preserve">; Онтарио: «скандальные» $8,33 CAD, выросшие до $13,71 CAD после публичной кампании</w:t>
      </w:r>
      <w:r>
        <w:t xml:space="preserve">99</w:t>
      </w:r>
      <w:r>
        <w:t xml:space="preserve">100</w:t>
      </w:r>
      <w:r>
        <w:t xml:space="preserve">; США: более четверти домов в 2025 году опустились ниже $10 (данные отраслевой ассоциации ANFP — не госоргана)</w:t>
      </w:r>
      <w:r>
        <w:t xml:space="preserve">101</w:t>
      </w:r>
      <w:r>
        <w:t xml:space="preserve">102</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89</w:t>
      </w:r>
      <w:r>
        <w:t xml:space="preserve">100</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56</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56</w:t>
      </w:r>
      <w:r>
        <w:t xml:space="preserve">. Это самая дорогая и самая скрытая строка: она живёт в штатном расписании, а не в продуктовом бюджете.</w:t>
      </w:r>
    </w:p>
    <w:bookmarkEnd w:id="275"/>
    <w:bookmarkStart w:id="27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89</w:t>
      </w:r>
      <w:r>
        <w:t xml:space="preserve">99</w:t>
      </w:r>
      <w:r>
        <w:t xml:space="preserve">. Если никто в доме не может назвать эту цифру за пять минут — это первая находка аудита (раздел 22).</w:t>
      </w:r>
    </w:p>
    <w:bookmarkEnd w:id="276"/>
    <w:bookmarkStart w:id="27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7"/>
    <w:bookmarkStart w:id="27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103</w:t>
      </w:r>
      <w:r>
        <w:t xml:space="preserve">, но переносятся только как гипотеза.</w:t>
      </w:r>
    </w:p>
    <w:bookmarkEnd w:id="278"/>
    <w:bookmarkStart w:id="27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89</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89</w:t>
      </w:r>
      <w:r>
        <w:t xml:space="preserve"> </w:t>
      </w:r>
      <w:r>
        <w:t xml:space="preserve">— предложить такую конструкцию (прозрачность строки в обмен на её увеличение) может и российский директор.</w:t>
      </w:r>
    </w:p>
    <w:bookmarkEnd w:id="279"/>
    <w:bookmarkStart w:id="28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56</w:t>
      </w:r>
      <w:r>
        <w:t xml:space="preserve">88</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0"/>
    <w:bookmarkStart w:id="28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1"/>
    <w:bookmarkStart w:id="28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56</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74</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56</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89</w:t>
      </w:r>
      <w:r>
        <w:t xml:space="preserve">99</w:t>
      </w:r>
      <w:r>
        <w:t xml:space="preserve">.</w:t>
      </w:r>
    </w:p>
    <w:bookmarkEnd w:id="282"/>
    <w:bookmarkStart w:id="283"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3"/>
    <w:bookmarkEnd w:id="284"/>
    <w:bookmarkStart w:id="292" w:name="закупки-продуктов-44-фз-без-кошмаров"/>
    <w:p>
      <w:pPr>
        <w:pStyle w:val="Heading1"/>
      </w:pPr>
      <w:r>
        <w:t xml:space="preserve">30. Закупки продуктов: 44-ФЗ без кошмаров</w:t>
      </w:r>
    </w:p>
    <w:bookmarkStart w:id="285"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5"/>
    <w:bookmarkStart w:id="286"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6"/>
    <w:bookmarkStart w:id="287"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74</w:t>
      </w:r>
      <w:r>
        <w:t xml:space="preserve">; в Челябинске — картель на 27 тендерах школьного питания со штрафом и уголовным делом по ст. 178 УК (2025)</w:t>
      </w:r>
      <w:r>
        <w:t xml:space="preserve">75</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7"/>
    <w:bookmarkStart w:id="288"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12</w:t>
      </w:r>
      <w:r>
        <w:t xml:space="preserve">13</w:t>
      </w:r>
      <w:r>
        <w:t xml:space="preserve">.</w:t>
      </w:r>
    </w:p>
    <w:bookmarkEnd w:id="288"/>
    <w:bookmarkStart w:id="289"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89"/>
    <w:bookmarkStart w:id="290"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0"/>
    <w:bookmarkStart w:id="29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74</w:t>
      </w:r>
      <w:r>
        <w:t xml:space="preserve">, а региональные дела доходят до штрафов в миллионы рублей</w:t>
      </w:r>
      <w:r>
        <w:t xml:space="preserve">75</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1"/>
    <w:bookmarkEnd w:id="292"/>
    <w:bookmarkStart w:id="302" w:name="Xd2fa706ae8e58f95f3b875ca550f34ac645a139"/>
    <w:p>
      <w:pPr>
        <w:pStyle w:val="Heading1"/>
      </w:pPr>
      <w:r>
        <w:t xml:space="preserve">31. Документальный комплект: как практика становится системой</w:t>
      </w:r>
    </w:p>
    <w:bookmarkStart w:id="29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3"/>
    <w:bookmarkStart w:id="29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30</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23</w:t>
      </w:r>
      <w:r>
        <w:t xml:space="preserve">32</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36</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42</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94"/>
    <w:bookmarkStart w:id="29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15</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5"/>
    <w:bookmarkStart w:id="29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6"/>
    <w:bookmarkStart w:id="29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104</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7"/>
    <w:bookmarkStart w:id="29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8"/>
    <w:bookmarkStart w:id="29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9"/>
    <w:bookmarkStart w:id="30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0"/>
    <w:bookmarkStart w:id="30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104</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1"/>
    <w:bookmarkEnd w:id="302"/>
    <w:bookmarkStart w:id="311" w:name="X86e9f53ab16b6b17dd6a298d92c11c9b169e6eb"/>
    <w:p>
      <w:pPr>
        <w:pStyle w:val="Heading1"/>
      </w:pPr>
      <w:r>
        <w:t xml:space="preserve">32. Как отвечать проверяющему: сценарий диалога без страха</w:t>
      </w:r>
    </w:p>
    <w:bookmarkStart w:id="30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74</w:t>
      </w:r>
      <w:r>
        <w:t xml:space="preserve">75</w:t>
      </w:r>
      <w:r>
        <w:t xml:space="preserve"> </w:t>
      </w:r>
      <w:r>
        <w:t xml:space="preserve">и логика надзорных документов</w:t>
      </w:r>
      <w:r>
        <w:t xml:space="preserve">11</w:t>
      </w:r>
      <w:r>
        <w:t xml:space="preserve">; это не консультация юриста по конкретному делу.</w:t>
      </w:r>
    </w:p>
    <w:bookmarkEnd w:id="303"/>
    <w:bookmarkStart w:id="30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4"/>
    <w:bookmarkStart w:id="30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36</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14</w:t>
      </w:r>
      <w:r>
        <w:t xml:space="preserve">21</w:t>
      </w:r>
      <w:r>
        <w:t xml:space="preserve">.</w:t>
      </w:r>
    </w:p>
    <w:bookmarkEnd w:id="305"/>
    <w:bookmarkStart w:id="30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6"/>
    <w:bookmarkStart w:id="30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74</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7"/>
    <w:bookmarkStart w:id="30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8"/>
    <w:bookmarkStart w:id="30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9"/>
    <w:bookmarkStart w:id="31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0"/>
    <w:bookmarkEnd w:id="311"/>
    <w:bookmarkStart w:id="320" w:name="Xae0ad74d1a4a4d7fc9855bf766fceb7fa212e2e"/>
    <w:p>
      <w:pPr>
        <w:pStyle w:val="Heading1"/>
      </w:pPr>
      <w:r>
        <w:t xml:space="preserve">33. Ответственность директора: честная карта рисков без запугивания</w:t>
      </w:r>
    </w:p>
    <w:bookmarkStart w:id="31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2"/>
    <w:bookmarkStart w:id="31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11</w:t>
      </w:r>
      <w:r>
        <w:t xml:space="preserve"> </w:t>
      </w:r>
      <w:r>
        <w:t xml:space="preserve">и материалы по Зеленогорскому ДИПИ (2021, ТАСС)</w:t>
      </w:r>
      <w:r>
        <w:t xml:space="preserve">11</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22</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3"/>
    <w:bookmarkStart w:id="31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4"/>
    <w:bookmarkStart w:id="31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36</w:t>
      </w:r>
      <w:r>
        <w:t xml:space="preserve">23</w:t>
      </w:r>
      <w:r>
        <w:t xml:space="preserve">35</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5"/>
    <w:bookmarkStart w:id="31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6"/>
    <w:bookmarkStart w:id="31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7"/>
    <w:bookmarkStart w:id="31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74</w:t>
      </w:r>
      <w:r>
        <w:t xml:space="preserve">75</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8"/>
    <w:bookmarkStart w:id="31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19"/>
    <w:bookmarkEnd w:id="320"/>
    <w:bookmarkStart w:id="329" w:name="X832af1afcb71eeb12cff204b7ceed6576a17967"/>
    <w:p>
      <w:pPr>
        <w:pStyle w:val="Heading1"/>
      </w:pPr>
      <w:r>
        <w:t xml:space="preserve">34. Права жителей и совет жителей: от объекта заботы к соавтору меню</w:t>
      </w:r>
    </w:p>
    <w:bookmarkStart w:id="32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76</w:t>
      </w:r>
      <w:r>
        <w:t xml:space="preserve">27</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1"/>
    <w:bookmarkStart w:id="32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21</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2"/>
    <w:bookmarkStart w:id="32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3"/>
    <w:bookmarkStart w:id="32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20</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35</w:t>
      </w:r>
      <w:r>
        <w:t xml:space="preserve">, в Онтарио — через обязательный учёт preferences в плане питания</w:t>
      </w:r>
      <w:r>
        <w:t xml:space="preserve">23</w:t>
      </w:r>
      <w:r>
        <w:t xml:space="preserve">.</w:t>
      </w:r>
    </w:p>
    <w:bookmarkEnd w:id="324"/>
    <w:bookmarkStart w:id="32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5"/>
    <w:bookmarkStart w:id="32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26"/>
    <w:bookmarkStart w:id="32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7"/>
    <w:bookmarkStart w:id="32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28"/>
    <w:bookmarkEnd w:id="329"/>
    <w:bookmarkStart w:id="340" w:name="X2737d664db3562ceeae2c8b51adb0110b9a8ed5"/>
    <w:p>
      <w:pPr>
        <w:pStyle w:val="Heading1"/>
      </w:pPr>
      <w:r>
        <w:t xml:space="preserve">35. Пилот на 90 дней: минимальный безопасный старт</w:t>
      </w:r>
    </w:p>
    <w:bookmarkStart w:id="33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30"/>
    <w:bookmarkStart w:id="33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1"/>
    <w:bookmarkStart w:id="33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2"/>
    <w:bookmarkStart w:id="33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3"/>
    <w:bookmarkStart w:id="33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4"/>
    <w:bookmarkStart w:id="33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7</w:t>
      </w:r>
      <w:r>
        <w:t xml:space="preserve">.</w:t>
      </w:r>
    </w:p>
    <w:bookmarkEnd w:id="335"/>
    <w:bookmarkStart w:id="33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6"/>
    <w:bookmarkStart w:id="33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7"/>
    <w:bookmarkStart w:id="33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38"/>
    <w:bookmarkStart w:id="339"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39"/>
    <w:bookmarkEnd w:id="340"/>
    <w:bookmarkStart w:id="350" w:name="X7b5ebb02fe1d91e4cecf762e4e11317cb00fc8d"/>
    <w:p>
      <w:pPr>
        <w:pStyle w:val="Heading1"/>
      </w:pPr>
      <w:r>
        <w:t xml:space="preserve">36. Дорожная карта на 12 месяцев: от пилота к системе</w:t>
      </w:r>
    </w:p>
    <w:bookmarkStart w:id="341"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20</w:t>
      </w:r>
      <w:r>
        <w:t xml:space="preserve">) темп реалистичен, для малых — может быть быстрее, для многокорпусных — медленнее. Карта — рекомендация, не норматив.</w:t>
      </w:r>
    </w:p>
    <w:bookmarkEnd w:id="341"/>
    <w:bookmarkStart w:id="342"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2"/>
    <w:bookmarkStart w:id="343"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3"/>
    <w:bookmarkStart w:id="344"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4"/>
    <w:bookmarkStart w:id="345"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14</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5"/>
    <w:bookmarkStart w:id="346"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6"/>
    <w:bookmarkStart w:id="347"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7"/>
    <w:bookmarkStart w:id="348"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48"/>
    <w:bookmarkStart w:id="349"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49"/>
    <w:bookmarkEnd w:id="350"/>
    <w:bookmarkStart w:id="355" w:name="X7041086d96d4985fa5ed3e2980129dc9c770d38"/>
    <w:p>
      <w:pPr>
        <w:pStyle w:val="Heading1"/>
      </w:pPr>
      <w:r>
        <w:t xml:space="preserve">37. Четырнадцать возражений и честные ответы на них</w:t>
      </w:r>
    </w:p>
    <w:bookmarkStart w:id="351"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35</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36</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21</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14</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2</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1"/>
    <w:bookmarkStart w:id="352"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2"/>
    <w:bookmarkStart w:id="353"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3"/>
    <w:bookmarkStart w:id="354"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4"/>
    <w:bookmarkEnd w:id="355"/>
    <w:bookmarkStart w:id="364" w:name="Xb2d2e447a88ba85b4a7652ea9336295743d30be"/>
    <w:p>
      <w:pPr>
        <w:pStyle w:val="Heading1"/>
      </w:pPr>
      <w:r>
        <w:t xml:space="preserve">38. Десять вопросов учредителю: повестка для разговора наверх</w:t>
      </w:r>
    </w:p>
    <w:bookmarkStart w:id="356"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6"/>
    <w:bookmarkStart w:id="357"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30</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21</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104</w:t>
      </w:r>
      <w:r>
        <w:t xml:space="preserve"> </w:t>
      </w:r>
      <w:r>
        <w:t xml:space="preserve">— и допускает ли она журналы заказа и замен как приложения?</w:t>
      </w:r>
    </w:p>
    <w:bookmarkEnd w:id="357"/>
    <w:bookmarkStart w:id="358"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89</w:t>
      </w:r>
      <w:r>
        <w:t xml:space="preserve">99</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58"/>
    <w:bookmarkStart w:id="359"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14</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9"/>
    <w:bookmarkStart w:id="360"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0"/>
    <w:bookmarkStart w:id="361"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1"/>
    <w:bookmarkStart w:id="362"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2"/>
    <w:bookmarkStart w:id="363"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3"/>
    <w:bookmarkEnd w:id="364"/>
    <w:bookmarkStart w:id="372" w:name="X61b1f62aee0beb18597a7fc2d21254a40c6facd"/>
    <w:p>
      <w:pPr>
        <w:pStyle w:val="Heading1"/>
      </w:pPr>
      <w:r>
        <w:t xml:space="preserve">39. Предложения отрасли: что должно измениться выше уровня учреждения</w:t>
      </w:r>
    </w:p>
    <w:bookmarkStart w:id="365"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5"/>
    <w:bookmarkStart w:id="366"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30</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23</w:t>
      </w:r>
      <w:r>
        <w:t xml:space="preserve">, альтернатива при отказе — США</w:t>
      </w:r>
      <w:r>
        <w:t xml:space="preserve">36</w:t>
      </w:r>
      <w:r>
        <w:t xml:space="preserve">, «что, когда, где и как я ем» — Австралия</w:t>
      </w:r>
      <w:r>
        <w:t xml:space="preserve">35</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21</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104</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14</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6"/>
    <w:bookmarkStart w:id="367"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21</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14</w:t>
      </w:r>
      <w:r>
        <w:t xml:space="preserve">.</w:t>
      </w:r>
    </w:p>
    <w:bookmarkEnd w:id="367"/>
    <w:bookmarkStart w:id="368"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30</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68"/>
    <w:bookmarkStart w:id="369"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9"/>
    <w:bookmarkStart w:id="370"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93</w:t>
      </w:r>
      <w:r>
        <w:t xml:space="preserve">95</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0"/>
    <w:bookmarkStart w:id="371"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1"/>
    <w:bookmarkEnd w:id="372"/>
    <w:bookmarkStart w:id="380" w:name="X363ec400b784b5526980a090237946218358c45"/>
    <w:p>
      <w:pPr>
        <w:pStyle w:val="Heading1"/>
      </w:pPr>
      <w:r>
        <w:t xml:space="preserve">40. Организационные предложения семинару: как превратить три дня в систему</w:t>
      </w:r>
    </w:p>
    <w:bookmarkStart w:id="373"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5</w:t>
      </w:r>
      <w:r>
        <w:t xml:space="preserve">), Усть-Илимская организация (Иркутская область, публикация от 27.09.2024</w:t>
      </w:r>
      <w:r>
        <w:t xml:space="preserve">6</w:t>
      </w:r>
      <w:r>
        <w:t xml:space="preserve">) и ДСО «Серафимовский» (Санкт-Петербург, дом докладчика; новость Комитета от 22.07.2025</w:t>
      </w:r>
      <w:r>
        <w:t xml:space="preserve">7</w:t>
      </w:r>
      <w:r>
        <w:t xml:space="preserve">). Рядом — представители региона, где модель масштабирована решением области</w:t>
      </w:r>
      <w:r>
        <w:t xml:space="preserve">14</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3"/>
    <w:bookmarkStart w:id="374"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7</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74"/>
    <w:bookmarkStart w:id="375"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5"/>
    <w:bookmarkStart w:id="376"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6"/>
    <w:bookmarkStart w:id="377"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7"/>
    <w:bookmarkStart w:id="378"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78"/>
    <w:bookmarkStart w:id="379"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9"/>
    <w:bookmarkEnd w:id="380"/>
    <w:bookmarkStart w:id="387" w:name="Xe7199e4bc187e49c474b44d0afe339f5b17b4fc"/>
    <w:p>
      <w:pPr>
        <w:pStyle w:val="Heading1"/>
      </w:pPr>
      <w:r>
        <w:t xml:space="preserve">41. Заявление о достоверности: что в этом докладе на чём стоит</w:t>
      </w:r>
    </w:p>
    <w:bookmarkStart w:id="381"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1"/>
    <w:bookmarkStart w:id="382"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29 записей S001–S030 без S026, даты проверки — июль–август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16</w:t>
      </w:r>
      <w:r>
        <w:t xml:space="preserve">, литий — соль</w:t>
      </w:r>
      <w:r>
        <w:t xml:space="preserve">17</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35</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20</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14</w:t>
      </w:r>
      <w:r>
        <w:t xml:space="preserve">21</w:t>
      </w:r>
      <w:r>
        <w:t xml:space="preserve">7</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2"/>
    <w:bookmarkStart w:id="383"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3"/>
    <w:bookmarkStart w:id="384"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84"/>
    <w:bookmarkStart w:id="385"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5"/>
    <w:bookmarkStart w:id="386"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104</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6"/>
    <w:bookmarkEnd w:id="387"/>
    <w:bookmarkStart w:id="395" w:name="X6362a53695e2062979659afd86e1990269b0122"/>
    <w:p>
      <w:pPr>
        <w:pStyle w:val="Heading1"/>
      </w:pPr>
      <w:r>
        <w:t xml:space="preserve">42. Аутсорсинг питания: контракт как место вариативности</w:t>
      </w:r>
    </w:p>
    <w:bookmarkStart w:id="388"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105</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105</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8"/>
    <w:bookmarkStart w:id="389"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106</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9"/>
    <w:bookmarkStart w:id="390"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30</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2</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0"/>
    <w:bookmarkStart w:id="391"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11</w:t>
      </w:r>
      <w:r>
        <w:t xml:space="preserve">, сговоры поставщиков — практика ФАС</w:t>
      </w:r>
      <w:r>
        <w:t xml:space="preserve">74</w:t>
      </w:r>
      <w:r>
        <w:t xml:space="preserve">.</w:t>
      </w:r>
    </w:p>
    <w:bookmarkEnd w:id="391"/>
    <w:bookmarkStart w:id="392"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56</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30</w:t>
      </w:r>
      <w:r>
        <w:t xml:space="preserve">. Международный ориентир: британские стандарты питания в стационарах обязательны и для контрактных поставщиков</w:t>
      </w:r>
      <w:r>
        <w:t xml:space="preserve">107</w:t>
      </w:r>
      <w:r>
        <w:t xml:space="preserve">; нормы Онтарио применяются независимо от способа обеспечения питания</w:t>
      </w:r>
      <w:r>
        <w:t xml:space="preserve">23</w:t>
      </w:r>
      <w:r>
        <w:t xml:space="preserve">. Экономия, которую обещает аутсорсер, должна быть показана построками (сырьё, труд, энергия, логистика), а не «общей цифрой».</w:t>
      </w:r>
    </w:p>
    <w:bookmarkEnd w:id="392"/>
    <w:bookmarkStart w:id="393"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3"/>
    <w:bookmarkStart w:id="394"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4"/>
    <w:bookmarkEnd w:id="395"/>
    <w:bookmarkStart w:id="401" w:name="X7034ecfe43927fd4691e194b532f91ab0323a65"/>
    <w:p>
      <w:pPr>
        <w:pStyle w:val="Heading1"/>
      </w:pPr>
      <w:r>
        <w:t xml:space="preserve">43. Заключение: что остаётся после последней страницы</w:t>
      </w:r>
    </w:p>
    <w:bookmarkStart w:id="396"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7</w:t>
      </w:r>
      <w:r>
        <w:t xml:space="preserve">, и в регионе, масштабировавшем её решением области</w:t>
      </w:r>
      <w:r>
        <w:t xml:space="preserve">14</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6"/>
    <w:bookmarkStart w:id="397"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16</w:t>
      </w:r>
      <w:r>
        <w:t xml:space="preserve">; житель, чья дисфагия пока видна только внимательной сиделке</w:t>
      </w:r>
      <w:r>
        <w:t xml:space="preserve">15</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7"/>
    <w:bookmarkStart w:id="398"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98"/>
    <w:bookmarkStart w:id="399"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99"/>
    <w:bookmarkStart w:id="400"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0"/>
    <w:bookmarkEnd w:id="401"/>
    <w:bookmarkStart w:id="402"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(29 записей, маркеры S001–S030 без S026, даты проверки — июль–август 2026 года);</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402"/>
    <w:bookmarkStart w:id="40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03"/>
    <w:bookmarkStart w:id="40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0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36</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04"/>
    <w:bookmarkStart w:id="40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21</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05"/>
    <w:bookmarkStart w:id="40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35</w:t>
      </w:r>
      <w:r>
        <w:t xml:space="preserve">; Онтарио — учёт preferences в плане питания</w:t>
      </w:r>
      <w:r>
        <w:t xml:space="preserve">23</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06"/>
    <w:bookmarkStart w:id="40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36</w:t>
      </w:r>
      <w:r>
        <w:t xml:space="preserve">23</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07"/>
    <w:bookmarkEnd w:id="408"/>
    <w:bookmarkStart w:id="41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0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15</w:t>
      </w:r>
      <w:r>
        <w:t xml:space="preserve">8</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09"/>
    <w:bookmarkStart w:id="41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61</w:t>
      </w:r>
      <w:r>
        <w:t xml:space="preserve">. Международный ориентир гибкости: «что, когда, где и как я ем» (Стандарт 6)</w:t>
      </w:r>
      <w:r>
        <w:t xml:space="preserve">35</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10"/>
    <w:bookmarkStart w:id="41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40</w:t>
      </w:r>
      <w:r>
        <w:t xml:space="preserve">108</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11"/>
    <w:bookmarkStart w:id="41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42</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9</w:t>
      </w:r>
      <w:r>
        <w:t xml:space="preserve">41</w:t>
      </w:r>
      <w:r>
        <w:t xml:space="preserve">; связь текстуры с исходами показана в исследованиях внедрения IDDSI</w:t>
      </w:r>
      <w:r>
        <w:t xml:space="preserve">43</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12"/>
    <w:bookmarkEnd w:id="413"/>
    <w:bookmarkStart w:id="41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1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42</w:t>
      </w:r>
      <w:r>
        <w:t xml:space="preserve">; внедрение стандарта улучшает соответствие назначенной текстуры фактической</w:t>
      </w:r>
      <w:r>
        <w:t xml:space="preserve">43</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14"/>
    <w:bookmarkStart w:id="41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15"/>
    <w:bookmarkStart w:id="41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61</w:t>
      </w:r>
      <w:r>
        <w:t xml:space="preserve">59</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10</w:t>
      </w:r>
      <w:r>
        <w:t xml:space="preserve">60</w:t>
      </w:r>
      <w:r>
        <w:t xml:space="preserve">; гиперфагия и ночное едение описаны как специфические синдромы</w:t>
      </w:r>
      <w:r>
        <w:t xml:space="preserve">40</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16"/>
    <w:bookmarkStart w:id="41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39</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17"/>
    <w:bookmarkEnd w:id="418"/>
    <w:bookmarkStart w:id="42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1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104</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104</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19"/>
    <w:bookmarkStart w:id="42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20"/>
    <w:bookmarkStart w:id="42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39</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21"/>
    <w:bookmarkStart w:id="42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35</w:t>
      </w:r>
      <w:r>
        <w:t xml:space="preserve">23</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22"/>
    <w:bookmarkEnd w:id="423"/>
    <w:bookmarkStart w:id="42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2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35</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31</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24"/>
    <w:bookmarkStart w:id="42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23</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56</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23</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25"/>
    <w:bookmarkStart w:id="42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74</w:t>
      </w:r>
      <w:r>
        <w:t xml:space="preserve">75</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26"/>
    <w:bookmarkStart w:id="42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76</w:t>
      </w:r>
      <w:r>
        <w:t xml:space="preserve">27</w:t>
      </w:r>
      <w:r>
        <w:t xml:space="preserve">; международные нормы прямо требуют учёта предпочтений при когнитивных ограничениях</w:t>
      </w:r>
      <w:r>
        <w:t xml:space="preserve">35</w:t>
      </w:r>
      <w:r>
        <w:t xml:space="preserve">23</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27"/>
    <w:bookmarkEnd w:id="428"/>
    <w:bookmarkStart w:id="43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2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56</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29"/>
    <w:bookmarkStart w:id="43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107</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30"/>
    <w:bookmarkStart w:id="43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31"/>
    <w:bookmarkEnd w:id="432"/>
    <w:bookmarkStart w:id="433"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33"/>
    <w:bookmarkStart w:id="44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3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34"/>
    <w:bookmarkStart w:id="43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35"/>
    <w:bookmarkStart w:id="43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3"/>
        </w:numPr>
      </w:pPr>
      <w:r>
        <w:t xml:space="preserve">Где и как ел всю жизнь: дома, в семье, один, в учреждениях?</w:t>
      </w:r>
    </w:p>
    <w:p>
      <w:pPr>
        <w:pStyle w:val="Compact"/>
        <w:numPr>
          <w:ilvl w:val="0"/>
          <w:numId w:val="1043"/>
        </w:numPr>
      </w:pPr>
      <w:r>
        <w:t xml:space="preserve">Что готовил сам? Что готовили для него?</w:t>
      </w:r>
    </w:p>
    <w:p>
      <w:pPr>
        <w:pStyle w:val="Compact"/>
        <w:numPr>
          <w:ilvl w:val="0"/>
          <w:numId w:val="1043"/>
        </w:numPr>
      </w:pPr>
      <w:r>
        <w:t xml:space="preserve">Еда праздника и еда будня — что это было?</w:t>
      </w:r>
    </w:p>
    <w:p>
      <w:pPr>
        <w:pStyle w:val="Compact"/>
        <w:numPr>
          <w:ilvl w:val="0"/>
          <w:numId w:val="1043"/>
        </w:numPr>
      </w:pPr>
      <w:r>
        <w:t xml:space="preserve">Что никогда не ел и почему (если помнит/говорит)?</w:t>
      </w:r>
    </w:p>
    <w:p>
      <w:pPr>
        <w:pStyle w:val="Compact"/>
        <w:numPr>
          <w:ilvl w:val="0"/>
          <w:numId w:val="1043"/>
        </w:numPr>
      </w:pPr>
      <w:r>
        <w:t xml:space="preserve">Кто в его жизни «знает, как он ест» — имя, контакт?</w:t>
      </w:r>
    </w:p>
    <w:p>
      <w:pPr>
        <w:pStyle w:val="Compact"/>
        <w:numPr>
          <w:ilvl w:val="0"/>
          <w:numId w:val="1043"/>
        </w:numPr>
      </w:pPr>
      <w:r>
        <w:t xml:space="preserve">Что из еды связано с тяжёлыми периодами (голод, стационары, ограничения)?</w:t>
      </w:r>
    </w:p>
    <w:p>
      <w:pPr>
        <w:pStyle w:val="Compact"/>
        <w:numPr>
          <w:ilvl w:val="0"/>
          <w:numId w:val="1043"/>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36"/>
    <w:bookmarkStart w:id="43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37"/>
    <w:bookmarkStart w:id="43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4"/>
        </w:numPr>
      </w:pPr>
      <w:r>
        <w:t xml:space="preserve">формат: лист А4 или А3 на день, вешается в столовой и на посту;</w:t>
      </w:r>
    </w:p>
    <w:p>
      <w:pPr>
        <w:pStyle w:val="Compact"/>
        <w:numPr>
          <w:ilvl w:val="0"/>
          <w:numId w:val="1044"/>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4"/>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4"/>
        </w:numPr>
      </w:pPr>
      <w:r>
        <w:t xml:space="preserve">варианты выбора расположены рядом, визуально сопоставимы;</w:t>
      </w:r>
    </w:p>
    <w:p>
      <w:pPr>
        <w:pStyle w:val="Compact"/>
        <w:numPr>
          <w:ilvl w:val="0"/>
          <w:numId w:val="1044"/>
        </w:numPr>
      </w:pPr>
      <w:r>
        <w:t xml:space="preserve">фотографии обновляются при смене меню-цикла; ламинация — для санитарной обработки;</w:t>
      </w:r>
    </w:p>
    <w:p>
      <w:pPr>
        <w:pStyle w:val="Compact"/>
        <w:numPr>
          <w:ilvl w:val="0"/>
          <w:numId w:val="1044"/>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38"/>
    <w:bookmarkStart w:id="43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5"/>
        </w:numPr>
      </w:pPr>
      <w:r>
        <w:t xml:space="preserve">Что было предъявлено (карточки / блюда / меню): ________</w:t>
      </w:r>
    </w:p>
    <w:p>
      <w:pPr>
        <w:pStyle w:val="Compact"/>
        <w:numPr>
          <w:ilvl w:val="0"/>
          <w:numId w:val="1045"/>
        </w:numPr>
      </w:pPr>
      <w:r>
        <w:t xml:space="preserve">Реакция: показал рукой ☐ взгляд задержался ☐ потянулся ☐ отвернулся ☐ без реакции ☐</w:t>
      </w:r>
    </w:p>
    <w:p>
      <w:pPr>
        <w:pStyle w:val="Compact"/>
        <w:numPr>
          <w:ilvl w:val="0"/>
          <w:numId w:val="1045"/>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5"/>
        </w:numPr>
      </w:pPr>
      <w:r>
        <w:t xml:space="preserve">Ел предъявленное: полностью ☐ частично ☐ не ел ☐</w:t>
      </w:r>
    </w:p>
    <w:p>
      <w:pPr>
        <w:pStyle w:val="Compact"/>
        <w:numPr>
          <w:ilvl w:val="0"/>
          <w:numId w:val="1045"/>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39"/>
    <w:bookmarkEnd w:id="440"/>
    <w:bookmarkStart w:id="447" w:name="приложения-712"/>
    <w:p>
      <w:pPr>
        <w:pStyle w:val="Heading1"/>
      </w:pPr>
      <w:r>
        <w:t xml:space="preserve">Приложения 7–12</w:t>
      </w:r>
    </w:p>
    <w:bookmarkStart w:id="44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41"/>
    <w:bookmarkStart w:id="44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42"/>
    <w:bookmarkStart w:id="44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43"/>
    <w:bookmarkStart w:id="44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6"/>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6"/>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6"/>
        </w:numPr>
      </w:pPr>
      <w:r>
        <w:rPr>
          <w:b/>
          <w:bCs/>
        </w:rPr>
        <w:t xml:space="preserve">Записать</w:t>
      </w:r>
      <w:r>
        <w:t xml:space="preserve"> </w:t>
      </w:r>
      <w:r>
        <w:t xml:space="preserve">в журнал заказа/замен: житель, блюдо, замена.</w:t>
      </w:r>
    </w:p>
    <w:p>
      <w:pPr>
        <w:pStyle w:val="Compact"/>
        <w:numPr>
          <w:ilvl w:val="0"/>
          <w:numId w:val="1046"/>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6"/>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44"/>
    <w:bookmarkStart w:id="44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7"/>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47"/>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47"/>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47"/>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47"/>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47"/>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45"/>
    <w:bookmarkStart w:id="44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46"/>
    <w:bookmarkEnd w:id="447"/>
    <w:bookmarkStart w:id="454" w:name="приложения-1318"/>
    <w:p>
      <w:pPr>
        <w:pStyle w:val="Heading1"/>
      </w:pPr>
      <w:r>
        <w:t xml:space="preserve">Приложения 13–18</w:t>
      </w:r>
    </w:p>
    <w:bookmarkStart w:id="44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8"/>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48"/>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48"/>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48"/>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48"/>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48"/>
        </w:numPr>
      </w:pPr>
      <w:r>
        <w:rPr>
          <w:b/>
          <w:bCs/>
        </w:rPr>
        <w:t xml:space="preserve">Документы:</w:t>
      </w:r>
      <w:r>
        <w:t xml:space="preserve"> </w:t>
      </w:r>
      <w:r>
        <w:t xml:space="preserve">форма наблюдения, запись врача, при назначении — обновление карты.</w:t>
      </w:r>
    </w:p>
    <w:bookmarkEnd w:id="448"/>
    <w:bookmarkStart w:id="44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49"/>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49"/>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49"/>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49"/>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49"/>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49"/>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49"/>
    <w:bookmarkStart w:id="45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0"/>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0"/>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0"/>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0"/>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0"/>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50"/>
    <w:bookmarkStart w:id="45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1"/>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1"/>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1"/>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1"/>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1"/>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1"/>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51"/>
    <w:bookmarkStart w:id="45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52"/>
    <w:bookmarkStart w:id="45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2"/>
        </w:numPr>
      </w:pPr>
      <w:r>
        <w:t xml:space="preserve">Обошёл столовую в часы основного приёма пищи лично — ☐</w:t>
      </w:r>
    </w:p>
    <w:p>
      <w:pPr>
        <w:pStyle w:val="Compact"/>
        <w:numPr>
          <w:ilvl w:val="0"/>
          <w:numId w:val="1052"/>
        </w:numPr>
      </w:pPr>
      <w:r>
        <w:t xml:space="preserve">Просмотрел журналы: заказ, замены, отказы, срывы — записи ведутся, не «копеечные» — ☐</w:t>
      </w:r>
    </w:p>
    <w:p>
      <w:pPr>
        <w:pStyle w:val="Compact"/>
        <w:numPr>
          <w:ilvl w:val="0"/>
          <w:numId w:val="1052"/>
        </w:numPr>
      </w:pPr>
      <w:r>
        <w:t xml:space="preserve">Панель чисел месяца собрана; отклонения объяснены письменно — ☐</w:t>
      </w:r>
    </w:p>
    <w:p>
      <w:pPr>
        <w:pStyle w:val="Compact"/>
        <w:numPr>
          <w:ilvl w:val="0"/>
          <w:numId w:val="1052"/>
        </w:numPr>
      </w:pPr>
      <w:r>
        <w:t xml:space="preserve">Совет жителей заседал; протокол есть; по решениям есть движение — ☐</w:t>
      </w:r>
    </w:p>
    <w:p>
      <w:pPr>
        <w:pStyle w:val="Compact"/>
        <w:numPr>
          <w:ilvl w:val="0"/>
          <w:numId w:val="1052"/>
        </w:numPr>
      </w:pPr>
      <w:r>
        <w:t xml:space="preserve">Жалобы по питанию разобраны в срок; системные выводы сделаны — ☐</w:t>
      </w:r>
    </w:p>
    <w:p>
      <w:pPr>
        <w:pStyle w:val="Compact"/>
        <w:numPr>
          <w:ilvl w:val="0"/>
          <w:numId w:val="1052"/>
        </w:numPr>
      </w:pPr>
      <w:r>
        <w:t xml:space="preserve">Переписка с учредителем актуальна (запросы без ответа повторены) — ☐</w:t>
      </w:r>
    </w:p>
    <w:p>
      <w:pPr>
        <w:pStyle w:val="Compact"/>
        <w:numPr>
          <w:ilvl w:val="0"/>
          <w:numId w:val="1052"/>
        </w:numPr>
      </w:pPr>
      <w:r>
        <w:t xml:space="preserve">Инструктажи новых сотрудников по питанию проведены — ☐</w:t>
      </w:r>
    </w:p>
    <w:p>
      <w:pPr>
        <w:pStyle w:val="Compact"/>
        <w:numPr>
          <w:ilvl w:val="0"/>
          <w:numId w:val="1052"/>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53"/>
    <w:bookmarkEnd w:id="454"/>
    <w:bookmarkStart w:id="461" w:name="приложения-1924"/>
    <w:p>
      <w:pPr>
        <w:pStyle w:val="Heading1"/>
      </w:pPr>
      <w:r>
        <w:t xml:space="preserve">Приложения 19–24</w:t>
      </w:r>
    </w:p>
    <w:bookmarkStart w:id="45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t xml:space="preserve">Санитарный журнал дня ведётся; температурный режим линии зафиксирован — ☐</w:t>
      </w:r>
    </w:p>
    <w:p>
      <w:pPr>
        <w:pStyle w:val="Compact"/>
        <w:numPr>
          <w:ilvl w:val="0"/>
          <w:numId w:val="1053"/>
        </w:numPr>
      </w:pPr>
      <w:r>
        <w:t xml:space="preserve">Суточные пробы отобраны по каждому приёму пищи, включая вариативные позиции — ☐</w:t>
      </w:r>
    </w:p>
    <w:p>
      <w:pPr>
        <w:pStyle w:val="Compact"/>
        <w:numPr>
          <w:ilvl w:val="0"/>
          <w:numId w:val="1053"/>
        </w:numPr>
      </w:pPr>
      <w:r>
        <w:t xml:space="preserve">Вариативные позиции промаркированы (бирки: название, вариант) — ☐</w:t>
      </w:r>
    </w:p>
    <w:p>
      <w:pPr>
        <w:pStyle w:val="Compact"/>
        <w:numPr>
          <w:ilvl w:val="0"/>
          <w:numId w:val="1053"/>
        </w:numPr>
      </w:pPr>
      <w:r>
        <w:t xml:space="preserve">Текстуры по назначениям проверены (тест вилкой) перед выдачей — ☐</w:t>
      </w:r>
    </w:p>
    <w:p>
      <w:pPr>
        <w:pStyle w:val="Compact"/>
        <w:numPr>
          <w:ilvl w:val="0"/>
          <w:numId w:val="1053"/>
        </w:numPr>
      </w:pPr>
      <w:r>
        <w:t xml:space="preserve">Итоги заказа получены от отделений в срок; объёмы соответствуют — ☐</w:t>
      </w:r>
    </w:p>
    <w:p>
      <w:pPr>
        <w:pStyle w:val="Compact"/>
        <w:numPr>
          <w:ilvl w:val="0"/>
          <w:numId w:val="1053"/>
        </w:numPr>
      </w:pPr>
      <w:r>
        <w:t xml:space="preserve">Особые порции (диеты, текстуры) приготовлены и промаркированы отдельно — ☐</w:t>
      </w:r>
    </w:p>
    <w:p>
      <w:pPr>
        <w:pStyle w:val="Compact"/>
        <w:numPr>
          <w:ilvl w:val="0"/>
          <w:numId w:val="1053"/>
        </w:numPr>
      </w:pPr>
      <w:r>
        <w:t xml:space="preserve">Отходы взвешены/зафиксированы (в период замера) — ☐</w:t>
      </w:r>
    </w:p>
    <w:p>
      <w:pPr>
        <w:pStyle w:val="Compact"/>
        <w:numPr>
          <w:ilvl w:val="0"/>
          <w:numId w:val="1053"/>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55"/>
    <w:bookmarkStart w:id="45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4"/>
        </w:numPr>
      </w:pPr>
      <w:r>
        <w:t xml:space="preserve">Визуальное меню дня показано жителям; выбор зафиксирован в присутствии жителей — ☐</w:t>
      </w:r>
    </w:p>
    <w:p>
      <w:pPr>
        <w:pStyle w:val="Compact"/>
        <w:numPr>
          <w:ilvl w:val="0"/>
          <w:numId w:val="1054"/>
        </w:numPr>
      </w:pPr>
      <w:r>
        <w:t xml:space="preserve">На посту в часы еды — не менее двух человек, обученных приёмам безопасного кормления — ☐</w:t>
      </w:r>
    </w:p>
    <w:p>
      <w:pPr>
        <w:pStyle w:val="Compact"/>
        <w:numPr>
          <w:ilvl w:val="0"/>
          <w:numId w:val="1054"/>
        </w:numPr>
      </w:pPr>
      <w:r>
        <w:t xml:space="preserve">Жители из списка дисфагического риска — в поле зрения; поза 90° соблюдена — ☐</w:t>
      </w:r>
    </w:p>
    <w:p>
      <w:pPr>
        <w:pStyle w:val="Compact"/>
        <w:numPr>
          <w:ilvl w:val="0"/>
          <w:numId w:val="1054"/>
        </w:numPr>
      </w:pPr>
      <w:r>
        <w:t xml:space="preserve">Отложенные порции для спящих/отсутствующих оформлены по правилам — ☐</w:t>
      </w:r>
    </w:p>
    <w:p>
      <w:pPr>
        <w:pStyle w:val="Compact"/>
        <w:numPr>
          <w:ilvl w:val="0"/>
          <w:numId w:val="1054"/>
        </w:numPr>
      </w:pPr>
      <w:r>
        <w:t xml:space="preserve">Отказы и замены записаны в день события — ☐</w:t>
      </w:r>
    </w:p>
    <w:p>
      <w:pPr>
        <w:pStyle w:val="Compact"/>
        <w:numPr>
          <w:ilvl w:val="0"/>
          <w:numId w:val="1054"/>
        </w:numPr>
      </w:pPr>
      <w:r>
        <w:t xml:space="preserve">Конфликтов без записи не осталось — ☐</w:t>
      </w:r>
    </w:p>
    <w:p>
      <w:pPr>
        <w:pStyle w:val="Compact"/>
        <w:numPr>
          <w:ilvl w:val="0"/>
          <w:numId w:val="1054"/>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56"/>
    <w:bookmarkStart w:id="45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57"/>
    <w:bookmarkStart w:id="45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Спецификация допускает парные позиции и закупку по статистике выбора — ☐</w:t>
      </w:r>
    </w:p>
    <w:p>
      <w:pPr>
        <w:pStyle w:val="Compact"/>
        <w:numPr>
          <w:ilvl w:val="0"/>
          <w:numId w:val="1055"/>
        </w:numPr>
      </w:pPr>
      <w:r>
        <w:t xml:space="preserve">Правило взаимозаменяемости при срыве поставки прописано (нутриентные эквиваленты) — ☐</w:t>
      </w:r>
    </w:p>
    <w:p>
      <w:pPr>
        <w:pStyle w:val="Compact"/>
        <w:numPr>
          <w:ilvl w:val="0"/>
          <w:numId w:val="1055"/>
        </w:numPr>
      </w:pPr>
      <w:r>
        <w:t xml:space="preserve">Ответственный за приёмку и претензии назначен; акты недопоставки оформляются — ☐</w:t>
      </w:r>
    </w:p>
    <w:p>
      <w:pPr>
        <w:pStyle w:val="Compact"/>
        <w:numPr>
          <w:ilvl w:val="0"/>
          <w:numId w:val="1055"/>
        </w:numPr>
      </w:pPr>
      <w:r>
        <w:t xml:space="preserve">Статистика срывов поставок ведётся и учитывается при следующей закупке — ☐</w:t>
      </w:r>
    </w:p>
    <w:p>
      <w:pPr>
        <w:pStyle w:val="Compact"/>
        <w:numPr>
          <w:ilvl w:val="0"/>
          <w:numId w:val="1055"/>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5"/>
        </w:numPr>
      </w:pPr>
      <w:r>
        <w:t xml:space="preserve">Закупка сверена с меню-циклом и картами (диеты, текстуры) — ☐</w:t>
      </w:r>
    </w:p>
    <w:p>
      <w:pPr>
        <w:pStyle w:val="Compact"/>
        <w:numPr>
          <w:ilvl w:val="0"/>
          <w:numId w:val="1055"/>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58"/>
    <w:bookmarkStart w:id="45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6"/>
        </w:numPr>
      </w:pPr>
      <w:r>
        <w:t xml:space="preserve">Ежедневные итоги журнала заказа поступают в бухгалтерию по установленной форме — ☐</w:t>
      </w:r>
    </w:p>
    <w:p>
      <w:pPr>
        <w:pStyle w:val="Compact"/>
        <w:numPr>
          <w:ilvl w:val="0"/>
          <w:numId w:val="1056"/>
        </w:numPr>
      </w:pPr>
      <w:r>
        <w:t xml:space="preserve">Списание парных продуктов идёт по фактической пропорции выдачи (методика согласована) — ☐</w:t>
      </w:r>
    </w:p>
    <w:p>
      <w:pPr>
        <w:pStyle w:val="Compact"/>
        <w:numPr>
          <w:ilvl w:val="0"/>
          <w:numId w:val="1056"/>
        </w:numPr>
      </w:pPr>
      <w:r>
        <w:t xml:space="preserve">Разница «склад — выдача — списание» объяснима за любой день месяца — ☐</w:t>
      </w:r>
    </w:p>
    <w:p>
      <w:pPr>
        <w:pStyle w:val="Compact"/>
        <w:numPr>
          <w:ilvl w:val="0"/>
          <w:numId w:val="1056"/>
        </w:numPr>
      </w:pPr>
      <w:r>
        <w:t xml:space="preserve">Отложенные порции и замены отражены в выдаче — ☐</w:t>
      </w:r>
    </w:p>
    <w:p>
      <w:pPr>
        <w:pStyle w:val="Compact"/>
        <w:numPr>
          <w:ilvl w:val="0"/>
          <w:numId w:val="1056"/>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59"/>
    <w:bookmarkStart w:id="46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57"/>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57"/>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57"/>
        </w:numPr>
      </w:pPr>
      <w:r>
        <w:t xml:space="preserve">Оба варианта физически были на линии (опрос смены + журнал срывов): ☐</w:t>
      </w:r>
    </w:p>
    <w:p>
      <w:pPr>
        <w:pStyle w:val="Compact"/>
        <w:numPr>
          <w:ilvl w:val="0"/>
          <w:numId w:val="1057"/>
        </w:numPr>
      </w:pPr>
      <w:r>
        <w:t xml:space="preserve">Доля «стандартных» (невыбравших) не растёт необъяснимо третью неделю подряд: ☐</w:t>
      </w:r>
    </w:p>
    <w:p>
      <w:pPr>
        <w:pStyle w:val="Compact"/>
        <w:numPr>
          <w:ilvl w:val="0"/>
          <w:numId w:val="1057"/>
        </w:numPr>
      </w:pPr>
      <w:r>
        <w:t xml:space="preserve">Замены выдавались реально (спросить двоих, кому меняли блюдо): ☐</w:t>
      </w:r>
    </w:p>
    <w:p>
      <w:pPr>
        <w:pStyle w:val="Compact"/>
        <w:numPr>
          <w:ilvl w:val="0"/>
          <w:numId w:val="1057"/>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60"/>
    <w:bookmarkEnd w:id="461"/>
    <w:bookmarkStart w:id="468" w:name="приложения-2530"/>
    <w:p>
      <w:pPr>
        <w:pStyle w:val="Heading1"/>
      </w:pPr>
      <w:r>
        <w:t xml:space="preserve">Приложения 25–30</w:t>
      </w:r>
    </w:p>
    <w:bookmarkStart w:id="46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62"/>
    <w:bookmarkStart w:id="46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63"/>
    <w:bookmarkStart w:id="46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64"/>
    <w:bookmarkStart w:id="46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58"/>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58"/>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58"/>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58"/>
        </w:numPr>
      </w:pPr>
      <w:r>
        <w:t xml:space="preserve">Вести журналы по приложениям 7–9 с первого дня.</w:t>
      </w:r>
    </w:p>
    <w:p>
      <w:pPr>
        <w:pStyle w:val="Compact"/>
        <w:numPr>
          <w:ilvl w:val="0"/>
          <w:numId w:val="1058"/>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58"/>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65"/>
    <w:bookmarkStart w:id="46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59"/>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59"/>
        </w:numPr>
      </w:pPr>
      <w:r>
        <w:rPr>
          <w:b/>
          <w:bCs/>
        </w:rPr>
        <w:t xml:space="preserve">Перечень вариативных позиций</w:t>
      </w:r>
      <w:r>
        <w:t xml:space="preserve"> </w:t>
      </w:r>
      <w:r>
        <w:t xml:space="preserve">и режим (дни, приёмы пищи).</w:t>
      </w:r>
    </w:p>
    <w:p>
      <w:pPr>
        <w:pStyle w:val="Compact"/>
        <w:numPr>
          <w:ilvl w:val="0"/>
          <w:numId w:val="1059"/>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59"/>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59"/>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59"/>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59"/>
        </w:numPr>
      </w:pPr>
      <w:r>
        <w:rPr>
          <w:b/>
          <w:bCs/>
        </w:rPr>
        <w:t xml:space="preserve">Роли и ответственность</w:t>
      </w:r>
      <w:r>
        <w:t xml:space="preserve"> </w:t>
      </w:r>
      <w:r>
        <w:t xml:space="preserve">(по матрице, приложение 17).</w:t>
      </w:r>
    </w:p>
    <w:p>
      <w:pPr>
        <w:pStyle w:val="Compact"/>
        <w:numPr>
          <w:ilvl w:val="0"/>
          <w:numId w:val="1059"/>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59"/>
        </w:numPr>
      </w:pPr>
      <w:r>
        <w:rPr>
          <w:b/>
          <w:bCs/>
        </w:rPr>
        <w:t xml:space="preserve">Совет жителей</w:t>
      </w:r>
      <w:r>
        <w:t xml:space="preserve"> </w:t>
      </w:r>
      <w:r>
        <w:t xml:space="preserve">— со ссылкой на положение (приложение 30).</w:t>
      </w:r>
    </w:p>
    <w:bookmarkEnd w:id="466"/>
    <w:bookmarkStart w:id="46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0"/>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0"/>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0"/>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0"/>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0"/>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0"/>
        </w:numPr>
      </w:pPr>
      <w:r>
        <w:rPr>
          <w:b/>
          <w:bCs/>
        </w:rPr>
        <w:t xml:space="preserve">Форма протокола:</w:t>
      </w:r>
      <w:r>
        <w:t xml:space="preserve"> </w:t>
      </w:r>
      <w:r>
        <w:t xml:space="preserve">дата, состав, вопросы, решения, сроки, ответственные.</w:t>
      </w:r>
    </w:p>
    <w:bookmarkEnd w:id="467"/>
    <w:bookmarkEnd w:id="468"/>
    <w:bookmarkStart w:id="476" w:name="приложения-3136"/>
    <w:p>
      <w:pPr>
        <w:pStyle w:val="Heading1"/>
      </w:pPr>
      <w:r>
        <w:t xml:space="preserve">Приложения 31–36</w:t>
      </w:r>
    </w:p>
    <w:bookmarkStart w:id="46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1"/>
        </w:numPr>
      </w:pPr>
      <w:r>
        <w:t xml:space="preserve">Еда — право, а не награда. Никогда не используйте еду как поощрение или наказание.</w:t>
      </w:r>
    </w:p>
    <w:p>
      <w:pPr>
        <w:pStyle w:val="Compact"/>
        <w:numPr>
          <w:ilvl w:val="0"/>
          <w:numId w:val="1061"/>
        </w:numPr>
      </w:pPr>
      <w:r>
        <w:t xml:space="preserve">Показывайте меню каждому, каждый день, в его формате (речь, карточки, жест).</w:t>
      </w:r>
    </w:p>
    <w:p>
      <w:pPr>
        <w:pStyle w:val="Compact"/>
        <w:numPr>
          <w:ilvl w:val="0"/>
          <w:numId w:val="1061"/>
        </w:numPr>
      </w:pPr>
      <w:r>
        <w:t xml:space="preserve">«Стандартный вариант» — нормальный итог, а не отказ от выбора.</w:t>
      </w:r>
    </w:p>
    <w:p>
      <w:pPr>
        <w:pStyle w:val="Compact"/>
        <w:numPr>
          <w:ilvl w:val="0"/>
          <w:numId w:val="1061"/>
        </w:numPr>
      </w:pPr>
      <w:r>
        <w:t xml:space="preserve">Отказ от блюда — предложите замену и запишите. Без комментариев вслух.</w:t>
      </w:r>
    </w:p>
    <w:p>
      <w:pPr>
        <w:pStyle w:val="Compact"/>
        <w:numPr>
          <w:ilvl w:val="0"/>
          <w:numId w:val="1061"/>
        </w:numPr>
      </w:pPr>
      <w:r>
        <w:t xml:space="preserve">Три отказа от еды подряд — врач сегодня. «Отравлено» — врач при первом.</w:t>
      </w:r>
    </w:p>
    <w:p>
      <w:pPr>
        <w:pStyle w:val="Compact"/>
        <w:numPr>
          <w:ilvl w:val="0"/>
          <w:numId w:val="1061"/>
        </w:numPr>
      </w:pPr>
      <w:r>
        <w:t xml:space="preserve">Текстура — как в карте. Проверка вилкой — минута, риск аспирации — жизнь.</w:t>
      </w:r>
    </w:p>
    <w:p>
      <w:pPr>
        <w:pStyle w:val="Compact"/>
        <w:numPr>
          <w:ilvl w:val="0"/>
          <w:numId w:val="1061"/>
        </w:numPr>
      </w:pPr>
      <w:r>
        <w:t xml:space="preserve">Кто ест с помощью — ест в своём темпе. Конвейер недопустим.</w:t>
      </w:r>
    </w:p>
    <w:p>
      <w:pPr>
        <w:pStyle w:val="Compact"/>
        <w:numPr>
          <w:ilvl w:val="0"/>
          <w:numId w:val="1061"/>
        </w:numPr>
      </w:pPr>
      <w:r>
        <w:t xml:space="preserve">Записывайте в день события: замены, отказы, конфликты, срывы.</w:t>
      </w:r>
    </w:p>
    <w:p>
      <w:pPr>
        <w:pStyle w:val="Compact"/>
        <w:numPr>
          <w:ilvl w:val="0"/>
          <w:numId w:val="1061"/>
        </w:numPr>
      </w:pPr>
      <w:r>
        <w:t xml:space="preserve">Не знаете — спросите старшую смену. Не решайте врачебные вопросы сами.</w:t>
      </w:r>
    </w:p>
    <w:p>
      <w:pPr>
        <w:pStyle w:val="Compact"/>
        <w:numPr>
          <w:ilvl w:val="0"/>
          <w:numId w:val="1061"/>
        </w:numPr>
      </w:pPr>
      <w:r>
        <w:t xml:space="preserve">Житель за столом — хозяин своей тарелки. Ваша работа — чтобы выбор был реальным.</w:t>
      </w:r>
    </w:p>
    <w:bookmarkEnd w:id="469"/>
    <w:bookmarkStart w:id="47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70"/>
    <w:bookmarkStart w:id="47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71"/>
    <w:bookmarkStart w:id="47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72"/>
    <w:bookmarkStart w:id="47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73"/>
    <w:bookmarkStart w:id="47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2"/>
        </w:numPr>
      </w:pPr>
      <w:r>
        <w:t xml:space="preserve">Еда вам в целом нравится? (улыбающийся / нейтральный / грустный смайл — обвести)</w:t>
      </w:r>
    </w:p>
    <w:p>
      <w:pPr>
        <w:pStyle w:val="Compact"/>
        <w:numPr>
          <w:ilvl w:val="0"/>
          <w:numId w:val="1062"/>
        </w:numPr>
      </w:pPr>
      <w:r>
        <w:t xml:space="preserve">Что из еды вам нравится больше всего? ________</w:t>
      </w:r>
    </w:p>
    <w:p>
      <w:pPr>
        <w:pStyle w:val="Compact"/>
        <w:numPr>
          <w:ilvl w:val="0"/>
          <w:numId w:val="1062"/>
        </w:numPr>
      </w:pPr>
      <w:r>
        <w:t xml:space="preserve">Что бы вы убрали из меню? ________</w:t>
      </w:r>
    </w:p>
    <w:p>
      <w:pPr>
        <w:pStyle w:val="Compact"/>
        <w:numPr>
          <w:ilvl w:val="0"/>
          <w:numId w:val="1062"/>
        </w:numPr>
      </w:pPr>
      <w:r>
        <w:t xml:space="preserve">Удаётся ли выбрать то, что хочется? всегда / иногда / никогда</w:t>
      </w:r>
    </w:p>
    <w:p>
      <w:pPr>
        <w:pStyle w:val="Compact"/>
        <w:numPr>
          <w:ilvl w:val="0"/>
          <w:numId w:val="1062"/>
        </w:numPr>
      </w:pPr>
      <w:r>
        <w:t xml:space="preserve">Достаточно ли еды? да / хотелось бы больше / слишком много</w:t>
      </w:r>
    </w:p>
    <w:p>
      <w:pPr>
        <w:pStyle w:val="Compact"/>
        <w:numPr>
          <w:ilvl w:val="0"/>
          <w:numId w:val="1062"/>
        </w:numPr>
      </w:pPr>
      <w:r>
        <w:t xml:space="preserve">Удобно ли есть в столовой (шум, место, время)? да / что мешает: ________</w:t>
      </w:r>
    </w:p>
    <w:p>
      <w:pPr>
        <w:pStyle w:val="Compact"/>
        <w:numPr>
          <w:ilvl w:val="0"/>
          <w:numId w:val="1062"/>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74"/>
    <w:bookmarkStart w:id="475"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75"/>
    <w:bookmarkEnd w:id="476"/>
    <w:bookmarkStart w:id="479" w:name="приложения-3738"/>
    <w:p>
      <w:pPr>
        <w:pStyle w:val="Heading1"/>
      </w:pPr>
      <w:r>
        <w:t xml:space="preserve">Приложения 37–38</w:t>
      </w:r>
    </w:p>
    <w:bookmarkStart w:id="47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77"/>
    <w:bookmarkStart w:id="47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109</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3"/>
        </w:numPr>
      </w:pPr>
      <w:r>
        <w:t xml:space="preserve">Каждый день вам показывают меню. Меню — это список еды.</w:t>
      </w:r>
    </w:p>
    <w:p>
      <w:pPr>
        <w:pStyle w:val="Compact"/>
        <w:numPr>
          <w:ilvl w:val="0"/>
          <w:numId w:val="1063"/>
        </w:numPr>
      </w:pPr>
      <w:r>
        <w:t xml:space="preserve">Вы можете сказать: «Хочу это». Вы можете сказать: «Не хочу это».</w:t>
      </w:r>
    </w:p>
    <w:p>
      <w:pPr>
        <w:pStyle w:val="Compact"/>
        <w:numPr>
          <w:ilvl w:val="0"/>
          <w:numId w:val="1063"/>
        </w:numPr>
      </w:pPr>
      <w:r>
        <w:t xml:space="preserve">Если вы не говорите — вам покажут две тарелки. Вы покажете пальцем.</w:t>
      </w:r>
    </w:p>
    <w:p>
      <w:pPr>
        <w:pStyle w:val="Compact"/>
        <w:numPr>
          <w:ilvl w:val="0"/>
          <w:numId w:val="1063"/>
        </w:numPr>
      </w:pPr>
      <w:r>
        <w:t xml:space="preserve">Вы не останетесь голодным. Всегда будет другой вариант.</w:t>
      </w:r>
    </w:p>
    <w:p>
      <w:pPr>
        <w:pStyle w:val="Compact"/>
        <w:numPr>
          <w:ilvl w:val="0"/>
          <w:numId w:val="1063"/>
        </w:numPr>
      </w:pPr>
      <w:r>
        <w:t xml:space="preserve">Если вы едите в комнате — вам тоже принесут два варианта. Покажите, какой хотите.</w:t>
      </w:r>
    </w:p>
    <w:p>
      <w:pPr>
        <w:pStyle w:val="Compact"/>
        <w:numPr>
          <w:ilvl w:val="0"/>
          <w:numId w:val="1063"/>
        </w:numPr>
      </w:pPr>
      <w:r>
        <w:t xml:space="preserve">Если еда мешает глотать — скажите персоналу. Вам помогут.</w:t>
      </w:r>
    </w:p>
    <w:p>
      <w:pPr>
        <w:pStyle w:val="Compact"/>
        <w:numPr>
          <w:ilvl w:val="0"/>
          <w:numId w:val="1063"/>
        </w:numPr>
      </w:pPr>
      <w:r>
        <w:t xml:space="preserve">Если болит жевать — скажите персоналу. Вас посмотрит врач.</w:t>
      </w:r>
    </w:p>
    <w:p>
      <w:pPr>
        <w:pStyle w:val="Compact"/>
        <w:numPr>
          <w:ilvl w:val="0"/>
          <w:numId w:val="1063"/>
        </w:numPr>
      </w:pPr>
      <w:r>
        <w:t xml:space="preserve">Вы можете пить воду, когда хотите. Просите пить.</w:t>
      </w:r>
    </w:p>
    <w:p>
      <w:pPr>
        <w:pStyle w:val="Compact"/>
        <w:numPr>
          <w:ilvl w:val="0"/>
          <w:numId w:val="1063"/>
        </w:numPr>
      </w:pPr>
      <w:r>
        <w:t xml:space="preserve">Есть еда, которую вы не едите по вере? Скажите — мы учтём.</w:t>
      </w:r>
    </w:p>
    <w:p>
      <w:pPr>
        <w:pStyle w:val="Compact"/>
        <w:numPr>
          <w:ilvl w:val="0"/>
          <w:numId w:val="1063"/>
        </w:numPr>
      </w:pPr>
      <w:r>
        <w:t xml:space="preserve">Ваше мнение важно. Совет жителей обсуждает еду.</w:t>
      </w:r>
    </w:p>
    <w:p>
      <w:pPr>
        <w:pStyle w:val="Compact"/>
        <w:numPr>
          <w:ilvl w:val="0"/>
          <w:numId w:val="1063"/>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78"/>
    <w:bookmarkEnd w:id="479"/>
    <w:bookmarkStart w:id="484" w:name="приложения-3942"/>
    <w:p>
      <w:pPr>
        <w:pStyle w:val="Heading1"/>
      </w:pPr>
      <w:r>
        <w:t xml:space="preserve">Приложения 39–42</w:t>
      </w:r>
    </w:p>
    <w:bookmarkStart w:id="48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80"/>
    <w:bookmarkStart w:id="48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110</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111</w:t>
      </w:r>
      <w:r>
        <w:rPr>
          <w:i/>
          <w:iCs/>
        </w:rPr>
        <w:t xml:space="preserve">112</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110</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111</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81"/>
    <w:bookmarkStart w:id="48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30</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113</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82"/>
    <w:bookmarkStart w:id="48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83"/>
    <w:bookmarkEnd w:id="484"/>
    <w:bookmarkStart w:id="487" w:name="приложения-4344"/>
    <w:p>
      <w:pPr>
        <w:pStyle w:val="Heading1"/>
      </w:pPr>
      <w:r>
        <w:t xml:space="preserve">Приложения 43–44</w:t>
      </w:r>
    </w:p>
    <w:bookmarkStart w:id="48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30</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106</w:t>
      </w:r>
      <w:r>
        <w:rPr>
          <w:i/>
          <w:iCs/>
        </w:rPr>
        <w:t xml:space="preserve">.</w:t>
      </w:r>
    </w:p>
    <w:bookmarkEnd w:id="485"/>
    <w:bookmarkStart w:id="48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30</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86"/>
    <w:bookmarkEnd w:id="487"/>
    <w:bookmarkStart w:id="488"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2</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488"/>
    <w:bookmarkStart w:id="489"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489"/>
    <w:bookmarkStart w:id="490"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8.</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9.</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10.</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11.</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12.</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13.</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14.</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15.</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16.</w:t>
      </w:r>
      <w:r>
        <w:t xml:space="preserve"> </w:t>
      </w:r>
      <w:r>
        <w:t xml:space="preserve">Hägg S. et al. Кофеин 400–1000 мг/день: +19% AUC клозапина, −14% клиренс (2000). https://pmc.ncbi.nlm.nih.gov/articles/PMC2014893/</w:t>
      </w:r>
    </w:p>
    <w:p>
      <w:pPr>
        <w:pStyle w:val="BodyText"/>
      </w:pPr>
      <w:r>
        <w:t xml:space="preserve">17.</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18.</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19.</w:t>
      </w:r>
      <w:r>
        <w:t xml:space="preserve"> </w:t>
      </w:r>
      <w:r>
        <w:t xml:space="preserve">Garg S.K. et al. Грейпфрутовый сок: пик карбамазепина 6,55→9,20 мкг/мл (+40%), AUC +41% (1998). https://pubmed.ncbi.nlm.nih.gov/9757152/</w:t>
      </w:r>
    </w:p>
    <w:p>
      <w:pPr>
        <w:pStyle w:val="BodyText"/>
      </w:pPr>
      <w:r>
        <w:t xml:space="preserve">20.</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21.</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22.</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23.</w:t>
      </w:r>
      <w:r>
        <w:t xml:space="preserve"> </w:t>
      </w:r>
      <w:r>
        <w:t xml:space="preserve">O. Reg. 246/22 (General) под Fixing Long-Term Care Act 2021, ст. 75–80 — Онтарио, Канада, 2022. https://www.ontario.ca/laws/regulation/220246</w:t>
      </w:r>
    </w:p>
    <w:p>
      <w:pPr>
        <w:pStyle w:val="BodyText"/>
      </w:pPr>
      <w:r>
        <w:t xml:space="preserve">24.</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25.</w:t>
      </w:r>
      <w:r>
        <w:t xml:space="preserve"> </w:t>
      </w:r>
      <w:r>
        <w:t xml:space="preserve">Pioneer Network. Home-Style Dining Interventions — США. http://www.pioneernetwork.org/wp-content/uploads/2016/10/Home-Style-Dining-Interventions.pdf</w:t>
      </w:r>
    </w:p>
    <w:p>
      <w:pPr>
        <w:pStyle w:val="BodyText"/>
      </w:pPr>
      <w:r>
        <w:t xml:space="preserve">26.</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27.</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28.</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29.</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30.</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31.</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32.</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33.</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34.</w:t>
      </w:r>
      <w:r>
        <w:t xml:space="preserve"> </w:t>
      </w:r>
      <w:r>
        <w:t xml:space="preserve">Nijs K. et al. Family-style mealtimes: cluster RCT (BMJ, 2006) (2006). https://pmc.ncbi.nlm.nih.gov/articles/PMC1463975/</w:t>
      </w:r>
    </w:p>
    <w:p>
      <w:pPr>
        <w:pStyle w:val="BodyText"/>
      </w:pPr>
      <w:r>
        <w:t xml:space="preserve">35.</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36.</w:t>
      </w:r>
      <w:r>
        <w:t xml:space="preserve"> </w:t>
      </w:r>
      <w:r>
        <w:t xml:space="preserve">42 CFR § 483.60 Food and Nutrition Services (CMS) — США, 2016. https://www.law.cornell.edu/cfr/text/42/483.60</w:t>
      </w:r>
    </w:p>
    <w:p>
      <w:pPr>
        <w:pStyle w:val="BodyText"/>
      </w:pPr>
      <w:r>
        <w:t xml:space="preserve">37.</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38.</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39.</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40.</w:t>
      </w:r>
      <w:r>
        <w:t xml:space="preserve"> </w:t>
      </w:r>
      <w:r>
        <w:t xml:space="preserve">RESOLVE: реалистский синтез антипсихотической прибавки веса (2025) (2025). https://pmc.ncbi.nlm.nih.gov/articles/PMC12531729/</w:t>
      </w:r>
    </w:p>
    <w:p>
      <w:pPr>
        <w:pStyle w:val="BodyText"/>
      </w:pPr>
      <w:r>
        <w:t xml:space="preserve">41.</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42.</w:t>
      </w:r>
      <w:r>
        <w:t xml:space="preserve"> </w:t>
      </w:r>
      <w:r>
        <w:t xml:space="preserve">Cichero J.A.Y. et al. The IDDSI Framework (Dysphagia, 2017;32(2):293–314) (IDDSI, 2017). https://pubmed.ncbi.nlm.nih.gov/27913916/</w:t>
      </w:r>
    </w:p>
    <w:p>
      <w:pPr>
        <w:pStyle w:val="BodyText"/>
      </w:pPr>
      <w:r>
        <w:t xml:space="preserve">43.</w:t>
      </w:r>
      <w:r>
        <w:t xml:space="preserve"> </w:t>
      </w:r>
      <w:r>
        <w:t xml:space="preserve">Wu X.S. et al. IDDSI implementation: соответствие текстур 44%→90% (2022). https://pmc.ncbi.nlm.nih.gov/articles/PMC8994209/</w:t>
      </w:r>
    </w:p>
    <w:p>
      <w:pPr>
        <w:pStyle w:val="BodyText"/>
      </w:pPr>
      <w:r>
        <w:t xml:space="preserve">44.</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45.</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46.</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47.</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48.</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49.</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50.</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51.</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52.</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53.</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54.</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55.</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56.</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57.</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58.</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59.</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60.</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61.</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62.</w:t>
      </w:r>
      <w:r>
        <w:t xml:space="preserve"> </w:t>
      </w:r>
      <w:r>
        <w:t xml:space="preserve">Lifestyle interventions in mental health conditions: systematic review (57 исследований; −1,42 кг) (2022). https://pmc.ncbi.nlm.nih.gov/articles/PMC9462072/</w:t>
      </w:r>
    </w:p>
    <w:p>
      <w:pPr>
        <w:pStyle w:val="BodyText"/>
      </w:pPr>
      <w:r>
        <w:t xml:space="preserve">63.</w:t>
      </w:r>
      <w:r>
        <w:t xml:space="preserve"> </w:t>
      </w:r>
      <w:r>
        <w:t xml:space="preserve">Teasdale S. et al. Nutrition/dietary interventions for SMI (MJA, 2023) (2023). https://pmc.ncbi.nlm.nih.gov/articles/PMC9828433/</w:t>
      </w:r>
    </w:p>
    <w:p>
      <w:pPr>
        <w:pStyle w:val="BodyText"/>
      </w:pPr>
      <w:r>
        <w:t xml:space="preserve">64.</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65.</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66.</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67.</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68.</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69.</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70.</w:t>
      </w:r>
      <w:r>
        <w:t xml:space="preserve"> </w:t>
      </w:r>
      <w:r>
        <w:t xml:space="preserve">Montessori-based interventions for dementia: systematic review (15 исследований) (2023). https://pmc.ncbi.nlm.nih.gov/articles/PMC10336713/</w:t>
      </w:r>
    </w:p>
    <w:p>
      <w:pPr>
        <w:pStyle w:val="BodyText"/>
      </w:pPr>
      <w:r>
        <w:t xml:space="preserve">71.</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72.</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73.</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74.</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75.</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76.</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77.</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78.</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79.</w:t>
      </w:r>
      <w:r>
        <w:t xml:space="preserve"> </w:t>
      </w:r>
      <w:r>
        <w:t xml:space="preserve">Eden Alternative: философия и десять принципов — США. https://edenalt.org/</w:t>
      </w:r>
    </w:p>
    <w:p>
      <w:pPr>
        <w:pStyle w:val="BodyText"/>
      </w:pPr>
      <w:r>
        <w:t xml:space="preserve">80.</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81.</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82.</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83.</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84.</w:t>
      </w:r>
      <w:r>
        <w:t xml:space="preserve"> </w:t>
      </w:r>
      <w:r>
        <w:t xml:space="preserve">Приказ директора СПб ГАСУСОН «ДСО «Серафимовский» от 10.03.2026 № 124 «Об утверждении правил внутреннего распорядка жителей СПб ГАСУСОН «ДСО «Серафимовский»» (в правилах закреплено заказное питание — вариативное меню, в т. ч. для маломобильных граждан; PDF опубликован на www.pni9.ru). None (проверено: None)</w:t>
      </w:r>
    </w:p>
    <w:p>
      <w:pPr>
        <w:pStyle w:val="BodyText"/>
      </w:pPr>
      <w:r>
        <w:t xml:space="preserve">85.</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86.</w:t>
      </w:r>
      <w:r>
        <w:t xml:space="preserve"> </w:t>
      </w:r>
      <w:r>
        <w:t xml:space="preserve">Porter J. et al. Protected mealtimes: systematic review &amp; meta-analysis (Int J Nurs Stud, 2017) (2017). https://pubmed.ncbi.nlm.nih.gov/27866011/</w:t>
      </w:r>
    </w:p>
    <w:p>
      <w:pPr>
        <w:pStyle w:val="BodyText"/>
      </w:pPr>
      <w:r>
        <w:t xml:space="preserve">87.</w:t>
      </w:r>
      <w:r>
        <w:t xml:space="preserve"> </w:t>
      </w:r>
      <w:r>
        <w:t xml:space="preserve">Porter J. et al. Protected Mealtimes: stepped-wedge cluster trial (2019) (2019). https://pmc.ncbi.nlm.nih.gov/articles/PMC5295189/</w:t>
      </w:r>
    </w:p>
    <w:p>
      <w:pPr>
        <w:pStyle w:val="BodyText"/>
      </w:pPr>
      <w:r>
        <w:t xml:space="preserve">88.</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89.</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90.</w:t>
      </w:r>
      <w:r>
        <w:t xml:space="preserve"> </w:t>
      </w:r>
      <w:r>
        <w:t xml:space="preserve">The Consumer Voice. Food Appendix (F-теги пищевого блока) — США. https://theconsumervoice.org/wp-content/uploads/2026/06/Food-Appendix.pdf</w:t>
      </w:r>
    </w:p>
    <w:p>
      <w:pPr>
        <w:pStyle w:val="BodyText"/>
      </w:pPr>
      <w:r>
        <w:t xml:space="preserve">91.</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92.</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93.</w:t>
      </w:r>
      <w:r>
        <w:t xml:space="preserve"> </w:t>
      </w:r>
      <w:r>
        <w:t xml:space="preserve">NIPH Journal: реформа LTCI 2005 и пищевые доплаты — Япония, 2006. https://www.niph.go.jp/journal/data/55-1/200655010006.pdf</w:t>
      </w:r>
    </w:p>
    <w:p>
      <w:pPr>
        <w:pStyle w:val="BodyText"/>
      </w:pPr>
      <w:r>
        <w:t xml:space="preserve">94.</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95.</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96.</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97.</w:t>
      </w:r>
      <w:r>
        <w:t xml:space="preserve"> </w:t>
      </w:r>
      <w:r>
        <w:t xml:space="preserve">Число диетологов и госпитализации: 2 vs 1 — 20,3% vs 30,6% — Япония. https://rehab.cloud/mag/2862/</w:t>
      </w:r>
    </w:p>
    <w:p>
      <w:pPr>
        <w:pStyle w:val="BodyText"/>
      </w:pPr>
      <w:r>
        <w:t xml:space="preserve">98.</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99.</w:t>
      </w:r>
      <w:r>
        <w:t xml:space="preserve"> </w:t>
      </w:r>
      <w:r>
        <w:t xml:space="preserve">FAO Ontario: финансирование LTC, конверт raw food — Онтарио, 2019. https://fao-on.org/wp-content/uploads/2024/08/Long-term-care-homes-program.pdf</w:t>
      </w:r>
    </w:p>
    <w:p>
      <w:pPr>
        <w:pStyle w:val="BodyText"/>
      </w:pPr>
      <w:r>
        <w:t xml:space="preserve">100.</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101.</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102.</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103.</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104.</w:t>
      </w:r>
      <w:r>
        <w:t xml:space="preserve"> </w:t>
      </w:r>
      <w:r>
        <w:t xml:space="preserve">Приказ Минфина России от 30.03.2015 № 52н: статус на 2026 г.. https://base.garant.ru/58070703/ (проверено: 23.07.2026)</w:t>
      </w:r>
    </w:p>
    <w:p>
      <w:pPr>
        <w:pStyle w:val="BodyText"/>
      </w:pPr>
      <w:r>
        <w:t xml:space="preserve">105.</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106.</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107.</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108.</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109.</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110.</w:t>
      </w:r>
      <w:r>
        <w:t xml:space="preserve"> </w:t>
      </w:r>
      <w:r>
        <w:t xml:space="preserve">Narrative Review of Low-Intake Dehydration in Older Adults (обзор (2021); PMC8470893). https://pmc.ncbi.nlm.nih.gov/articles/PMC8470893/</w:t>
      </w:r>
    </w:p>
    <w:p>
      <w:pPr>
        <w:pStyle w:val="BodyText"/>
      </w:pPr>
      <w:r>
        <w:t xml:space="preserve">111.</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112.</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113.</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2026-08-20T09:03:17Z</dcterms:created>
  <dcterms:modified xsi:type="dcterms:W3CDTF">2026-08-20T09:03:17Z</dcterms:modified>
</cp:coreProperties>
</file>

<file path=docProps/custom.xml><?xml version="1.0" encoding="utf-8"?>
<Properties xmlns="http://schemas.openxmlformats.org/officeDocument/2006/custom-properties" xmlns:vt="http://schemas.openxmlformats.org/officeDocument/2006/docPropsVTypes"/>
</file>