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w:t>
      </w:r>
    </w:p>
    <w:p>
      <w:pPr>
        <w:pStyle w:val="Author"/>
      </w:pPr>
      <w:r>
        <w:t xml:space="preserve">Е. В. Чистяков, директор СПб ГАСУСОН «ДСО „Серафимовский“»</w:t>
      </w:r>
    </w:p>
    <w:p>
      <w:pPr>
        <w:pStyle w:val="Date"/>
      </w:pPr>
      <w:r>
        <w:t xml:space="preserve">5 октября 2026 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Аналитический доклад автора. Не является официальным толкованием законодательства, не выражает позицию Министерства труда и социальной защиты Российской Федерации, его рабочей группы по вариативному меню или Правительства Санкт-Петербурга. Предложения раздела 10 — авторские рекомендации, а не изложение действующих норм.</w:t>
      </w:r>
    </w:p>
    <w:p>
      <w:pPr>
        <w:pStyle w:val="BodyText"/>
      </w:pPr>
      <w:r>
        <w:rPr>
          <w:b/>
          <w:bCs/>
        </w:rPr>
        <w:t xml:space="preserve">Отношение к первой редакции.</w:t>
      </w:r>
      <w:r>
        <w:t xml:space="preserve"> </w:t>
      </w:r>
      <w:r>
        <w:t xml:space="preserve">Доклад перерабатывает правовой обзор «Вариативное меню: НПА» (литературная редакция 29.08.2026, данные проверены на 16.07.2026; папка</w:t>
      </w:r>
      <w:r>
        <w:t xml:space="preserve"> </w:t>
      </w:r>
      <w:r>
        <w:rPr>
          <w:rStyle w:val="VerbatimChar"/>
        </w:rPr>
        <w:t xml:space="preserve">raw/sources/variativnoe-menu-npa-2026/</w:t>
      </w:r>
      <w:r>
        <w:t xml:space="preserve"> </w:t>
      </w:r>
      <w:r>
        <w:t xml:space="preserve">репозитория) [1]. Из первой редакции сохранены региональный анализ и часть источников; исправлены выявленные ошибки (их перечень — приложение В); добавлены разделы о научных данных, зарубежных нормах, российских кейсах и практических сценариях. Где первая редакция и настоящая расходятся, расхождение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Санитарные требования приводятся в двух слоях: СанПиН 2.3/2.4.3590-20 — для периода до 31.08.2026 включительно (в том числе для материалов семинара 25–27.08.2026); СанПиН 2.3/2.4.4282-26 — с 01.09.2026 [2, 3].</w:t>
      </w:r>
    </w:p>
    <w:p>
      <w:pPr>
        <w:pStyle w:val="BodyText"/>
      </w:pPr>
      <w:r>
        <w:rPr>
          <w:b/>
          <w:bCs/>
        </w:rPr>
        <w:t xml:space="preserve">Классы утверждений.</w:t>
      </w:r>
      <w:r>
        <w:t xml:space="preserve"> </w:t>
      </w:r>
      <w:r>
        <w:t xml:space="preserve">Каждое существенное утверждение относится к одному из четырёх классов; класс обозначается в тексте, если не очевиден из контекста.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Что означает</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указаны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может оспариваться</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Методический документ, научное руководство или предложение автора; не обязательно</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обязателен только в нём</w:t>
            </w:r>
          </w:p>
        </w:tc>
        <w:tc>
          <w:tcPr/>
          <w:p>
            <w:pPr>
              <w:pStyle w:val="Compact"/>
            </w:pPr>
            <w:r>
              <w:t xml:space="preserve">Приказ ДСО «Серафимовский» от 10.03.2026 № 124</w:t>
            </w:r>
          </w:p>
        </w:tc>
      </w:tr>
    </w:tbl>
    <w:p>
      <w:pPr>
        <w:pStyle w:val="BodyText"/>
      </w:pPr>
      <w:r>
        <w:rPr>
          <w:b/>
          <w:bCs/>
        </w:rPr>
        <w:t xml:space="preserve">Источники</w:t>
      </w:r>
      <w:r>
        <w:t xml:space="preserve"> </w:t>
      </w:r>
      <w:r>
        <w:t xml:space="preserve">нумеруются в квадратных скобках; список — в конце доклада. Иллюстративные расчёты помечены словами «иллюстративная арифметика»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исследует правовые, организационные и доказательные основания вариативного меню — организации питания, при которой проживающий в стационарной организации социального обслуживания в момент приёма пищи располагает не менее чем двумя вариантами блюда и влияет на то, какой получит. Объект исследования — дома социального обслуживания (дома-интернаты для престарелых и инвалидов) и психоневрологические интернаты Российской Федерации; предмет — нормы, которые определяют, что, сколько и как подаётся на стол, и пространство, которое эти нормы оставляют выбору.</w:t>
      </w:r>
    </w:p>
    <w:p>
      <w:pPr>
        <w:pStyle w:val="BodyText"/>
      </w:pPr>
      <w:r>
        <w:t xml:space="preserve">Проанализированы федеральные законы и подзаконные акты (в том числе не учтённые в первой редакции приказ Минтруда России от 13.09.2022 № 520н и Правила организации деятельности организаций социального обслуживания, утверждённые приказом Минтруда России от 14.05.2025 № 305н, а также СанПиН 2.3/2.4.4282-26, вступивший в силу 01.09.2026), региональные нормы питания девяти субъектов с подробным разбором постановления Правительства Санкт-Петербурга от 29.12.2014 № 1284, практики восьми российских учреждений, описанные в открытых источниках,, нормы девяти зарубежных систем и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Основные выводы. Ни федеральное, ни проанализированное региональное право не закрепляет понятия вариативного меню и не ограничивает число вариантов блюда. Механизм эквивалентной замены продуктов, на который принято ссылаться как на правовую основу выбора, для взрослых закреплён только в методических рекомендациях 2002 г., ссылающихся на приказ Минторга СССР 1980 г.; таблица замен санитарных правил формально помещена в раздел о питании детей. Научные данные о выборе блюд в учреждениях ухода за пожилыми получены преимущественно в пилотных и наблюдательных исследованиях; они согласованно показывают рост удовлетворённости и неоднозначное влияние на потребление и затраты. Рандомизированных исследований вариативного меню в психиатрических учреждениях социального обслуживания не найдено. Опубликованные российские практики описывают факт внедрения, но не его результаты. В практической части разобраны сценарии: два горячих блюда в пределах норм № 1284, санитарный контур второго варианта по СанПиН 4282-26, закупка по 44-ФЗ и 223-ФЗ, раздача лежачим, комплект документов для проверки, расчёт затрат и замер отходов.</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названием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w:t>
            </w:r>
          </w:p>
        </w:tc>
      </w:tr>
    </w:tbl>
    <w:bookmarkEnd w:id="22"/>
    <w:bookmarkStart w:id="23" w:name="введение"/>
    <w:p>
      <w:pPr>
        <w:pStyle w:val="Heading1"/>
      </w:pPr>
      <w:r>
        <w:t xml:space="preserve">Введение</w:t>
      </w:r>
    </w:p>
    <w:p>
      <w:pPr>
        <w:pStyle w:val="FirstParagraph"/>
      </w:pPr>
      <w:r>
        <w:rPr>
          <w:b/>
          <w:bCs/>
        </w:rPr>
        <w:t xml:space="preserve">Проблема.</w:t>
      </w:r>
      <w:r>
        <w:t xml:space="preserve"> </w:t>
      </w:r>
      <w:r>
        <w:t xml:space="preserve">Только в психоневрологических интернатах России, по подсчёту проекта «Если быть точным», на 2024 г. было 466 учреждений и около 139 тыс. жителей, из которых 74 % признаны недееспособными [4]; к ним добавляются жители домов-интернатов общего типа, общее число которых в использованных источниках с проверяемыми реквизитами не найдено. Еда — повторяющаяся несколько раз в день часть их жизни, в которой выбор технически возможен. Тем не менее типовая организация питания в этих учреждениях устроена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Он появляется там, где учреждение само решает его ввести, и исчезает, когда уходит инициатор.</w:t>
      </w:r>
    </w:p>
    <w:p>
      <w:pPr>
        <w:pStyle w:val="BodyText"/>
      </w:pPr>
      <w:r>
        <w:t xml:space="preserve">С 2024 г. в открытых источниках появились сообщения о внедрении вариативного питания в психоневрологических интернатах Новосибирской области, в учреждениях Иркутской области и в ДСО «Серафимовский» Санкт-Петербурга [5–18]. В 2026 г. тема стала предметом работы рабочей группы Минтруда России и межрегионального семинара 25–27.08.2026. Практический вопрос директора звучит просто: можно ли подавать два вторых блюда, не нарушив нормы питания, санитарные правила и закупочное законодательство, и что для этого нужно иметь в папке на случай проверки. Ответ на него не помещается в одну строку, потому что три нормативных слоя — социальный, санитарный и закупочный — написаны независимо друг от друга и о выборе молчат.</w:t>
      </w:r>
    </w:p>
    <w:p>
      <w:pPr>
        <w:pStyle w:val="BodyText"/>
      </w:pPr>
      <w:r>
        <w:rPr>
          <w:b/>
          <w:bCs/>
        </w:rPr>
        <w:t xml:space="preserve">Цель доклада</w:t>
      </w:r>
      <w:r>
        <w:t xml:space="preserve"> </w:t>
      </w:r>
      <w:r>
        <w:t xml:space="preserve">— установить, какие нормы действующего права определяют организацию питания в стационарных организациях социального обслуживания, какое пространство они оставляют выбору блюд, что известно о последствиях выбора из научных исследований и практики, и предложить проверяемые организационные решения, не выдавая их за нормы.</w:t>
      </w:r>
    </w:p>
    <w:p>
      <w:pPr>
        <w:pStyle w:val="BodyText"/>
      </w:pPr>
      <w:r>
        <w:rPr>
          <w:b/>
          <w:bCs/>
        </w:rPr>
        <w:t xml:space="preserve">Задачи:</w:t>
      </w:r>
    </w:p>
    <w:p>
      <w:pPr>
        <w:pStyle w:val="Compact"/>
        <w:numPr>
          <w:ilvl w:val="0"/>
          <w:numId w:val="1001"/>
        </w:numPr>
      </w:pPr>
      <w:r>
        <w:t xml:space="preserve">развести понятия, которые в отраслевой речи смешиваются (цикличное меню, вариативное меню, таблица замен, персонализация питания), и шкалы, которыми описывают внедрение;</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w:t>
      </w:r>
    </w:p>
    <w:p>
      <w:pPr>
        <w:pStyle w:val="Compact"/>
        <w:numPr>
          <w:ilvl w:val="0"/>
          <w:numId w:val="1001"/>
        </w:numPr>
      </w:pPr>
      <w:r>
        <w:t xml:space="preserve">описать российские практики с указанием того, что источник сообщает и чего не сообщает;</w:t>
      </w:r>
    </w:p>
    <w:p>
      <w:pPr>
        <w:pStyle w:val="Compact"/>
        <w:numPr>
          <w:ilvl w:val="0"/>
          <w:numId w:val="1001"/>
        </w:numPr>
      </w:pPr>
      <w:r>
        <w:t xml:space="preserve">обобщить научные данные и зарубежные нормы о выборе блюд в учреждениях долговременного ухода;</w:t>
      </w:r>
    </w:p>
    <w:p>
      <w:pPr>
        <w:pStyle w:val="Compact"/>
        <w:numPr>
          <w:ilvl w:val="0"/>
          <w:numId w:val="1001"/>
        </w:numPr>
      </w:pPr>
      <w:r>
        <w:t xml:space="preserve">разобрать практические сценарии внедрения с опорой на действующие нормы;</w:t>
      </w:r>
    </w:p>
    <w:p>
      <w:pPr>
        <w:pStyle w:val="Compact"/>
        <w:numPr>
          <w:ilvl w:val="0"/>
          <w:numId w:val="1001"/>
        </w:numPr>
      </w:pPr>
      <w:r>
        <w:t xml:space="preserve">перечислить противоречия и пробелы и сформулировать предложения с явной пометкой их статуса.</w:t>
      </w:r>
    </w:p>
    <w:p>
      <w:pPr>
        <w:pStyle w:val="FirstParagraph"/>
      </w:pPr>
      <w:r>
        <w:rPr>
          <w:b/>
          <w:bCs/>
        </w:rPr>
        <w:t xml:space="preserve">Методы и источники.</w:t>
      </w:r>
      <w:r>
        <w:t xml:space="preserve"> </w:t>
      </w:r>
      <w:r>
        <w:t xml:space="preserve">Использован формально-юридический анализ текстов нормативных актов в действующих редакциях (официальные публикации, справочные системы «Гарант», «КонсультантПлюс», ведомственные сайты);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это целевой, а не систематический обзор); анализ публичных сообщений учреждений и органов власти. В качестве вторичной базы использованы материалы репозитория семинара: первая редакция обзора [1], доклад «Не просто накормить» и сопровождающая его база знаний с реестром противоречий [19, 20]. Утверждения этих материалов перепроверялись по первоисточникам; где перепроверка не удалась, это оговорено.</w:t>
      </w:r>
    </w:p>
    <w:p>
      <w:pPr>
        <w:pStyle w:val="BodyText"/>
      </w:pPr>
      <w:r>
        <w:rPr>
          <w:b/>
          <w:bCs/>
        </w:rPr>
        <w:t xml:space="preserve">Ограничения.</w:t>
      </w:r>
      <w:r>
        <w:t xml:space="preserve"> </w:t>
      </w:r>
      <w:r>
        <w:t xml:space="preserve">Доклад не содержит назначений диет, текстур или лечебного питания: эти решения принимает врач, и доклад их не подменяет. Сведения о практике учреждений взяты из их публичных сообщений и не являются результатами аудита. Данные о стоимости питания приводятся только по опубликованным источникам; расчёты без источника помечены как иллюстративные. Тексты ряда региональных актов изучены по первой редакции обзора и повторно не сверялись; это указано при их изложении.</w:t>
      </w:r>
    </w:p>
    <w:p>
      <w:pPr>
        <w:pStyle w:val="BodyText"/>
      </w:pPr>
      <w:r>
        <w:rPr>
          <w:b/>
          <w:bCs/>
        </w:rPr>
        <w:t xml:space="preserve">Что нового во второй редакции.</w:t>
      </w:r>
      <w:r>
        <w:t xml:space="preserve"> </w:t>
      </w:r>
      <w:r>
        <w:t xml:space="preserve">По сравнению с первой редакцией [1]: (а) введён в анализ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для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шести российских кейсах; (ж) практическая часть расширена до десяти сценариев. Полный перечень изменений — в приложении В.</w:t>
      </w:r>
    </w:p>
    <w:bookmarkEnd w:id="23"/>
    <w:bookmarkStart w:id="30" w:name="понятия-и-разграничения"/>
    <w:p>
      <w:pPr>
        <w:pStyle w:val="Heading1"/>
      </w:pPr>
      <w:r>
        <w:rPr>
          <w:rStyle w:val="SectionNumber"/>
        </w:rPr>
        <w:t xml:space="preserve">1</w:t>
      </w:r>
      <w:r>
        <w:tab/>
      </w:r>
      <w:r>
        <w:t xml:space="preserve">Понятия и разграничения</w:t>
      </w:r>
    </w:p>
    <w:bookmarkStart w:id="24"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[21; 22, п. 11]. Внутри этой формы различаются два типа учреждений, и для темы доклада различие существенно.</w:t>
      </w:r>
    </w:p>
    <w:p>
      <w:pPr>
        <w:pStyle w:val="BodyText"/>
      </w:pPr>
      <w:r>
        <w:t xml:space="preserve">Дома-интернаты для престарелых и инвалидов действуют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подчиняются тому же закону, но к ним дополнительно применяется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относит к ст. 39 и законодательству о социальном обслуживании [23]. Среди прав ч. 2 ст. 37 — право «исполнять религиозные обряды, соблюдать религиозные каноны, в том числе пост», если это не нарушает внутренний распорядок [23]. Это единственная найденная норма федерального закона, которая прямо касается содержания тарелки проживающего: соблюдение поста — право жителя ПНИ, а не милость кухни. С 01.09.2025 аналогичная обязанность на уровне подзаконного акта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[24] (подробнее — п. 2.4). Первая редакция обзора Закон № 3185-1 не упоминала [1]; для ПНИ это существенный пропуск.</w:t>
      </w:r>
    </w:p>
    <w:p>
      <w:pPr>
        <w:pStyle w:val="BodyText"/>
      </w:pPr>
      <w:r>
        <w:t xml:space="preserve">Переименование ПНИ в дома социального обслуживания, проведённое, по данным «Если быть точным», к концу 2025 г. как минимум в 41 регионе [4], имеет федеральное основание: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[24]. Правового режима, определяемого Законом № 3185-1, переименование само по себе не меняет. В Санкт-Петербурге, по сообщению Комитета по социальной политике от 22.07.2025, психоневрологических интернатов больше нет: все они переименованы в дома социального обслуживания, и ведётся актуализация их уставов [18]. Сайт ДСО «Серафимовский» до прекращения работы располагался на домене pni9.ru [25]. Для применения ст. 43 Закона № 3185-1 значимо назначение организации, а не вывеска. В ДСО, где живут люди без психиатрического диагноза, опорой остаётся 442-ФЗ. Поэтому решения, разобранные в разделе 7, для ПНИ проверяются по двум законам, для дома-интерната общего типа — по одному.</w:t>
      </w:r>
    </w:p>
    <w:bookmarkEnd w:id="24"/>
    <w:bookmarkStart w:id="25" w:name="четыре-словаря"/>
    <w:p>
      <w:pPr>
        <w:pStyle w:val="Heading2"/>
      </w:pPr>
      <w:r>
        <w:rPr>
          <w:rStyle w:val="SectionNumber"/>
        </w:rPr>
        <w:t xml:space="preserve">1.2</w:t>
      </w:r>
      <w:r>
        <w:tab/>
      </w:r>
      <w:r>
        <w:t xml:space="preserve">Четыре словаря</w:t>
      </w:r>
    </w:p>
    <w:p>
      <w:pPr>
        <w:pStyle w:val="FirstParagraph"/>
      </w:pPr>
      <w:r>
        <w:t xml:space="preserve">В отраслевой речи под «вариативным меню» понимают по меньшей мере четыре разных явления. Их смешение — главный источник споров с проверяющими и с самими собой.</w:t>
      </w:r>
    </w:p>
    <w:p>
      <w:pPr>
        <w:pStyle w:val="BodyText"/>
      </w:pPr>
      <w:r>
        <w:rPr>
          <w:b/>
          <w:bCs/>
        </w:rPr>
        <w:t xml:space="preserve">Цикличное меню</w:t>
      </w:r>
      <w:r>
        <w:t xml:space="preserve"> </w:t>
      </w:r>
      <w:r>
        <w:t xml:space="preserve">— разнообразие во времени: набор блюд повторяется через 7, 10, 14 или 21 день. Цикличное меню обязательно в силу санитарных правил для детских организаций (не менее двух недель, п. 59 подп. 4 СанПиН 4282-26 [3]) и сложилось как практика во взрослых учреждениях. Жителю оно ничего не предлагает выбрать: «четырнадцать дней без повторов» — характеристика меню, а не свобода человека.</w:t>
      </w:r>
    </w:p>
    <w:p>
      <w:pPr>
        <w:pStyle w:val="BodyText"/>
      </w:pPr>
      <w:r>
        <w:rPr>
          <w:b/>
          <w:bCs/>
        </w:rPr>
        <w:t xml:space="preserve">Таблица замен</w:t>
      </w:r>
      <w:r>
        <w:t xml:space="preserve"> </w:t>
      </w:r>
      <w:r>
        <w:t xml:space="preserve">(нормы взаимозаменяемости) — инструмент склада и раскладки: при отсутствии продукта он заменяется другим в эквивалентном по пищевой ценности количестве. Таблица защищает норму, а не выбор. Гречка, заменённая рисом «по остаткам», — замена, а не вариант. Где именно таблица замен находится в праве для взрослых — отдельный вопрос, разобранный в п. 2.6.</w:t>
      </w:r>
    </w:p>
    <w:p>
      <w:pPr>
        <w:pStyle w:val="BodyText"/>
      </w:pPr>
      <w:r>
        <w:rPr>
          <w:b/>
          <w:bCs/>
        </w:rPr>
        <w:t xml:space="preserve">Персонализация питания</w:t>
      </w:r>
      <w:r>
        <w:t xml:space="preserve"> </w:t>
      </w:r>
      <w:r>
        <w:t xml:space="preserve">— индивидуальные решения по медицинским показаниям: диета, консистенция, обогащение, режим. Её основание — назначение врача; кухня его исполняет. Персонализация не является выбором в смысле доклада и не должна им подменяться: житель с назначенной протёртой пищей имеет право на выбор среди протёртых блюд, но не на отмену назначения через «выбор».</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получит. Это определение (толкование) принято в докладе «Не просто накормить» [19] и используется здесь как основное.</w:t>
      </w:r>
    </w:p>
    <w:p>
      <w:pPr>
        <w:pStyle w:val="BodyText"/>
      </w:pPr>
      <w:r>
        <w:t xml:space="preserve">Четыре словаря можно проверить одним вопросом: что изменилось в тарелке конкретного жителя сегодня и кто это решил? Если решили регион и кухня — это цикл или замена. Если решил врач — персонализация. Если решил сам житель (или, при невозможности сказать, по наблюдаемым признакам его воли) — выбор.</w:t>
      </w:r>
    </w:p>
    <w:bookmarkEnd w:id="25"/>
    <w:bookmarkStart w:id="26"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Определения вариативного меню в материалах, на которые опирается доклад, не совпадают, и это расхождение следует видеть.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[19]</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[20]</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для проверки: его выполнение видно в журнале и на линии раздачи. Широкое удобно для отчёта: под него подпадает почти любое изменение. Доклад использует узкое определение и отдельно оговаривает, когда речь идёт о предварительном заказе. Заказ накануне (так устроена практика ДСО «Серафимовский» [18]) по узкому определению является выбором при условии, что заказанное блюдо фактически подаётся заказавшему; заказ на неделю вперёд — выбор с отсрочкой, при котором право изменить решение в день подачи становится отдельным вопросом.</w:t>
      </w:r>
    </w:p>
    <w:bookmarkEnd w:id="26"/>
    <w:bookmarkStart w:id="27"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Для описания степени внедрения в материалах семинара используются три независимые шкалы.</w:t>
      </w:r>
    </w:p>
    <w:p>
      <w:pPr>
        <w:pStyle w:val="BodyText"/>
      </w:pPr>
      <w:r>
        <w:rPr>
          <w:b/>
          <w:bCs/>
        </w:rPr>
        <w:t xml:space="preserve">Модели раздачи М0–М5</w:t>
      </w:r>
      <w:r>
        <w:t xml:space="preserve"> </w:t>
      </w:r>
      <w:r>
        <w:t xml:space="preserve">— ось технологии стола [19, 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[18]</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сообщение по Иркутской области [13]</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[26]</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[27];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 ось жителя: насколько контроль над едой возвращён человеку (0 — еду определили регион, кухня и смена; 1 — спросили, тарелка та же; 2 — выбор дошёл до тарелки; 3 — добавились время и место; 4 — житель влияет на меню через совет; 5 — еда снова часть жизни, а не процедуры) [19, 20].</w:t>
      </w:r>
    </w:p>
    <w:p>
      <w:pPr>
        <w:pStyle w:val="BodyText"/>
      </w:pPr>
      <w:r>
        <w:rPr>
          <w:b/>
          <w:bCs/>
        </w:rPr>
        <w:t xml:space="preserve">Пять моделей обзора НПА</w:t>
      </w:r>
      <w:r>
        <w:t xml:space="preserve"> </w:t>
      </w:r>
      <w:r>
        <w:t xml:space="preserve">(§ 4.2) — организационные формы: двухвариантное меню; меню-заказ на неделю; шведский стол; смешанная модель (выбор несколько раз в неделю); событийная (праздничные меню) [1].</w:t>
      </w:r>
    </w:p>
    <w:p>
      <w:pPr>
        <w:pStyle w:val="BodyText"/>
      </w:pPr>
      <w:r>
        <w:t xml:space="preserve">Шкалы измеряют разное. Дом может работать по М2 (два вторых ежедневно), а жители отделения милосердия при этом остаются на ступени 0, если выбор существует только в столовой, куда они не спускаются. Нумерации не совпадают: «модель 1» обзора НПА не равна М1, «ступень 2» не равна М2. В первой редакции обзора Болотнинский ПНИ одновременно отнесён к модели 1 и модели 4 [1]; по шкале М0–М5 это М1, а по пятичленной шкале обзора — смешанная модель (выбор несколько раз в неделю). В настоящем докладе шкала моделей обзора НПА не используется, кроме цитирования.</w:t>
      </w:r>
    </w:p>
    <w:bookmarkEnd w:id="27"/>
    <w:bookmarkStart w:id="28"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ст. 20 442-ФЗ [21]. Федеральный Примерный порядок предоставления социальных услуг в стационарной форме (приказ Минтруда России от 24.11.2014 № 935н) задаёт два положения, прямо касающихся питания [22]:</w:t>
      </w:r>
    </w:p>
    <w:p>
      <w:pPr>
        <w:pStyle w:val="Compact"/>
        <w:numPr>
          <w:ilvl w:val="0"/>
          <w:numId w:val="1002"/>
        </w:numPr>
      </w:pPr>
      <w:r>
        <w:t xml:space="preserve">при расчёте объёма услуг учитываются нормы и нормативы, в том числе нормы питания, установленные в соответствии с 442-ФЗ;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w:t>
      </w:r>
    </w:p>
    <w:p>
      <w:pPr>
        <w:pStyle w:val="Compact"/>
        <w:numPr>
          <w:ilvl w:val="0"/>
          <w:numId w:val="1002"/>
        </w:numPr>
      </w:pPr>
      <w:r>
        <w:t xml:space="preserve">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FirstParagraph"/>
      </w:pPr>
      <w:r>
        <w:t xml:space="preserve">В том же п. 19 есть показательное соседство. Мягкий инвентарь должен соответствовать «по возможности, их запросам по фасону и расцветке» (подп. 4) [22]. Предпочтения получателя федеральный критерий качества учитывает для одежды, но не для еды: питание оценивается по доброкачественности, калорийности и соответствию нормам. Отсюда не следует, что учитывать вкус запрещено. Следует только то, что федеральный критерий качества его не требует, и учреждение, вводящее выбор блюд, опирается не на п. 19, а на общие права получателя (ст. 9 442-ФЗ) и на свои локальные акты (толкование).</w:t>
      </w:r>
    </w:p>
    <w:bookmarkEnd w:id="28"/>
    <w:bookmarkStart w:id="29"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Хронология важна потому, что в действующей практике одновременно применяются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[28]</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[23]</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[28]</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[28]</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[21]</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[22, 29]</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[30]</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[29]</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построила федеральный методический блок на постановлении № 12 от 2002 г. и назвала его «действующим, но морально устаревшим» [1]. Приказ № 520н, принятый двадцатью годами позже, в ней не упомянут. Номер «774н», встречающийся в одном из академических слоёв материалов семинара [20], по открытым источникам не подтверждён и в докладе не используется.</w:t>
      </w:r>
    </w:p>
    <w:bookmarkEnd w:id="29"/>
    <w:bookmarkEnd w:id="30"/>
    <w:bookmarkStart w:id="50" w:name="федеральное-право"/>
    <w:p>
      <w:pPr>
        <w:pStyle w:val="Heading1"/>
      </w:pPr>
      <w:r>
        <w:rPr>
          <w:rStyle w:val="SectionNumber"/>
        </w:rPr>
        <w:t xml:space="preserve">2</w:t>
      </w:r>
      <w:r>
        <w:tab/>
      </w:r>
      <w:r>
        <w:t xml:space="preserve">Федеральное право</w:t>
      </w:r>
    </w:p>
    <w:bookmarkStart w:id="31"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не говорит о питании прямо. Для темы значимы три её положения: охрана достоинства личности, которое ничто не может умалять (ст. 21), социальное государство, гарантирующее государственную поддержку пожилых граждан и инвалидов (ст. 7, 39), и право на охрану здоровья (ст. 41) [31]. Из них не выводится право на два вторых блюда; выводится требование, чтобы ограничения в повседневной жизни проживающего имели основание, а не возникали из удобства организации (толкование).</w:t>
      </w:r>
    </w:p>
    <w:p>
      <w:pPr>
        <w:pStyle w:val="BodyText"/>
      </w:pPr>
      <w:r>
        <w:t xml:space="preserve">Конвенция ООН о правах инвалидов, ратифицированная Россией в 2012 г., содержит три относящиеся к делу нормы: право на самостоятельный образ жизни и вовлечённость в местное сообщество (ст. 19), на здоровье (ст. 25) и на достаточный жизненный уровень, «включающий достаточное питание» (ст. 28) [32]. Комитет ООН по правам инвалидов в Замечании общего порядка № 1 (2014) к ст. 12 разъяснил, что замещающее принятие решений должно уступать место поддерживаемому [33]. Для ПНИ, где большинство жителей признаны недееспособными [4], это означает, что вопрос «может ли этот человек выбрать» должен ставиться как вопрос «какая поддержка ему нужна, чтобы выбор был его», а не решаться признанием недееспособности (толкование; правовые последствия Замечания для российских судов не исследуются).</w:t>
      </w:r>
    </w:p>
    <w:bookmarkEnd w:id="31"/>
    <w:bookmarkStart w:id="32" w:name="закон-442-фз"/>
    <w:p>
      <w:pPr>
        <w:pStyle w:val="Heading2"/>
      </w:pPr>
      <w:r>
        <w:rPr>
          <w:rStyle w:val="SectionNumber"/>
        </w:rPr>
        <w:t xml:space="preserve">2.2</w:t>
      </w:r>
      <w:r>
        <w:tab/>
      </w:r>
      <w:r>
        <w:t xml:space="preserve">Закон № 442-ФЗ</w:t>
      </w:r>
    </w:p>
    <w:p>
      <w:pPr>
        <w:pStyle w:val="FirstParagraph"/>
      </w:pPr>
      <w:r>
        <w:t xml:space="preserve">442-ФЗ распределяет полномочия так, что содержание тарелки определяет субъект.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[21]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но регион не обязан их повторять (толкование, основанное на рекомендательном характере обоих актов).</w:t>
      </w:r>
    </w:p>
    <w:p>
      <w:pPr>
        <w:pStyle w:val="BodyText"/>
      </w:pPr>
      <w:r>
        <w:t xml:space="preserve">Для выбора блюд значимы следующие положения закона [21] —</w:t>
      </w:r>
      <w:r>
        <w:t xml:space="preserve"> </w:t>
      </w:r>
      <w:r>
        <w:rPr>
          <w:b/>
          <w:bCs/>
        </w:rPr>
        <w:t xml:space="preserve">нормы</w:t>
      </w:r>
      <w:r>
        <w:t xml:space="preserve">:</w:t>
      </w:r>
    </w:p>
    <w:p>
      <w:pPr>
        <w:pStyle w:val="Compact"/>
        <w:numPr>
          <w:ilvl w:val="0"/>
          <w:numId w:val="1003"/>
        </w:numPr>
      </w:pPr>
      <w:r>
        <w:t xml:space="preserve">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w:t>
      </w:r>
    </w:p>
    <w:p>
      <w:pPr>
        <w:pStyle w:val="Compact"/>
        <w:numPr>
          <w:ilvl w:val="0"/>
          <w:numId w:val="1003"/>
        </w:numPr>
      </w:pPr>
      <w:r>
        <w:t xml:space="preserve">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w:t>
      </w:r>
    </w:p>
    <w:p>
      <w:pPr>
        <w:pStyle w:val="Compact"/>
        <w:numPr>
          <w:ilvl w:val="0"/>
          <w:numId w:val="1003"/>
        </w:numPr>
      </w:pPr>
      <w:r>
        <w:t xml:space="preserve">индивидуальная программа определяет форму, вид, объём, периодичность и условия предоставления услуг (ст. 16), договор — их состав и стоимость (ст. 17);</w:t>
      </w:r>
    </w:p>
    <w:p>
      <w:pPr>
        <w:pStyle w:val="Compact"/>
        <w:numPr>
          <w:ilvl w:val="0"/>
          <w:numId w:val="1003"/>
        </w:numPr>
      </w:pPr>
      <w:r>
        <w:t xml:space="preserve">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FirstParagraph"/>
      </w:pPr>
      <w:r>
        <w:t xml:space="preserve">О последнем положении в материалах семинара существуют две ссылки: доклад «Не просто накормить» относит ограничение в 75 % к ч. 4 ст. 32 442-ФЗ, первая редакция обзора — к п. 35 приказа № 935н [1, 19]. Проверка текстов показала, что правы обе: п. 35 Примерного порядка дословно воспроизводит законодательное ограничение [22]. Источником нормы является закон; приказ её повторяет. Противоречия нет, есть разная глубина ссылки.</w:t>
      </w:r>
    </w:p>
    <w:p>
      <w:pPr>
        <w:pStyle w:val="BodyText"/>
      </w:pPr>
      <w:r>
        <w:t xml:space="preserve">Для вариативного меню важнее другое. Право на отказ от услуги (ст. 9) охватывает отказ от конкретного блюда (толкование), но закон не говорит, что учреждение должно предложить взамен. Право на участие в составлении ИППСУ позволяет внести в программу пищевые предпочтения, но федеральная форма программы для этого не предназначена; прямого права на ежедневный выбор блюда закон не содержит [20]. Выбор в 442-ФЗ возможен, но не гарантирован.</w:t>
      </w:r>
    </w:p>
    <w:bookmarkEnd w:id="32"/>
    <w:bookmarkStart w:id="33"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[22]. Он устанавливает,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Статус приказа требует точности: Примерный порядок — ориентир для субъектов, а не прямой регулятор учреждения. Порядок предоставления услуг утверждает субъект (ст. 8 442-ФЗ) [21]. Поэтому ссылка «по п. 19 приказа № 935н питание должно быть разнообразным» неверна дважды: пункт этого не говорит, и учреждение подчиняется региональному порядку (толкование).</w:t>
      </w:r>
    </w:p>
    <w:bookmarkEnd w:id="33"/>
    <w:bookmarkStart w:id="34"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[24]. Приказ издан на основании п. 6 ч. 2 ст. 7 442-ФЗ и признал утратившим силу приказ Минтруда России от 24.11.2014 № 940н с изменениями. Ни первая редакция обзора, ни предшествующие материалы семинара этот акт не рассматривали [1, 19, 20], хотя для темы он значим больше, чем Примерный порядок: в отличие от приказа № 935н, Правила обращены непосредственно к организациям, а не к субъектам как образец.</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w:t>
      </w:r>
    </w:p>
    <w:p>
      <w:pPr>
        <w:pStyle w:val="Compact"/>
        <w:numPr>
          <w:ilvl w:val="0"/>
          <w:numId w:val="1004"/>
        </w:numPr>
      </w:pPr>
      <w:r>
        <w:t xml:space="preserve">нормы питания в организациях, находящихся в ведении субъекта, устанавливаются актами субъекта в рамках полномочий по ст. 8 442-ФЗ (п. 15) — федеральный акт подтверждает распределение компетенции, а не вводит собственных норм;</w:t>
      </w:r>
    </w:p>
    <w:p>
      <w:pPr>
        <w:pStyle w:val="Compact"/>
        <w:numPr>
          <w:ilvl w:val="0"/>
          <w:numId w:val="1004"/>
        </w:numPr>
      </w:pPr>
      <w:r>
        <w:t xml:space="preserve">организация обязана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w:t>
      </w:r>
    </w:p>
    <w:p>
      <w:pPr>
        <w:pStyle w:val="Compact"/>
        <w:numPr>
          <w:ilvl w:val="0"/>
          <w:numId w:val="1004"/>
        </w:numPr>
      </w:pPr>
      <w:r>
        <w:t xml:space="preserve">организация обязана «обеспечивать условия для исполнения религиозных обрядов, соблюдения религиозных канонов, в том числе постов» (подп. 15 п. 20) — для всех организаций социального обслуживания, а не только для ПНИ, как по ст. 43 Закона № 3185-1;</w:t>
      </w:r>
    </w:p>
    <w:p>
      <w:pPr>
        <w:pStyle w:val="Compact"/>
        <w:numPr>
          <w:ilvl w:val="0"/>
          <w:numId w:val="1004"/>
        </w:numPr>
      </w:pPr>
      <w:r>
        <w:t xml:space="preserve">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FirstParagraph"/>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[24] —</w:t>
      </w:r>
      <w:r>
        <w:t xml:space="preserve"> </w:t>
      </w:r>
      <w:r>
        <w:rPr>
          <w:b/>
          <w:bCs/>
        </w:rPr>
        <w:t xml:space="preserve">рекомендация</w:t>
      </w:r>
      <w:r>
        <w:t xml:space="preserve">. Это первое найденное в федеральном акте признание того, что житель стационара может сам готовить еду; для шкалы раздачи (п. 1.4) оно означает, что модель М5 — жители готовят сами — имеет опору в федеральном перечне оборудования, хотя и рекомендательную. Позиция не уточняет, предназначено ли помещение для повседневного питания или для обучения бытовым навыкам; в последнем случае она относится к подготовке к сопровождаемому проживанию, а не к организации основного питания.</w:t>
      </w:r>
    </w:p>
    <w:p>
      <w:pPr>
        <w:pStyle w:val="BodyText"/>
      </w:pPr>
      <w:r>
        <w:t xml:space="preserve">Последствия для вариативного меню (толкование). Во-первых, обязанность обеспечить условия для соблюдения поста превращает постное блюдо в пост из пожелания в предмет проверки регионального государственного контроля по ст. 33 442-ФЗ во всех стационарных организациях: учреждение должно уметь показать, как житель, соблюдающий пост, получает питание в пределах норм. Самый простой способ — постный вариант в составе вариативного меню; альтернативы — индивидуальная замена по заявлению или отдельный постный рацион. Юрист проекта «Регион заботы» А. Гаганов в комментарии к приказу сделал тот же вывод: норма «склоняет интернаты к необходимости обеспечивать вариативное питание хотя бы во время религиозных постов» [34]. Во-вторых, Правила не обязывают предоставлять выбор блюд как таковой; ссылка на приказ № 305н в обоснование ежедневного выбора двух вторых блюд была бы расширительным толкованием. В-третьих, предпочтения получателя упоминаются в Правилах применительно к размещению по спальням, но не к питанию — та же асимметрия, что в критериях качества приказа № 935н (п. 1.5).</w:t>
      </w:r>
    </w:p>
    <w:bookmarkEnd w:id="34"/>
    <w:bookmarkStart w:id="38"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5"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[29].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федеральной опорой норм там названо постановление № 12 от 2002 г. [1]. Для анализа это существенно: с 2022 г. федеральный ориентир по продуктовому набору для взрослых — № 520н, а не таблицы 2002 г.</w:t>
      </w:r>
    </w:p>
    <w:p>
      <w:pPr>
        <w:pStyle w:val="BodyText"/>
      </w:pPr>
      <w:r>
        <w:t xml:space="preserve">Два свойства приказа № 520н важны для выбора блюд.</w:t>
      </w:r>
    </w:p>
    <w:p>
      <w:pPr>
        <w:pStyle w:val="BodyText"/>
      </w:pPr>
      <w:r>
        <w:t xml:space="preserve">Во-первых, смесь белковая композитная сухая (27 г) и витаминно-минеральные комплексы (50–100 % физиологической нормы) отмечены в нём сноской «по медицинским показаниям» [29]. Федеральная рекомендация, таким образом, не включает специализированные продукты в общий рацион каждого жителя, а связывает их с назначением. Петербургская норма, как будет показано в п. 3.2, поступает иначе.</w:t>
      </w:r>
    </w:p>
    <w:p>
      <w:pPr>
        <w:pStyle w:val="BodyText"/>
      </w:pPr>
      <w:r>
        <w:t xml:space="preserve">Во-вторых, приказ задаёт продукты группами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[29]. Внутри группы выбор конкретного продукта нормой не регламентирован. Это и есть главный источник законного пространства для вариантов: две каши из одной группы круп не требуют пересчёта нормы (толкование).</w:t>
      </w:r>
    </w:p>
    <w:bookmarkEnd w:id="35"/>
    <w:bookmarkStart w:id="36"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[28].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[28]. Первая редакция обзора называла нормы взаимозаменяемости приложением № 6 [1]; по действующей редакции в системе «Гарант» это приложение № 7. В действующей редакции есть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[28]. Для вариативного меню приложение № 8 полезнее приложения № 7: нормы Минторга описывают замену сырья при изготовлении одного и того же блюда, а таблица по белку и углеводам позволяет сопоставить разные блюда.</w:t>
      </w:r>
    </w:p>
    <w:p>
      <w:pPr>
        <w:pStyle w:val="BodyText"/>
      </w:pPr>
      <w:r>
        <w:t xml:space="preserve">Пункт 3 рекомендаций формулирует требования, которые прямо касаются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коррекция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[28]. Первое из этих требований задаёт рамку выбора: житель может выбрать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[28] — то есть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[35]; их содержание для доклада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[36]. Если это положение подтвердится по первоисточнику, оно — единственное найденное федеральное упоминание индивидуального объёма порции в социальном обслуживании (текст рекомендаций целиком в ходе подготовки доклада не получен;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Разумно читать их так (толкование): продуктовый набор — по № 520н как более позднему и специальному;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[20]; по открытым источникам этот номер не подтверждён.</w:t>
      </w:r>
    </w:p>
    <w:bookmarkEnd w:id="36"/>
    <w:bookmarkStart w:id="37"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[37]. Они не устанавливают продуктовых наборов и не регулируют порядок подачи —</w:t>
      </w:r>
      <w:r>
        <w:t xml:space="preserve"> </w:t>
      </w:r>
      <w:r>
        <w:rPr>
          <w:b/>
          <w:bCs/>
        </w:rPr>
        <w:t xml:space="preserve">рекомендация</w:t>
      </w:r>
      <w:r>
        <w:t xml:space="preserve">.</w:t>
      </w:r>
    </w:p>
    <w:bookmarkEnd w:id="37"/>
    <w:bookmarkEnd w:id="38"/>
    <w:bookmarkStart w:id="39"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Практически во всех отраслевых материалах, включая обе предыдущие работы семинара, утверждается, что таблицы замен «легализуют» вариативность: если вариант Б эквивалентен варианту А по таблице, норма соблюдена [1, 19]. Проверка источников показывает, что это утверждение верно по смыслу, но требует уточнения адреса.</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 приложение № 11 к СанПиН 4282-26 (как и ранее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является нормой для детских организованных коллективов, а для взрослых — допустимым ориентиром, применяемым по аналогии (толкование). Свердловская область сделала эту аналогию нормой регионального уровня, указав в своём акте о нормах питания замену по приложению № 11 [1, 38].</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найденный федеральный документ о замене продуктов, адресованный именно учреждениям социального обслуживания взрослых [28].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в действующей редакции положений о замене продуктов не содержит (проверено по тексту редакции от 27.06.2022 [30]).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этой редакции, положений о взаимозаменяемости продуктов для совершеннолетних также не найдено [39–41]. Там, где региональный акт молчит, таблицу замен вводит локальный акт: например,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[42]. Эта конструкция — локальная форма, а не норма, но она показывает, что механизм, нужный вариативному меню, во многих учреждениях уже существует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но этот подпункт адресован медицинским организациям [3].</w:t>
      </w:r>
    </w:p>
    <w:p>
      <w:pPr>
        <w:pStyle w:val="BodyText"/>
      </w:pPr>
      <w:r>
        <w:t xml:space="preserve">Вывод (толкование): механизм эквивалентной замены для взрослых в социальном обслуживании существует, но держится на документах рекомендательного характера, на аналогии с детским разделом санитарных правил и на региональных актах там, где они это предусмотрели. Для директора отсюда следует практическое требование: таблица замен, которой пользуется учреждение, должна быть утверждена его локальным актом со ссылкой на источник — приложение № 7 к рекомендациям 2002 г., приложение № 11 к СанПиН 4282-26 или региональный акт. Сама по себе ссылка «по СанПиН» для взрослого учреждения уязвима.</w:t>
      </w:r>
    </w:p>
    <w:bookmarkEnd w:id="39"/>
    <w:bookmarkStart w:id="44"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0"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Отсюда два правила применения (толкование, основанное на общем принципе действия акта во времени). Журналы, технологическая документация и программа производственного контроля, оформленные до 31.08.2026 по формам СанПиН 3590-20, законны в том виде, в каком они составлены; переоформлять их задним числом не требуется и вредно. С 01.09.2026 действуют формы и требования СанПиН 4282-26; документы, ссылающиеся на пункты утратившего силу акта, должны быть перепривязаны.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0"/>
    <w:bookmarkStart w:id="41"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r>
      <w:tr>
        <w:tc>
          <w:tcPr/>
          <w:p>
            <w:pPr>
              <w:pStyle w:val="Compact"/>
            </w:pPr>
            <w:r>
              <w:t xml:space="preserve">Кратность и диетическое питание</w:t>
            </w:r>
          </w:p>
        </w:tc>
        <w:tc>
          <w:tcPr/>
          <w:p>
            <w:pPr>
              <w:pStyle w:val="Compact"/>
            </w:pPr>
            <w:r>
              <w:t xml:space="preserve">Не менее 3 раз в день, в том числе диетическое (лечебное) по медицинским показаниям (раздел VII, п. 7.1.11 по нумерации, приводимой в [1, 20])</w:t>
            </w:r>
          </w:p>
        </w:tc>
        <w:tc>
          <w:tcPr/>
          <w:p>
            <w:pPr>
              <w:pStyle w:val="Compact"/>
            </w:pPr>
            <w:r>
              <w:t xml:space="preserve">То же: подп. 11 п. 56 [3]</w:t>
            </w:r>
          </w:p>
        </w:tc>
      </w:tr>
      <w:tr>
        <w:tc>
          <w:tcPr/>
          <w:p>
            <w:pPr>
              <w:pStyle w:val="Compact"/>
            </w:pPr>
            <w:r>
              <w:t xml:space="preserve">Привлечение стороннего организатора питания</w:t>
            </w:r>
          </w:p>
        </w:tc>
        <w:tc>
          <w:tcPr/>
          <w:p>
            <w:pPr>
              <w:pStyle w:val="Compact"/>
            </w:pPr>
            <w:r>
              <w:t xml:space="preserve">Требования к суточным пробам и помещению (п. 7.1.12–7.1.14 по [20])</w:t>
            </w:r>
          </w:p>
        </w:tc>
        <w:tc>
          <w:tcPr/>
          <w:p>
            <w:pPr>
              <w:pStyle w:val="Compact"/>
            </w:pPr>
            <w:r>
              <w:t xml:space="preserve">При использовании готовых блюд выделяется помещение для приёма и отбора суточных проб; пробы отбирает ответственный работник пищеблока по подп. 4 (подп. 12 п. 56)</w:t>
            </w:r>
          </w:p>
        </w:tc>
      </w:tr>
      <w:tr>
        <w:tc>
          <w:tcPr/>
          <w:p>
            <w:pPr>
              <w:pStyle w:val="Compact"/>
            </w:pPr>
            <w:r>
              <w:t xml:space="preserve">Бракераж</w:t>
            </w:r>
          </w:p>
        </w:tc>
        <w:tc>
          <w:tcPr/>
          <w:p>
            <w:pPr>
              <w:pStyle w:val="Compact"/>
            </w:pPr>
            <w:r>
              <w:t xml:space="preserve">—</w:t>
            </w:r>
          </w:p>
        </w:tc>
        <w:tc>
          <w:tcPr/>
          <w:p>
            <w:pPr>
              <w:pStyle w:val="Compact"/>
            </w:pPr>
            <w:r>
              <w:t xml:space="preserve">Блюдо при нарушении технологии или неготовности не выдаётся до устранения; результат — в журнале бракеража по приложениям № 4 и 5 (подп. 13 п. 56)</w:t>
            </w:r>
          </w:p>
        </w:tc>
      </w:tr>
      <w:tr>
        <w:tc>
          <w:tcPr/>
          <w:p>
            <w:pPr>
              <w:pStyle w:val="Compact"/>
            </w:pPr>
            <w:r>
              <w:t xml:space="preserve">Распространение на сторонние предприятия</w:t>
            </w:r>
          </w:p>
        </w:tc>
        <w:tc>
          <w:tcPr/>
          <w:p>
            <w:pPr>
              <w:pStyle w:val="Compact"/>
            </w:pPr>
            <w:r>
              <w:t xml:space="preserve">—</w:t>
            </w:r>
          </w:p>
        </w:tc>
        <w:tc>
          <w:tcPr/>
          <w:p>
            <w:pPr>
              <w:pStyle w:val="Compact"/>
            </w:pPr>
            <w:r>
              <w:t xml:space="preserve">Требования п. 56 распространяются на привлекаемые предприятия общественного питания (подп. 14 п. 56)</w:t>
            </w:r>
          </w:p>
        </w:tc>
      </w:tr>
      <w:tr>
        <w:tc>
          <w:tcPr/>
          <w:p>
            <w:pPr>
              <w:pStyle w:val="Compact"/>
            </w:pPr>
            <w:r>
              <w:t xml:space="preserve">Рекомендательные нормы</w:t>
            </w:r>
          </w:p>
        </w:tc>
        <w:tc>
          <w:tcPr/>
          <w:p>
            <w:pPr>
              <w:pStyle w:val="Compact"/>
            </w:pPr>
            <w:r>
              <w:t xml:space="preserve">—</w:t>
            </w:r>
          </w:p>
        </w:tc>
        <w:tc>
          <w:tcPr/>
          <w:p>
            <w:pPr>
              <w:pStyle w:val="Compact"/>
            </w:pPr>
            <w:r>
              <w:t xml:space="preserve">Оценка соблюдения рекомендательных норм не может быть предметом федерального санитарного надзора (п. 3)</w:t>
            </w:r>
          </w:p>
        </w:tc>
      </w:tr>
      <w:tr>
        <w:tc>
          <w:tcPr/>
          <w:p>
            <w:pPr>
              <w:pStyle w:val="Compact"/>
            </w:pPr>
            <w:r>
              <w:t xml:space="preserve">Технологические документы</w:t>
            </w:r>
          </w:p>
        </w:tc>
        <w:tc>
          <w:tcPr/>
          <w:p>
            <w:pPr>
              <w:pStyle w:val="Compact"/>
            </w:pPr>
            <w:r>
              <w:t xml:space="preserve">Требование существовало</w:t>
            </w:r>
          </w:p>
        </w:tc>
        <w:tc>
          <w:tcPr/>
          <w:p>
            <w:pPr>
              <w:pStyle w:val="Compact"/>
            </w:pPr>
            <w:r>
              <w:t xml:space="preserve">Изготовление — по технологическим документам, утверждённым руководителем; наименования блюд в меню должны соответствовать технологическим документам (п. 11)</w:t>
            </w:r>
          </w:p>
        </w:tc>
      </w:tr>
      <w:tr>
        <w:tc>
          <w:tcPr/>
          <w:p>
            <w:pPr>
              <w:pStyle w:val="Compact"/>
            </w:pPr>
            <w:r>
              <w:t xml:space="preserve">Время на раздаче</w:t>
            </w:r>
          </w:p>
        </w:tc>
        <w:tc>
          <w:tcPr/>
          <w:p>
            <w:pPr>
              <w:pStyle w:val="Compact"/>
            </w:pPr>
            <w:r>
              <w:t xml:space="preserve">—</w:t>
            </w:r>
          </w:p>
        </w:tc>
        <w:tc>
          <w:tcPr/>
          <w:p>
            <w:pPr>
              <w:pStyle w:val="Compact"/>
            </w:pPr>
            <w:r>
              <w:t xml:space="preserve">Не более 3 часов с момента изготовления для блюд, требующих разогревания; запрет реализации готовых блюд на следующий день и замораживания нереализованных блюд (п. 32)</w:t>
            </w:r>
          </w:p>
        </w:tc>
      </w:tr>
    </w:tbl>
    <w:p>
      <w:pPr>
        <w:pStyle w:val="BodyText"/>
      </w:pPr>
      <w:r>
        <w:t xml:space="preserve">Левый столбец заполнен по нумерации, приводимой в материалах семинара, и не сверялся с текстом СанПиН 3590-20 по каждой строке; правый — по тексту СанПиН 4282-26 [3]. Прочерк в левом столбце означает, что сопоставимое требование в материалах семинара не приводилось, а не то, что его не было.</w:t>
      </w:r>
    </w:p>
    <w:bookmarkEnd w:id="41"/>
    <w:bookmarkStart w:id="42" w:name="что-новый-санпин-говорит-о-выборе"/>
    <w:p>
      <w:pPr>
        <w:pStyle w:val="Heading3"/>
      </w:pPr>
      <w:r>
        <w:rPr>
          <w:rStyle w:val="SectionNumber"/>
        </w:rPr>
        <w:t xml:space="preserve">2.7.3</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Для вариативного меню существенны четыре положения нового СанПиН.</w:t>
      </w:r>
    </w:p>
    <w:p>
      <w:pPr>
        <w:pStyle w:val="Compact"/>
        <w:numPr>
          <w:ilvl w:val="0"/>
          <w:numId w:val="1005"/>
        </w:numPr>
      </w:pP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 нарушение независимо от того, хорош ли он.</w:t>
      </w:r>
    </w:p>
    <w:p>
      <w:pPr>
        <w:pStyle w:val="Compact"/>
        <w:numPr>
          <w:ilvl w:val="0"/>
          <w:numId w:val="1005"/>
        </w:numPr>
      </w:pPr>
      <w:r>
        <w:rPr>
          <w:b/>
          <w:bCs/>
        </w:rPr>
        <w:t xml:space="preserve">Три часа на раздаче</w:t>
      </w:r>
      <w:r>
        <w:t xml:space="preserve"> </w:t>
      </w:r>
      <w:r>
        <w:t xml:space="preserve">(п. 32). Ограничение касается блюд, требующих разогревания перед употреблением, и считается с момента изготовления. Для варианта, который готовится «с запасом» и ждёт спроса, это прямой предел. Остатки нельзя реализовать на следующий день и нельзя заморозить для последующей реализации.</w:t>
      </w:r>
    </w:p>
    <w:p>
      <w:pPr>
        <w:pStyle w:val="Compact"/>
        <w:numPr>
          <w:ilvl w:val="0"/>
          <w:numId w:val="1005"/>
        </w:numPr>
      </w:pP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Compact"/>
        <w:numPr>
          <w:ilvl w:val="0"/>
          <w:numId w:val="1005"/>
        </w:numPr>
      </w:pP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 для случая готовых блюд от стороннего предприятия.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которое проверяющий будет ожидать (толкование; вопрос стоит уточнить у территориального органа Роспотребнадзора).</w:t>
      </w:r>
    </w:p>
    <w:p>
      <w:pPr>
        <w:pStyle w:val="FirstParagraph"/>
      </w:pPr>
      <w:r>
        <w:t xml:space="preserve">Отдельно 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 нет, но их соблюдение контролирует не Роспотребнадзор, а орган социальной защиты (толкование). Вопрос «почему сегодня два вторых» поэтому не относится к предмету санитарного надзора; вопросы «где ТТК на второе Б», «где проба» и «сколько часов оно стоит на линии» — относятся.</w:t>
      </w:r>
    </w:p>
    <w:bookmarkEnd w:id="42"/>
    <w:bookmarkStart w:id="43" w:name="подп.-5-п.-56-кто-раздаёт-пищу"/>
    <w:p>
      <w:pPr>
        <w:pStyle w:val="Heading3"/>
      </w:pPr>
      <w:r>
        <w:rPr>
          <w:rStyle w:val="SectionNumber"/>
        </w:rPr>
        <w:t xml:space="preserve">2.7.4</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Для организаций социального обслуживания прямого аналога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разобрано в п. 7.5).</w:t>
      </w:r>
    </w:p>
    <w:bookmarkEnd w:id="43"/>
    <w:bookmarkEnd w:id="44"/>
    <w:bookmarkStart w:id="45"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Как именно, санитарные правила не говорят. Номенклатура стандартных диет и порядок лечебного питания установлены актами Минздрава России для медицинских организаций: приказ от 05.08.2003 № 330 (с изменениями, последнее — приказ от 19.02.2024 № 70н), приказ от 21.06.2013 № 395н «Об утверждении норм лечебного питания», приказ от 23.09.2020 № 1008н «Об утверждении порядка обеспечения пациентов лечебным питанием» [3, сноски 13 и 23; 43–45].</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назвала это «недостаточной связностью социального и медицинского регулирования» [1]; формулировка точна. Отсюда правило для вариативного меню (толкование): кухня не назначает и не отменяет диету, а выбор жителя с назначенной диетой осуществляется внутри диеты. Докладом не рассматривается, какие диеты и консистенции кому назначать; это зона врача.</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[46]. Для социального учреждения это ориентир организации медицинской части, а не норма кухни.</w:t>
      </w:r>
    </w:p>
    <w:bookmarkEnd w:id="45"/>
    <w:bookmarkStart w:id="46"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перечисленному добавляется Закон № 3185-1 [23]:</w:t>
      </w:r>
    </w:p>
    <w:p>
      <w:pPr>
        <w:pStyle w:val="Compact"/>
        <w:numPr>
          <w:ilvl w:val="0"/>
          <w:numId w:val="1006"/>
        </w:numPr>
      </w:pPr>
      <w:r>
        <w:t xml:space="preserve">ст. 5 ч. 2 —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(общая гарантия; материалы семинара выводят из неё недопустимость лишения еды как меры воздействия [20] —</w:t>
      </w:r>
      <w:r>
        <w:t xml:space="preserve"> </w:t>
      </w:r>
      <w:r>
        <w:rPr>
          <w:b/>
          <w:bCs/>
        </w:rPr>
        <w:t xml:space="preserve">толкование</w:t>
      </w:r>
      <w:r>
        <w:t xml:space="preserve">);</w:t>
      </w:r>
    </w:p>
    <w:p>
      <w:pPr>
        <w:pStyle w:val="Compact"/>
        <w:numPr>
          <w:ilvl w:val="0"/>
          <w:numId w:val="1006"/>
        </w:numPr>
      </w:pPr>
      <w:r>
        <w:t xml:space="preserve">ст. 37 ч. 2 в силу ст. 43 — право исполнять религиозные обряды и соблюдать религиозные каноны, в том числе пост, если это не нарушает внутренний распорядок —</w:t>
      </w:r>
      <w:r>
        <w:t xml:space="preserve"> </w:t>
      </w:r>
      <w:r>
        <w:rPr>
          <w:b/>
          <w:bCs/>
        </w:rPr>
        <w:t xml:space="preserve">норма</w:t>
      </w:r>
      <w:r>
        <w:t xml:space="preserve">;</w:t>
      </w:r>
    </w:p>
    <w:p>
      <w:pPr>
        <w:pStyle w:val="Compact"/>
        <w:numPr>
          <w:ilvl w:val="0"/>
          <w:numId w:val="1006"/>
        </w:numPr>
      </w:pPr>
      <w:r>
        <w:t xml:space="preserve">ст. 37 ч. 3 — временные ограничения прав, в том числе на получение посылок и на приобретение предметов первой необходимости, допускаются решением заведующего отделением или главного врача по рекомендации лечащего врача; порядок устанавливается Правительством РФ —</w:t>
      </w:r>
      <w:r>
        <w:t xml:space="preserve"> </w:t>
      </w:r>
      <w:r>
        <w:rPr>
          <w:b/>
          <w:bCs/>
        </w:rPr>
        <w:t xml:space="preserve">норма</w:t>
      </w:r>
      <w:r>
        <w:t xml:space="preserve"> </w:t>
      </w:r>
      <w:r>
        <w:t xml:space="preserve">(применимость ч. 3 к жителям ПНИ сомнительна, поскольку ст. 43 отсылает только к ч. 2 и 4 ст. 37; это</w:t>
      </w:r>
      <w:r>
        <w:t xml:space="preserve"> </w:t>
      </w:r>
      <w:r>
        <w:rPr>
          <w:b/>
          <w:bCs/>
        </w:rPr>
        <w:t xml:space="preserve">толкование</w:t>
      </w:r>
      <w:r>
        <w:t xml:space="preserve">).</w:t>
      </w:r>
    </w:p>
    <w:p>
      <w:pPr>
        <w:pStyle w:val="FirstParagraph"/>
      </w:pPr>
      <w:r>
        <w:t xml:space="preserve">Последний пункт важен для продуктовых передач. Перечни продуктов, «запрещённых к передаче» в ПНИ, которые публикуют учреждения [47], — локальные формы.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соблюдения поста следствие прямое: вариант постного блюда в пост — не «вариативность по желанию кухни», а условие реализации права, закреплённого законом. Если житель имеет медицинские назначения, соблюдение поста согласуется с врачом; отказ от поста — такое же право в любой день.</w:t>
      </w:r>
    </w:p>
    <w:bookmarkEnd w:id="46"/>
    <w:bookmarkStart w:id="47" w:name="закупки-44-фз-и-223-фз"/>
    <w:p>
      <w:pPr>
        <w:pStyle w:val="Heading2"/>
      </w:pPr>
      <w:r>
        <w:rPr>
          <w:rStyle w:val="SectionNumber"/>
        </w:rPr>
        <w:t xml:space="preserve">2.10</w:t>
      </w:r>
      <w:r>
        <w:tab/>
      </w:r>
      <w:r>
        <w:t xml:space="preserve">Закупки: 44-ФЗ и 223-ФЗ</w:t>
      </w:r>
    </w:p>
    <w:p>
      <w:pPr>
        <w:pStyle w:val="FirstParagraph"/>
      </w:pPr>
      <w:r>
        <w:t xml:space="preserve">Организация питания зависит от закупки сильнее, чем от рецептуры: в спецификации определяется, будет ли на складе второй продукт группы. Государственное бюджетное учреждение закупает по 44-ФЗ [48]. Автономное учреждение относится к заказчикам по 223-ФЗ (п. 1 ч. 2 ст. 1 223-ФЗ) и закупает по своему положению о закупке; при неразмещении положения применяется 44-ФЗ [49]. Положения 44-ФЗ распространяются на закупки автономного учреждения за счёт субсидий на капитальные вложения (ч. 4 ст. 15 44-ФЗ) [48]. Применимость 44-ФЗ к закупкам автономного учреждения за счёт субсидии на выполнение государственного задания — предмет многолетнего спора; Минфин России разъяснял порядок использования автономными учреждениями бюджетных средств в письме от 29.12.2014 № 02-02-08/68298 [50]. Этот спор получил в 2025–2026 гг. судебную иллюстрацию, которую в отраслевой печати пересказывают шире, чем она есть. 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[51]. Мотив суда —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223-ФЗ применим, «когда закупка осуществляется для нужд самих поименованных в данном законе юридических лиц, в том числе автономных учреждений» [51]. По сообщению отраслевого блога, определением Верховного Суда РФ от 28.01.2026 № 303-ЭС25-15393 в передаче жалобы по этому делу отказано, а сам блог подаёт его как «окончательную точку» в споре о закупках по госзаданию [51]; текст определения по первоисточнику не проверен.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44-ФЗ обязателен, когда учреждению поручена реализация полномочий органа власти в интересах неограниченного круга лиц [52].</w:t>
      </w:r>
    </w:p>
    <w:p>
      <w:pPr>
        <w:pStyle w:val="BodyText"/>
      </w:pPr>
      <w:r>
        <w:t xml:space="preserve">Для стационарной организации социального обслуживания это различие решающее (толкование). Продукты для питания проживающих закупаются для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Вывод носит характер толкования, не заменяет правовой экспертизы учредителя и не опирается на текст определения Верховного Суда, который не проверен.</w:t>
      </w:r>
    </w:p>
    <w:p>
      <w:pPr>
        <w:pStyle w:val="BodyText"/>
      </w:pPr>
      <w:r>
        <w:t xml:space="preserve">В Санкт-Петербурге оба контура представлены в одной отрасли: ДСО «Серафимовский» (автономное учреждение) закупает по 223-ФЗ, ДСО «Тесовый берег» (бюджетное учреждение) — по 44-ФЗ; пример последнего — извещение № 0372200070825000244 от 24.11.2025 об открытом конкурсе на поставку продуктов питания [53]. Сравнение закупочных решений для вариативного меню — в п. 7.7.</w:t>
      </w:r>
    </w:p>
    <w:bookmarkEnd w:id="47"/>
    <w:bookmarkStart w:id="48"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[54]. Первая редакция обзора называет ст. 6.3 [1], доклад «Не просто накормить» — ст. 6.6 [19]. Это не противоречие, а соотношение общей и специальной нормы: для нарушений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[55]. Верховный Суд РФ в постановлении от 21.02.2019 № 11-АД19-4 переквалифицировал нарушение с ст. 6.6 на ст. 6.7 КоАП применительно к организации, где специальной была норма об условиях воспитания и обучения [56]; это напоминание о том, что выбор состава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[57]; УФАС по Челябинской области в 2025 г. — о картеле на 27 тендерах школьного питания со штрафом 5,1 млн руб. [58]. Для вариативного меню вывод узкий: избыточно детализированная спецификация, написанная «под второе блюдо», сама может ограничить конкуренцию; спецификация строится по группам продуктов, а не по поставщику (толкование).</w:t>
      </w:r>
    </w:p>
    <w:bookmarkEnd w:id="48"/>
    <w:bookmarkStart w:id="49" w:name="итог-по-федеральному-уровню"/>
    <w:p>
      <w:pPr>
        <w:pStyle w:val="Heading2"/>
      </w:pPr>
      <w:r>
        <w:rPr>
          <w:rStyle w:val="SectionNumber"/>
        </w:rPr>
        <w:t xml:space="preserve">2.12</w:t>
      </w:r>
      <w:r>
        <w:tab/>
      </w:r>
      <w:r>
        <w:t xml:space="preserve">Итог по федеральному уровню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[21]</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[29]; рекомендации 2002 г. [28]</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[28]</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[23]</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[21]; п. 35 приказа № 935н [22]</w:t>
            </w:r>
          </w:p>
        </w:tc>
      </w:tr>
    </w:tbl>
    <w:bookmarkEnd w:id="49"/>
    <w:bookmarkEnd w:id="50"/>
    <w:bookmarkStart w:id="71" w:name="региональные-нормы-питания"/>
    <w:p>
      <w:pPr>
        <w:pStyle w:val="Heading1"/>
      </w:pPr>
      <w:r>
        <w:rPr>
          <w:rStyle w:val="SectionNumber"/>
        </w:rPr>
        <w:t xml:space="preserve">3</w:t>
      </w:r>
      <w:r>
        <w:tab/>
      </w:r>
      <w:r>
        <w:t xml:space="preserve">Региональные нормы питания</w:t>
      </w:r>
    </w:p>
    <w:bookmarkStart w:id="51"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После 1 января 2015 г. каждый субъект Российской Федерации утвердил собственные акты в сфере социального обслуживания. Первая редакция обзора описала их типовую структуру как четырёхуровневую: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Нормы питания — центральный для темы уровень: именно они определяют, из чего кухня может приготовить два варианта.</w:t>
      </w:r>
    </w:p>
    <w:p>
      <w:pPr>
        <w:pStyle w:val="BodyText"/>
      </w:pPr>
      <w:r>
        <w:t xml:space="preserve">Ни один из проанализированных региональных актов не закрепляет права проживающего на выбор блюда и не устанавливает число вариантов [1]. Во второй редакции вывод первой подтверждён по текстам актов Санкт-Петербурга, Новосибирской области, Красноярского края, Ленинградской области и ХМАО — Югры, а для Москвы — по открытой части приказа № 228 [30, 39–41, 59, 60]; для остальных субъектов он принят по первой редакции. Отсюда следует, что вариативное меню в России — повсеместно организационная инициатива учреждения, допускаемая нормами, но не предписанная ими (толкование).</w:t>
      </w:r>
    </w:p>
    <w:p>
      <w:pPr>
        <w:pStyle w:val="BodyText"/>
      </w:pPr>
      <w:r>
        <w:t xml:space="preserve">Первая редакция обзора предложила классификацию норм по степени дифференциации: «многовариантная» (наборы различаются по типу учреждения и по состоянию здоровья, пример — Санкт-Петербург), «типовая» (только по типу учреждения, пример — Псковская область) и «укрупнённая» (единый набор с оговорками о замене по медицинским показаниям) [1]. Классификация полезна, но вывод, который из неё делался, — «чем богаче нормативный ассортимент, тем шире легальное пространство выбора» — нуждается в уточнении. Дифференциация по диагнозам расширяет пространство персонализации, а не выбора: житель с диабетом получает другой набор, но не получает права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1"/>
    <w:bookmarkStart w:id="57"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2"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и от 27.06.2022 № 561 [30, 61]. Постановлением № 929 приложение изложено в новой редакции с 01.01.2020 [61]; постановлением № 561 изменены, в частности, нормы по крупам и мясу (отметки «в ред. Постановления… от 27.06.2022 N 561» у соответствующих строк) [30].</w:t>
      </w:r>
    </w:p>
    <w:p>
      <w:pPr>
        <w:pStyle w:val="BodyText"/>
      </w:pPr>
      <w:r>
        <w:t xml:space="preserve">Приложение состоит из нескольких самостоятельных норм [30]:</w:t>
      </w:r>
    </w:p>
    <w:p>
      <w:pPr>
        <w:pStyle w:val="Compact"/>
        <w:numPr>
          <w:ilvl w:val="0"/>
          <w:numId w:val="1007"/>
        </w:numPr>
      </w:pPr>
      <w:r>
        <w:t xml:space="preserve">нормы питания граждан пожилого возраста и инвалидов в стационарной форме — в четырёх столбцах: учреждения, кроме ПНИ; ПНИ; лица с сахарным диабетом; лица с заболеваниями желудочно-кишечного тракта;</w:t>
      </w:r>
    </w:p>
    <w:p>
      <w:pPr>
        <w:pStyle w:val="Compact"/>
        <w:numPr>
          <w:ilvl w:val="0"/>
          <w:numId w:val="1007"/>
        </w:numPr>
      </w:pPr>
      <w:r>
        <w:t xml:space="preserve">нормы питания граждан пожилого возраста и инвалидов в ПНИ</w:t>
      </w:r>
      <w:r>
        <w:t xml:space="preserve"> </w:t>
      </w:r>
      <w:r>
        <w:rPr>
          <w:b/>
          <w:bCs/>
        </w:rPr>
        <w:t xml:space="preserve">без смеси белковой композитной сухой</w:t>
      </w:r>
      <w:r>
        <w:t xml:space="preserve"> </w:t>
      </w:r>
      <w:r>
        <w:t xml:space="preserve">— отдельная таблица;</w:t>
      </w:r>
    </w:p>
    <w:p>
      <w:pPr>
        <w:pStyle w:val="Compact"/>
        <w:numPr>
          <w:ilvl w:val="0"/>
          <w:numId w:val="1007"/>
        </w:numPr>
      </w:pPr>
      <w:r>
        <w:t xml:space="preserve">нормы питания беременных женщин и кормящих матерей;</w:t>
      </w:r>
    </w:p>
    <w:p>
      <w:pPr>
        <w:pStyle w:val="Compact"/>
        <w:numPr>
          <w:ilvl w:val="0"/>
          <w:numId w:val="1007"/>
        </w:numPr>
      </w:pPr>
      <w:r>
        <w:t xml:space="preserve">нормы питания детей первого года жизни, проживающих с матерями;</w:t>
      </w:r>
    </w:p>
    <w:p>
      <w:pPr>
        <w:pStyle w:val="Compact"/>
        <w:numPr>
          <w:ilvl w:val="0"/>
          <w:numId w:val="1007"/>
        </w:numPr>
      </w:pPr>
      <w:r>
        <w:t xml:space="preserve">нормы питания детей от 1 года до 18 лет;</w:t>
      </w:r>
    </w:p>
    <w:p>
      <w:pPr>
        <w:pStyle w:val="Compact"/>
        <w:numPr>
          <w:ilvl w:val="0"/>
          <w:numId w:val="1007"/>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FirstParagraph"/>
      </w:pPr>
      <w:r>
        <w:t xml:space="preserve">Для полустационарной формы установлена структура рациона в процентах от стационарной нормы: завтрак — 30 %, обед — 40 %, полдник — 10 %, ужин — 20 % [30].</w:t>
      </w:r>
    </w:p>
    <w:bookmarkEnd w:id="52"/>
    <w:bookmarkStart w:id="53" w:name="две-нормы-для-пни"/>
    <w:p>
      <w:pPr>
        <w:pStyle w:val="Heading3"/>
      </w:pPr>
      <w:r>
        <w:rPr>
          <w:rStyle w:val="SectionNumber"/>
        </w:rPr>
        <w:t xml:space="preserve">3.2.2</w:t>
      </w:r>
      <w:r>
        <w:tab/>
      </w:r>
      <w:r>
        <w:t xml:space="preserve">Две нормы для ПНИ</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Это верно, но неполно: в постановлении есть вторая, самостоятельная норма для ПНИ — без СБКС (таблица 2). Сравнение двух ПНИ-норм показывает, чем региональный нормотворец «заменил» 27 г белковой смеси [30]: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Продукт (нетто, г/сут)</w:t>
            </w:r>
          </w:p>
        </w:tc>
        <w:tc>
          <w:tcPr/>
          <w:p>
            <w:pPr>
              <w:pStyle w:val="Compact"/>
            </w:pPr>
            <w:r>
              <w:t xml:space="preserve">ПНИ, табл. 1 (с СБКС 27 г)</w:t>
            </w:r>
          </w:p>
        </w:tc>
        <w:tc>
          <w:tcPr/>
          <w:p>
            <w:pPr>
              <w:pStyle w:val="Compact"/>
            </w:pPr>
            <w:r>
              <w:t xml:space="preserve">ПНИ, табл. 2 (без СБКС)</w:t>
            </w:r>
          </w:p>
        </w:tc>
        <w:tc>
          <w:tcPr/>
          <w:p>
            <w:pPr>
              <w:pStyle w:val="Compact"/>
            </w:pPr>
            <w:r>
              <w:t xml:space="preserve">Разница</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r>
      <w:tr>
        <w:tc>
          <w:tcPr/>
          <w:p>
            <w:pPr>
              <w:pStyle w:val="Compact"/>
            </w:pPr>
            <w:r>
              <w:t xml:space="preserve">Мясо (говядина, свинина)</w:t>
            </w:r>
          </w:p>
        </w:tc>
        <w:tc>
          <w:tcPr/>
          <w:p>
            <w:pPr>
              <w:pStyle w:val="Compact"/>
            </w:pPr>
            <w:r>
              <w:t xml:space="preserve">70,5</w:t>
            </w:r>
          </w:p>
        </w:tc>
        <w:tc>
          <w:tcPr/>
          <w:p>
            <w:pPr>
              <w:pStyle w:val="Compact"/>
            </w:pPr>
            <w:r>
              <w:t xml:space="preserve">85,2</w:t>
            </w:r>
          </w:p>
        </w:tc>
        <w:tc>
          <w:tcPr/>
          <w:p>
            <w:pPr>
              <w:pStyle w:val="Compact"/>
            </w:pPr>
            <w:r>
              <w:t xml:space="preserve">+14,7</w:t>
            </w:r>
          </w:p>
        </w:tc>
      </w:tr>
      <w:tr>
        <w:tc>
          <w:tcPr/>
          <w:p>
            <w:pPr>
              <w:pStyle w:val="Compact"/>
            </w:pPr>
            <w:r>
              <w:t xml:space="preserve">Птица потрошёная</w:t>
            </w:r>
          </w:p>
        </w:tc>
        <w:tc>
          <w:tcPr/>
          <w:p>
            <w:pPr>
              <w:pStyle w:val="Compact"/>
            </w:pPr>
            <w:r>
              <w:t xml:space="preserve">36,5</w:t>
            </w:r>
          </w:p>
        </w:tc>
        <w:tc>
          <w:tcPr/>
          <w:p>
            <w:pPr>
              <w:pStyle w:val="Compact"/>
            </w:pPr>
            <w:r>
              <w:t xml:space="preserve">35</w:t>
            </w:r>
          </w:p>
        </w:tc>
        <w:tc>
          <w:tcPr/>
          <w:p>
            <w:pPr>
              <w:pStyle w:val="Compact"/>
            </w:pPr>
            <w:r>
              <w:t xml:space="preserve">−1,5</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r>
    </w:tbl>
    <w:p>
      <w:pPr>
        <w:pStyle w:val="BodyText"/>
      </w:pPr>
      <w:r>
        <w:t xml:space="preserve">Постановление не указывает, в каких случаях применяется каждая из двух норм (проверено по тексту [30]). Наиболее естественное прочтение (толкование): учреждение вправе обеспечивать жителей ПНИ либо по норме с СБКС, либо по норме без неё, компенсируя белковую смесь хлебом, крупами и мясом. Для вариативного меню это прецедент, который стоит видеть: региональный акт сам содержит пару эквивалентных наборов. Выбор между ними делает учреждение, а не житель, но логика «два пути к одной пищевой ценности» заложена в норму.</w:t>
      </w:r>
    </w:p>
    <w:bookmarkEnd w:id="53"/>
    <w:bookmarkStart w:id="54" w:name="X744872d13e97ab876f532ded5c34d5c603028b3"/>
    <w:p>
      <w:pPr>
        <w:pStyle w:val="Heading3"/>
      </w:pPr>
      <w:r>
        <w:rPr>
          <w:rStyle w:val="SectionNumber"/>
        </w:rPr>
        <w:t xml:space="preserve">3.2.3</w:t>
      </w:r>
      <w:r>
        <w:tab/>
      </w:r>
      <w:r>
        <w:t xml:space="preserve">Петербургская норма и федеральная рекомендация</w:t>
      </w:r>
    </w:p>
    <w:p>
      <w:pPr>
        <w:pStyle w:val="FirstParagraph"/>
      </w:pPr>
      <w:r>
        <w:t xml:space="preserve">Сопоставление общей нормы Санкт-Петербурга (столбец «учреждения, кроме ПНИ») с рекомендуемыми нормами приказа № 520н показывает, что петербургская норма не является производной от федеральной: она старше (принята в 2014 г., последняя редакция — от 27.06.2022; приказ № 520н издан 13.09.2022) и устроена иначе [29, 30].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Продукт (нетто, г/сут на человека)</w:t>
            </w:r>
          </w:p>
        </w:tc>
        <w:tc>
          <w:tcPr/>
          <w:p>
            <w:pPr>
              <w:pStyle w:val="Compact"/>
            </w:pPr>
            <w:r>
              <w:t xml:space="preserve">Приказ № 520н, 18+ [29]</w:t>
            </w:r>
          </w:p>
        </w:tc>
        <w:tc>
          <w:tcPr/>
          <w:p>
            <w:pPr>
              <w:pStyle w:val="Compact"/>
            </w:pPr>
            <w:r>
              <w:t xml:space="preserve">СПб № 1284, кроме ПНИ [30]</w:t>
            </w:r>
          </w:p>
        </w:tc>
        <w:tc>
          <w:tcPr/>
          <w:p>
            <w:pPr>
              <w:pStyle w:val="Compact"/>
            </w:pPr>
            <w:r>
              <w:t xml:space="preserve">СПб № 1284, ПНИ (табл. 1) [30]</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(все группы, включая зелень, солёные и консервированные)</w:t>
            </w:r>
          </w:p>
        </w:tc>
        <w:tc>
          <w:tcPr/>
          <w:p>
            <w:pPr>
              <w:pStyle w:val="Compact"/>
            </w:pPr>
            <w:r>
              <w:t xml:space="preserve">394,5¹</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 рыбопродукты</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 (3,5 шт./нед)</w:t>
            </w:r>
          </w:p>
        </w:tc>
        <w:tc>
          <w:tcPr/>
          <w:p>
            <w:pPr>
              <w:pStyle w:val="Compact"/>
            </w:pPr>
            <w:r>
              <w:t xml:space="preserve">4 шт./нед</w:t>
            </w:r>
          </w:p>
        </w:tc>
        <w:tc>
          <w:tcPr/>
          <w:p>
            <w:pPr>
              <w:pStyle w:val="Compact"/>
            </w:pPr>
            <w:r>
              <w:t xml:space="preserve">4 шт./нед</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57 + 15 = 72</w:t>
            </w:r>
          </w:p>
        </w:tc>
        <w:tc>
          <w:tcPr/>
          <w:p>
            <w:pPr>
              <w:pStyle w:val="Compact"/>
            </w:pPr>
            <w:r>
              <w:t xml:space="preserve">57 + 15 = 72</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медицинским показаниям</w:t>
            </w:r>
          </w:p>
        </w:tc>
        <w:tc>
          <w:tcPr/>
          <w:p>
            <w:pPr>
              <w:pStyle w:val="Compact"/>
            </w:pPr>
            <w:r>
              <w:t xml:space="preserve">27 — в общей норме</w:t>
            </w:r>
          </w:p>
        </w:tc>
        <w:tc>
          <w:tcPr/>
          <w:p>
            <w:pPr>
              <w:pStyle w:val="Compact"/>
            </w:pPr>
            <w:r>
              <w:t xml:space="preserve">27 — в общей норме</w:t>
            </w:r>
          </w:p>
        </w:tc>
      </w:tr>
      <w:tr>
        <w:tc>
          <w:tcPr/>
          <w:p>
            <w:pPr>
              <w:pStyle w:val="Compact"/>
            </w:pPr>
            <w:r>
              <w:t xml:space="preserve">Витаминно-минеральные комплексы</w:t>
            </w:r>
          </w:p>
        </w:tc>
        <w:tc>
          <w:tcPr/>
          <w:p>
            <w:pPr>
              <w:pStyle w:val="Compact"/>
            </w:pPr>
            <w:r>
              <w:t xml:space="preserve">50–100 % физиол. нормы — по медицинским показаниям</w:t>
            </w:r>
          </w:p>
        </w:tc>
        <w:tc>
          <w:tcPr/>
          <w:p>
            <w:pPr>
              <w:pStyle w:val="Compact"/>
            </w:pPr>
            <w:r>
              <w:t xml:space="preserve">1 драже 3 раза в неделю</w:t>
            </w:r>
          </w:p>
        </w:tc>
        <w:tc>
          <w:tcPr/>
          <w:p>
            <w:pPr>
              <w:pStyle w:val="Compact"/>
            </w:pPr>
            <w:r>
              <w:t xml:space="preserve">1 драже 3 раза в неделю</w:t>
            </w:r>
          </w:p>
        </w:tc>
      </w:tr>
    </w:tbl>
    <w:p>
      <w:pPr>
        <w:pStyle w:val="BodyText"/>
      </w:pPr>
      <w:r>
        <w:t xml:space="preserve">¹ Сумма строк приказа № 520н: овощи свежие 340 + солёные и маринованные 15 + зелень 14,8 + консервированные 24,7 (иллюстративная арифметика автора; в приказе группы приведены раздельно).</w:t>
      </w:r>
    </w:p>
    <w:p>
      <w:pPr>
        <w:pStyle w:val="BodyText"/>
      </w:pPr>
      <w:r>
        <w:t xml:space="preserve">Из сопоставления следуют три наблюдения.</w:t>
      </w:r>
    </w:p>
    <w:p>
      <w:pPr>
        <w:pStyle w:val="BodyText"/>
      </w:pPr>
      <w:r>
        <w:t xml:space="preserve">Первое. По ряду позиций петербургская норма щедрее федеральной рекомендации: птица (40 против 22,2 г), творог (40 против 20 г), кисломолочные продукты (200 против 121), рыба (41,8 против 32,5), фрукты (200 против 150). По другим — скромнее: картофель (168 против 200), овощи (318 против 394,5), соки (60 против 100). Выбор блюд, построенный на петербургской норме, имеет запас именно в белковых позициях, что облегчает пары «мясо — птица — рыба» (толкование) [29, 30].</w:t>
      </w:r>
    </w:p>
    <w:p>
      <w:pPr>
        <w:pStyle w:val="BodyText"/>
      </w:pPr>
      <w:r>
        <w:t xml:space="preserve">Второе. Специализированные продукты (СБКС и витаминно-минеральные комплексы) в Санкт-Петербурге входят в общую норму каждого проживающего, а в федеральной рекомендации — только по медицинским показаниям [29, 30]. Это решение регионального нормотворца, а не противоречие: регион вправе установить более широкий набор. Однако оно порождает практический вопрос, который должен решаться врачом, а не кухней: включать ли смесь в блюда всем или выдавать по назначению.</w:t>
      </w:r>
    </w:p>
    <w:p>
      <w:pPr>
        <w:pStyle w:val="BodyText"/>
      </w:pPr>
      <w:r>
        <w:t xml:space="preserve">Третье. Пункты, сформулированные группами («крупы, бобовые» 80 г; «овощи свежие, овощи солёные и маринованные, овощи консервированные, зелень» 318 г; «говядина, свинина» 90 г), оставляют внутри группы свободу выбора конкретного продукта. Две каши из одной группы, два салата из одной группы овощей, котлета из говядины и тефтели из свинины — варианты, не требующие пересчёта нормы. Пары между группами (мясо — рыба, картофель — крупа) требуют таблицы замен, которой в постановлении № 1284 нет (п. 2.6) [30].</w:t>
      </w:r>
    </w:p>
    <w:bookmarkEnd w:id="54"/>
    <w:bookmarkStart w:id="55" w:name="порядок-и-тарифы"/>
    <w:p>
      <w:pPr>
        <w:pStyle w:val="Heading3"/>
      </w:pPr>
      <w:r>
        <w:rPr>
          <w:rStyle w:val="SectionNumber"/>
        </w:rPr>
        <w:t xml:space="preserve">3.2.4</w:t>
      </w:r>
      <w:r>
        <w:tab/>
      </w:r>
      <w:r>
        <w:t xml:space="preserve">Порядок и тарифы</w:t>
      </w:r>
    </w:p>
    <w:p>
      <w:pPr>
        <w:pStyle w:val="FirstParagraph"/>
      </w:pPr>
      <w:r>
        <w:t xml:space="preserve">Нормы питания петербургских учреждений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[62]. Тарифы на социальные услуги ежегодно утверждает Комитет по социальной политике: на 2025 г. — распоряжением от 13.12.2024 № 1366-р, на 2026 г. — распоряжением от 15.12.2025 № 1155-р [63, 64].</w:t>
      </w:r>
    </w:p>
    <w:p>
      <w:pPr>
        <w:pStyle w:val="BodyText"/>
      </w:pPr>
      <w:r>
        <w:t xml:space="preserve">Тарифы на услугу «обеспечение питанием согласно утверждённым нормативам» в стационарной форме для совершеннолетних устроены зеркально нормам постановления № 1284 — по тем же категориям [63, 64].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[64]. Распоряжение опубликовано в виде графического образа; значения ниже прочитаны распознаванием текста и сверены визуально по изображению страницы.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[63]</w:t>
            </w:r>
          </w:p>
        </w:tc>
        <w:tc>
          <w:tcPr/>
          <w:p>
            <w:pPr>
              <w:pStyle w:val="Compact"/>
            </w:pPr>
            <w:r>
              <w:t xml:space="preserve">2026 г., руб. в день [64]</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существенны четыре особенности таблицы.</w:t>
      </w:r>
    </w:p>
    <w:p>
      <w:pPr>
        <w:pStyle w:val="BodyText"/>
      </w:pPr>
      <w:r>
        <w:t xml:space="preserve">Первая. Тариф рассчитан на норму, а не на меню; он не содержит составляющей на организацию выбора ни в 2025, ни в 2026 г. [63, 64].</w:t>
      </w:r>
    </w:p>
    <w:p>
      <w:pPr>
        <w:pStyle w:val="BodyText"/>
      </w:pPr>
      <w:r>
        <w:t xml:space="preserve">Вторая. Цена решения «27 г белковой смеси или компенсация хлебом, крупами и мясом» за год изменилась почти вдвое: разница между двумя ПНИ-тарифами составляла 90,77 руб. в день в 2025 г. и 43,21 руб. в 2026 г.; для учреждений, кроме ПНИ, в 2026 г. появилась собственная пара тарифов с разницей 41,59 руб. (иллюстративная арифметика: 571,63 − 480,86; 574,43 − 531,22; 581,33 − 539,74) [63, 64]. Сами нормы постановления № 1284 за этот период не менялись (последняя редакция — 27.06.2022 [30]). Изменение отражает, следовательно, расчёт стоимости набора (цены продуктов, методику подушевого норматива), а не содержание нормы; документы, по которым это можно проверить, не опубликованы.</w:t>
      </w:r>
    </w:p>
    <w:p>
      <w:pPr>
        <w:pStyle w:val="BodyText"/>
      </w:pPr>
      <w:r>
        <w:t xml:space="preserve">Третья. В 2025 г. тариф для ПНИ был выше общего (571,63 против 560,87), в 2026 г. соотношение обратное (574,43 против 581,33) [63, 64]. При том что ПНИ-норма по ряду позиций больше общей (хлеб пшеничный 200 против 100 г, картофель 268 против 168 г, творог 50 против 40 г [30]), а по другим меньше (мясо 70,5 против 90 г, фрукты 100 против 200 г), смена знака разницы при неизменных нормах объяснима только изменением цен отдельных групп продуктов. Это наблюдение, а не вывод о методике; методика расчёта подушевых нормативов в доступных источниках не раскрыта.</w:t>
      </w:r>
    </w:p>
    <w:p>
      <w:pPr>
        <w:pStyle w:val="BodyText"/>
      </w:pPr>
      <w:r>
        <w:t xml:space="preserve">Четвёртая. Рост тарифа ПНИ на 0,5 % за год — ориентир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только как перераспределение внутри нормы (сценарии 1, 2 и 11 гл. 7) (толкование).</w:t>
      </w:r>
    </w:p>
    <w:bookmarkEnd w:id="55"/>
    <w:bookmarkStart w:id="56"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называла практику петербургских учреждений «цикличными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65]. Проект, о котором идёт речь в этом докладе, относится к образовательным организациям, то есть к школьному питанию, и к организациям социального обслуживания взрослых отношения не имеет. Сведения о вариативном меню в ДСО «Серафимовский», опубликованные Комитетом по социальной политике Санкт-Петербурга 22.07.2025 [18], в первой редакции не использованы.</w:t>
      </w:r>
    </w:p>
    <w:bookmarkEnd w:id="56"/>
    <w:bookmarkEnd w:id="57"/>
    <w:bookmarkStart w:id="58"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[59].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[59].</w:t>
      </w:r>
    </w:p>
    <w:p>
      <w:pPr>
        <w:pStyle w:val="BodyText"/>
      </w:pPr>
      <w:r>
        <w:t xml:space="preserve">Для темы доклада важнее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[59]. Это единственная найденная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дважды: подтверждает, что цикличное меню — исходная модель регионального нормотворца, и даёт легальную опору для недельного контроля, без которого выбор между блюдами разной калорийности невозможно учесть (толкование). Формулировка касается калорийности по приёмам пищи, а не групп продуктов, поэтому вопрос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[66]. Был ли приказ № 1068 отменён или заменён приказом № 228, по доступным источникам установить не удалось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Эта характеристика в обзоре не подкреплена источником; во второй редакции она не воспроизводится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этой редакции результата не дал.</w:t>
      </w:r>
    </w:p>
    <w:bookmarkEnd w:id="58"/>
    <w:bookmarkStart w:id="59" w:name="свердловская-область"/>
    <w:p>
      <w:pPr>
        <w:pStyle w:val="Heading2"/>
      </w:pPr>
      <w:r>
        <w:rPr>
          <w:rStyle w:val="SectionNumber"/>
        </w:rPr>
        <w:t xml:space="preserve">3.4</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[38].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это изложение точно, свердловский акт — единственный из проанализированных, где применение детской таблицы замен к взрослым возведено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59"/>
    <w:bookmarkStart w:id="60" w:name="нижегородская-область"/>
    <w:p>
      <w:pPr>
        <w:pStyle w:val="Heading2"/>
      </w:pPr>
      <w:r>
        <w:rPr>
          <w:rStyle w:val="SectionNumber"/>
        </w:rPr>
        <w:t xml:space="preserve">3.5</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[67]. По описанию первой редакции, наборы дифференцированы по видам учреждений; диетическое питание —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не воспроизводится как факт.</w:t>
      </w:r>
    </w:p>
    <w:p>
      <w:pPr>
        <w:pStyle w:val="BodyText"/>
      </w:pPr>
      <w:r>
        <w:t xml:space="preserve">Публичных описаний вариативного меню в нижегородских учреждениях найти не удалось. Найден другой, не менее полезный для доклада документ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[42]. Это подробное описание того, как устроено единое меню в типичном доме-интернате, то есть исходной точки, от которой отсчитывается любой выбор:</w:t>
      </w:r>
    </w:p>
    <w:p>
      <w:pPr>
        <w:pStyle w:val="Compact"/>
        <w:numPr>
          <w:ilvl w:val="0"/>
          <w:numId w:val="1008"/>
        </w:numPr>
      </w:pPr>
      <w:r>
        <w:t xml:space="preserve">сводное 14-дневное меню и картотека блюд утверждаются директором на основе среднесуточного набора продуктов; замена продуктов при их отсутствии — по таблицам взаимозаменяемости и замены по белкам и углеводам, утверждённым самим положением [42];</w:t>
      </w:r>
    </w:p>
    <w:p>
      <w:pPr>
        <w:pStyle w:val="Compact"/>
        <w:numPr>
          <w:ilvl w:val="0"/>
          <w:numId w:val="1008"/>
        </w:numPr>
      </w:pPr>
      <w:r>
        <w:t xml:space="preserve">ответственный за организацию питания — медицинская диетическая сестра; суточный расход продуктов ведётся «строго в соответствии со среднесуточными наборами» [42];</w:t>
      </w:r>
    </w:p>
    <w:p>
      <w:pPr>
        <w:pStyle w:val="Compact"/>
        <w:numPr>
          <w:ilvl w:val="0"/>
          <w:numId w:val="1008"/>
        </w:numPr>
      </w:pPr>
      <w:r>
        <w:t xml:space="preserve">документальная цепочка: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[42];</w:t>
      </w:r>
    </w:p>
    <w:p>
      <w:pPr>
        <w:pStyle w:val="Compact"/>
        <w:numPr>
          <w:ilvl w:val="0"/>
          <w:numId w:val="1008"/>
        </w:numPr>
      </w:pPr>
      <w:r>
        <w:t xml:space="preserve">режим: четырёхразовое питание и второй ужин, по две смены на каждый приём пищи (завтрак 8:30 и 9:00, обед 12:30 и 13:00, полдник 15:00 и 15:30, ужин 18:00 и 18:30, второй ужин 20:00) [42];</w:t>
      </w:r>
    </w:p>
    <w:p>
      <w:pPr>
        <w:pStyle w:val="Compact"/>
        <w:numPr>
          <w:ilvl w:val="0"/>
          <w:numId w:val="1008"/>
        </w:numPr>
      </w:pPr>
      <w:r>
        <w:t xml:space="preserve">контроль: проверка готовой пищи директором раз в месяц и ежедневно старшей и диетической сёстрами; порционные блюда взвешиваются по 10 порций, допустимое отклонение средней массы — не более 3 %; суточная проба — «от каждой партии приготовленных блюд», отдельно каждое блюдо, 48 часов при +2…+6 °C; раздача — не позднее двух часов после приготовления [42].</w:t>
      </w:r>
    </w:p>
    <w:p>
      <w:pPr>
        <w:pStyle w:val="FirstParagraph"/>
      </w:pPr>
      <w:r>
        <w:t xml:space="preserve">Для вариативного меню из этого документа следует практический вывод (толкование): в учреждении с такой документальной цепочкой выбор меняет не одну бумагу, а все звенья сразу. Порционник должен считать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 самостоятельная партия). Сценарий 13 гл. 7 разбирает эту цепочку как пакет документов.</w:t>
      </w:r>
    </w:p>
    <w:bookmarkEnd w:id="60"/>
    <w:bookmarkStart w:id="61" w:name="омская-область"/>
    <w:p>
      <w:pPr>
        <w:pStyle w:val="Heading2"/>
      </w:pPr>
      <w:r>
        <w:rPr>
          <w:rStyle w:val="SectionNumber"/>
        </w:rPr>
        <w:t xml:space="preserve">3.6</w:t>
      </w:r>
      <w:r>
        <w:tab/>
      </w:r>
      <w:r>
        <w:t xml:space="preserve">Омская область</w:t>
      </w:r>
    </w:p>
    <w:p>
      <w:pPr>
        <w:pStyle w:val="FirstParagraph"/>
      </w:pPr>
      <w:r>
        <w:t xml:space="preserve">Нормы утверждены приказом от 11.11.2014 № 171-п [68].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[47]. Публикация меню и правил — инструмент, который вариативному меню нужен в любом регионе: житель и семья должны знать, из чего выбирают.</w:t>
      </w:r>
    </w:p>
    <w:bookmarkEnd w:id="61"/>
    <w:bookmarkStart w:id="62" w:name="псковская-область"/>
    <w:p>
      <w:pPr>
        <w:pStyle w:val="Heading2"/>
      </w:pPr>
      <w:r>
        <w:rPr>
          <w:rStyle w:val="SectionNumber"/>
        </w:rPr>
        <w:t xml:space="preserve">3.7</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[69].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иллюстрирует общую закономерность: диетологическую логику региональные нормы заимствуют из здравоохранения.</w:t>
      </w:r>
    </w:p>
    <w:bookmarkEnd w:id="62"/>
    <w:bookmarkStart w:id="63" w:name="новосибирская-область"/>
    <w:p>
      <w:pPr>
        <w:pStyle w:val="Heading2"/>
      </w:pPr>
      <w:r>
        <w:rPr>
          <w:rStyle w:val="SectionNumber"/>
        </w:rPr>
        <w:t xml:space="preserve">3.8</w:t>
      </w:r>
      <w:r>
        <w:tab/>
      </w:r>
      <w:r>
        <w:t xml:space="preserve">Новосибирская область</w:t>
      </w:r>
    </w:p>
    <w:p>
      <w:pPr>
        <w:pStyle w:val="FirstParagraph"/>
      </w:pPr>
      <w:r>
        <w:t xml:space="preserve">Новосибирская область — регион, откуда происходит большая часть публичных сообщений о вариативном питании (п. 4.2–4.4), поэтому её норма заслуживает отдельного внимания.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[41].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[41].</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[41]. СБКС (27 г) включена в нормы этих типов учреждений со сноской «по медицинским показаниям»; витаминно-минеральные комплексы — 50–100 % физиологической нормы [41]. Тем самым новосибирская норма воспроизводит федеральную конструкцию № 520н (смесь — по показаниям), а не петербургскую (смесь — в общей норме).</w:t>
      </w:r>
    </w:p>
    <w:p>
      <w:pPr>
        <w:pStyle w:val="BodyText"/>
      </w:pPr>
      <w:r>
        <w:t xml:space="preserve">Существенно, что в регионе с наиболее развитой практикой выбора норма не содержит ни слова о выборе, о вариантах блюд или о замене продуктов (проверено по тексту [41]). Новосибирские учреждения строили вариативное питание на той же нормативной основе, что и все остальные (толкование).</w:t>
      </w:r>
    </w:p>
    <w:bookmarkEnd w:id="63"/>
    <w:bookmarkStart w:id="64" w:name="красноярский-край"/>
    <w:p>
      <w:pPr>
        <w:pStyle w:val="Heading2"/>
      </w:pPr>
      <w:r>
        <w:rPr>
          <w:rStyle w:val="SectionNumber"/>
        </w:rPr>
        <w:t xml:space="preserve">3.9</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и двумя постановлениями 2021 г.) воспроизведён на сайте одного из краевых учреждений [39]. Раздел 1 устанавливает единую норму для домов-интернатов, отделений комплексных центров и специальных домов-интернатов; примечание прямо определяет её как «нормы расхода (закладки) продуктов питания массой брутто» [39].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[39]. СБКС в норме нет; отдельная норма установлена для лиц с сахарным диабетом (в докладе не рассматривается).</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на пищеблоке четыре повара и четыре официанта, меню на день вывешивается на стенде у входа в столовую [39]. Это пример того, как учреждение само раскрывает минимальную информацию о питании; сведений о выборе блюд в нём нет.</w:t>
      </w:r>
    </w:p>
    <w:bookmarkEnd w:id="64"/>
    <w:bookmarkStart w:id="65" w:name="ленинградская-область"/>
    <w:p>
      <w:pPr>
        <w:pStyle w:val="Heading2"/>
      </w:pPr>
      <w:r>
        <w:rPr>
          <w:rStyle w:val="SectionNumber"/>
        </w:rPr>
        <w:t xml:space="preserve">3.10</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[19]. Такой акт в ходе подготовки доклада не найден.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изменения не прочитаны [40]. Расхождение реквизитов вынесено в гл. 9 (противоречие 31).</w:t>
      </w:r>
    </w:p>
    <w:p>
      <w:pPr>
        <w:pStyle w:val="BodyText"/>
      </w:pPr>
      <w:r>
        <w:t xml:space="preserve">Ленинградская норма — единственная из прочитанных, где каждая позиция дана одновременно брутто и нетто: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[40]. СБКС (27 г) и витаминно-минеральные комплексы (50–100 %) включены в норму стационарного обслуживания без оговорки о медицинских показаниях [40]. Значения нетто почти совпадают с приказом № 520н (говядина 90, птица 22,2, рыба 32,5, творог 20, кисломолочные 121 г), хотя ленинградский приказ издан раньше, 30.12.2021, а № 520н — 13.09.2022 [29, 40]. Вероятное объяснение — общий источник обоих актов в более ранней федеральной рекомендации; это предположение, текст предшествующего федерального акта для доклада не сверялся.</w:t>
      </w:r>
    </w:p>
    <w:bookmarkEnd w:id="65"/>
    <w:bookmarkStart w:id="66" w:name="ханты-мансийский-автономный-округ-югра"/>
    <w:p>
      <w:pPr>
        <w:pStyle w:val="Heading2"/>
      </w:pPr>
      <w:r>
        <w:rPr>
          <w:rStyle w:val="SectionNumber"/>
        </w:rPr>
        <w:t xml:space="preserve">3.11</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прочитана редакция постановления от 06.09.2014 № 327-п [60]. Нормы для совершеннолетних даны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[60]. Изменения 2024 г., найденные поиском, касаются норм для несовершеннолетних; действующая редакция для совершеннолетних не проверена.</w:t>
      </w:r>
    </w:p>
    <w:p>
      <w:pPr>
        <w:pStyle w:val="BodyText"/>
      </w:pPr>
      <w:r>
        <w:t xml:space="preserve">Совпадение этих чисел с ленинградскими нетто и с № 520н уже в 2014 г. подтверждает предположение об общем федеральном источнике, предшествовавшем № 520н (толкование). Отличие — фрукты: 200 г в ХМАО против 150 г в Ленинградской области и в № 520н [29, 40, 60].</w:t>
      </w:r>
    </w:p>
    <w:bookmarkEnd w:id="66"/>
    <w:bookmarkStart w:id="67" w:name="X00d3de5e234226ca574f6e2fd93a9ea259eabf5"/>
    <w:p>
      <w:pPr>
        <w:pStyle w:val="Heading2"/>
      </w:pPr>
      <w:r>
        <w:rPr>
          <w:rStyle w:val="SectionNumber"/>
        </w:rPr>
        <w:t xml:space="preserve">3.12</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два (Санкт-Петербург, ХМАО) — в нетто, один (Ленинградская область) — в обеих величинах [30, 39–41, 60]. Прямое сопоставление «говядина 110 г в Новосибирской области против 90 г по № 520н» ошибочно: первая цифра — масса закладки до очистки и обвалки, вторая — масса после. Ленинградская норма позволяет получить коэффициенты перевода, заложенные самим нормотворцем, и с их помощью ориентировочно привести брутто-нормы к нетто.</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Коэффициент нетто/брутто по ЛО [40]</w:t>
            </w:r>
          </w:p>
        </w:tc>
        <w:tc>
          <w:tcPr/>
          <w:p>
            <w:pPr>
              <w:pStyle w:val="Compact"/>
            </w:pPr>
            <w:r>
              <w:t xml:space="preserve">НСО, брутто [41]</w:t>
            </w:r>
          </w:p>
        </w:tc>
        <w:tc>
          <w:tcPr/>
          <w:p>
            <w:pPr>
              <w:pStyle w:val="Compact"/>
            </w:pPr>
            <w:r>
              <w:t xml:space="preserve">НСО, ≈ нетто</w:t>
            </w:r>
          </w:p>
        </w:tc>
        <w:tc>
          <w:tcPr/>
          <w:p>
            <w:pPr>
              <w:pStyle w:val="Compact"/>
            </w:pPr>
            <w:r>
              <w:t xml:space="preserve">Красноярский край, брутто [39]</w:t>
            </w:r>
          </w:p>
        </w:tc>
        <w:tc>
          <w:tcPr/>
          <w:p>
            <w:pPr>
              <w:pStyle w:val="Compact"/>
            </w:pPr>
            <w:r>
              <w:t xml:space="preserve">Красноярский край, ≈ нетто</w:t>
            </w:r>
          </w:p>
        </w:tc>
        <w:tc>
          <w:tcPr/>
          <w:p>
            <w:pPr>
              <w:pStyle w:val="Compact"/>
            </w:pPr>
            <w:r>
              <w:t xml:space="preserve">СПб, кроме ПНИ, нетто [30]</w:t>
            </w:r>
          </w:p>
        </w:tc>
        <w:tc>
          <w:tcPr/>
          <w:p>
            <w:pPr>
              <w:pStyle w:val="Compact"/>
            </w:pPr>
            <w:r>
              <w:t xml:space="preserve">№ 520н, нетто [29]</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r>
    </w:tbl>
    <w:p>
      <w:pPr>
        <w:pStyle w:val="BodyText"/>
      </w:pPr>
      <w:r>
        <w:t xml:space="preserve">¹ В Санкт-Петербурге — все группы овощей вместе (п. 3.2.3).</w:t>
      </w:r>
    </w:p>
    <w:p>
      <w:pPr>
        <w:pStyle w:val="BodyText"/>
      </w:pPr>
      <w:r>
        <w:t xml:space="preserve">Пересчёт — иллюстративная арифметика автора: коэффициенты ленинградского приказа зависят от вида сырья и способа обработки, и другой нормотворец мог закладывать другие. С этой оговоркой из таблицы следуют три наблюдения. Во-первых, красноярская норма после пересчёта почти совпадает с петербургской по рыбе (41,8 г), птице (40 г), картофелю (≈167 и 168 г), творогу и кисломолочным продуктам, но существенно уступает ей по мясу (≈56 против 90 г). Во-вторых, новосибирская норма после пересчёта близка к № 520н по рыбе, картофелю и молочным продуктам, по мясу ниже (≈78 против 90 г), по птице выше. В-третьих, «запас в белковых позициях», который облегчает пары «мясо — птица — рыба» (п. 3.2.3), в разных регионах распределён по-разному: в Красноярском крае он в рыбе и птице, в Санкт-Петербурге — в птице, рыбе и твороге, в Новосибирской области — в птице. Рекомендация учреждению, переносящему чужой опыт выбора, отсюда простая: проверять пары по своей региональной норме и в тех же единицах (брутто или нетто), в которых она выражена.</w:t>
      </w:r>
    </w:p>
    <w:bookmarkEnd w:id="67"/>
    <w:bookmarkStart w:id="68" w:name="X8eb27cf166f18a127646fce9d4ebaa9d6eac609"/>
    <w:p>
      <w:pPr>
        <w:pStyle w:val="Heading2"/>
      </w:pPr>
      <w:r>
        <w:rPr>
          <w:rStyle w:val="SectionNumber"/>
        </w:rPr>
        <w:t xml:space="preserve">3.13</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были занижены против рекомендуемых норм [1, 70]. Это учреждение здравоохранения, и цифры к стоимости питания в организациях социального обслуживания напрямую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68"/>
    <w:bookmarkStart w:id="69" w:name="сравнение"/>
    <w:p>
      <w:pPr>
        <w:pStyle w:val="Heading2"/>
      </w:pPr>
      <w:r>
        <w:rPr>
          <w:rStyle w:val="SectionNumber"/>
        </w:rPr>
        <w:t xml:space="preserve">3.14</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(ред. № 561 от 27.06.2022)</w:t>
            </w:r>
          </w:p>
        </w:tc>
        <w:tc>
          <w:tcPr/>
          <w:p>
            <w:pPr>
              <w:pStyle w:val="Compact"/>
            </w:pPr>
            <w:r>
              <w:t xml:space="preserve">Нетто</w:t>
            </w:r>
          </w:p>
        </w:tc>
        <w:tc>
          <w:tcPr/>
          <w:p>
            <w:pPr>
              <w:pStyle w:val="Compact"/>
            </w:pPr>
            <w:r>
              <w:t xml:space="preserve">По типу учреждения и состоянию здоровья; две нормы для ПНИ</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[30]</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[59]</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приказ от 21.04.2022 № 214</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[42]</w:t>
            </w:r>
          </w:p>
        </w:tc>
        <w:tc>
          <w:tcPr/>
          <w:p>
            <w:pPr>
              <w:pStyle w:val="Compact"/>
            </w:pPr>
            <w:r>
              <w:t xml:space="preserve">Акты — по первой редакции;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[41]</w:t>
            </w:r>
          </w:p>
        </w:tc>
      </w:tr>
      <w:tr>
        <w:tc>
          <w:tcPr/>
          <w:p>
            <w:pPr>
              <w:pStyle w:val="Compact"/>
            </w:pPr>
            <w:r>
              <w:t xml:space="preserve">Красноярский край</w:t>
            </w:r>
          </w:p>
        </w:tc>
        <w:tc>
          <w:tcPr/>
          <w:p>
            <w:pPr>
              <w:pStyle w:val="Compact"/>
            </w:pPr>
            <w:r>
              <w:t xml:space="preserve">Пост. от 17.12.2014 № 607-п (ред. от 14.10.2021)</w:t>
            </w:r>
          </w:p>
        </w:tc>
        <w:tc>
          <w:tcPr/>
          <w:p>
            <w:pPr>
              <w:pStyle w:val="Compact"/>
            </w:pPr>
            <w:r>
              <w:t xml:space="preserve">Брутто</w:t>
            </w:r>
          </w:p>
        </w:tc>
        <w:tc>
          <w:tcPr/>
          <w:p>
            <w:pPr>
              <w:pStyle w:val="Compact"/>
            </w:pPr>
            <w:r>
              <w:t xml:space="preserve">Единая норма для стационаров;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Проверено по тексту [39]</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изменения 2022–2023 гг. не прочитаны [40]</w:t>
            </w:r>
          </w:p>
        </w:tc>
      </w:tr>
      <w:tr>
        <w:tc>
          <w:tcPr/>
          <w:p>
            <w:pPr>
              <w:pStyle w:val="Compact"/>
            </w:pPr>
            <w:r>
              <w:t xml:space="preserve">ХМАО — Югра</w:t>
            </w:r>
          </w:p>
        </w:tc>
        <w:tc>
          <w:tcPr/>
          <w:p>
            <w:pPr>
              <w:pStyle w:val="Compact"/>
            </w:pPr>
            <w:r>
              <w:t xml:space="preserve">Пост. от 22.08.2014 № 306-п (ред. № 327-п от 06.09.2014)</w:t>
            </w:r>
          </w:p>
        </w:tc>
        <w:tc>
          <w:tcPr/>
          <w:p>
            <w:pPr>
              <w:pStyle w:val="Compact"/>
            </w:pPr>
            <w:r>
              <w:t xml:space="preserve">Нетто</w:t>
            </w:r>
          </w:p>
        </w:tc>
        <w:tc>
          <w:tcPr/>
          <w:p>
            <w:pPr>
              <w:pStyle w:val="Compact"/>
            </w:pPr>
            <w:r>
              <w:t xml:space="preserve">По возрастным группам</w:t>
            </w:r>
          </w:p>
        </w:tc>
        <w:tc>
          <w:tcPr/>
          <w:p>
            <w:pPr>
              <w:pStyle w:val="Compact"/>
            </w:pPr>
            <w:r>
              <w:t xml:space="preserve">Да</w:t>
            </w:r>
          </w:p>
        </w:tc>
        <w:tc>
          <w:tcPr/>
          <w:p>
            <w:pPr>
              <w:pStyle w:val="Compact"/>
            </w:pPr>
            <w:r>
              <w:t xml:space="preserve">Нет данных</w:t>
            </w:r>
          </w:p>
        </w:tc>
        <w:tc>
          <w:tcPr/>
          <w:p>
            <w:pPr>
              <w:pStyle w:val="Compact"/>
            </w:pPr>
            <w:r>
              <w:t xml:space="preserve">Проверено по редакции 2014 г. [60]</w:t>
            </w:r>
          </w:p>
        </w:tc>
      </w:tr>
    </w:tbl>
    <w:bookmarkEnd w:id="69"/>
    <w:bookmarkStart w:id="70" w:name="что-региональные-нормы-дают-выбору"/>
    <w:p>
      <w:pPr>
        <w:pStyle w:val="Heading2"/>
      </w:pPr>
      <w:r>
        <w:rPr>
          <w:rStyle w:val="SectionNumber"/>
        </w:rPr>
        <w:t xml:space="preserve">3.15</w:t>
      </w:r>
      <w:r>
        <w:tab/>
      </w:r>
      <w:r>
        <w:t xml:space="preserve">Что региональные нормы дают выбору</w:t>
      </w:r>
    </w:p>
    <w:p>
      <w:pPr>
        <w:pStyle w:val="FirstParagraph"/>
      </w:pPr>
      <w:r>
        <w:t xml:space="preserve">Региональная норма отвечает на вопрос «сколько», а не «что и как». Она определяет суточное количество продуктов по группам и почти никогда не определяет набор блюд, число вариантов, время и место подачи. Это создаёт широкое пространство организационной свободы, которое на практике заполняется привычкой: одно меню на всех, потому что так проще считать раскладку (толкование).</w:t>
      </w:r>
    </w:p>
    <w:p>
      <w:pPr>
        <w:pStyle w:val="BodyText"/>
      </w:pPr>
      <w:r>
        <w:t xml:space="preserve">Для учреждения, вводящего выбор, из региональной нормы следуют четыре практических требования. Суммарная закладка продуктов за отчётный период (неделя, декада, месяц) должна соответствовать норме по каждой группе. Варианты, построенные внутри группы продуктов, норму не затрагивают. Варианты между группами требуют утверждённой учреждением таблицы замен со ссылкой на источник. Средний по периоду, а не ежедневный расчёт — допустимый способ контроля. Федеральной нормы, которая разрешала бы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[59].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нужен собственный порядок учёта замен.</w:t>
      </w:r>
    </w:p>
    <w:p>
      <w:pPr>
        <w:pStyle w:val="BodyText"/>
      </w:pPr>
      <w:r>
        <w:t xml:space="preserve">Четвёртое требование следует из п. 3.12: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сравнимую по величине с самим эффектом замены (иллюстративная оценка по коэффициентам ленинградского приказа: для мяса 0,705, для рыбы 0,550 [40]).</w:t>
      </w:r>
    </w:p>
    <w:bookmarkEnd w:id="70"/>
    <w:bookmarkEnd w:id="71"/>
    <w:bookmarkStart w:id="83"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72"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этом разделе собраны публичные сообщения о вариативном питании в российских стационарных организациях социального обслуживания, найденные к 05.10.2026. Каждое сообщение разобрано в два слоя: что источник сообщает и чего он не сообщает. Новость учреждения или органа власти — это факт сообщения на дату публикации, а не результат проверки. Ни один из перечисленных ниже кейсов не сопровождается опубликованными данными о весе, потреблении, отходах или затратах; поэтому кейсы иллюстрируют организационные решения, но не доказывают эффекта.</w:t>
      </w:r>
    </w:p>
    <w:p>
      <w:pPr>
        <w:pStyle w:val="BodyText"/>
      </w:pPr>
      <w:r>
        <w:t xml:space="preserve">По сравнению с первой редакцией, где был описан один российский кейс (Болотнинский ПНИ) [1], здесь рассмотрены восемь учреждений и одно региональное сообщение. Часть сведений получена при повторной проверке сайтов учреждений в октябре 2026 г. и уточняет как первую редакцию, так и рабочую базу знаний проекта [20].</w:t>
      </w:r>
    </w:p>
    <w:p>
      <w:pPr>
        <w:pStyle w:val="BodyText"/>
      </w:pPr>
      <w:r>
        <w:t xml:space="preserve">Классификация по шкале раздачи (М0–М5, п. 1.4) дана автором по тексту сообщений и является толкованием.</w:t>
      </w:r>
    </w:p>
    <w:bookmarkEnd w:id="72"/>
    <w:bookmarkStart w:id="73"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включены несколько вариантов блюд; на завтрак — чай, какао или кофейный напиток, молочная каша либо суп; в обед — «разнообразие салатов и вторых блюд, а также десерт, фрукты и творог»; перечень блюд определяет медицинская сестра диетическая; учреждение планирует расширить вечернее меню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Доли жителей, участвующих в выборе; способа выбора для неговорящих жителей; изменений в закупках и штате; данных о потреблении. Первая редакция обзора утверждала, что выбор в Болотнинском ПНИ делается накануне и «без изменения норм питания» [1]; в тексте сообщения 2024 г. ни того, ни другого нет. Эти детали во второй редакции сняты.</w:t>
      </w:r>
    </w:p>
    <w:p>
      <w:pPr>
        <w:pStyle w:val="BodyText"/>
      </w:pPr>
      <w:r>
        <w:rPr>
          <w:b/>
          <w:bCs/>
        </w:rPr>
        <w:t xml:space="preserve">Модель.</w:t>
      </w:r>
      <w:r>
        <w:t xml:space="preserve"> </w:t>
      </w:r>
      <w:r>
        <w:t xml:space="preserve">Выбор в момент еды из ограниченного перечня, формируемого диетсестрой, — М1 по шкале раздачи (несколько дней в неделю). Публикация 2026 г. показывает, что практика сохранилась спустя два года.</w:t>
      </w:r>
    </w:p>
    <w:bookmarkEnd w:id="73"/>
    <w:bookmarkStart w:id="74"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в марте 2024 г. «все отделения перешли на вариативное меню»; жители выбирают из двух видов вторых блюд, салатов и напитков, «составляя свой обед или ужин»; например, два рыбных или два мясных блюда, салаты из свежих или отварных овощей (винегрет, салат из свёклы). Перед внедрением проведены опрос жителей и анкетирование, по результатам которого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опасения не подтвердились. Одновременно обновлена посуда и проведены занятия по этикету за столом.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заместитель министра отметил улучшение аппетита [8].</w:t>
      </w:r>
    </w:p>
    <w:p>
      <w:pPr>
        <w:pStyle w:val="BodyText"/>
      </w:pPr>
      <w:r>
        <w:t xml:space="preserve">Два сообщения от 27.07.2026 — новость самого интерната (со словами начальника отдела питания) и интервью директора региональному изданию — описывают следующий этап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салат из 5–6 ингредиентов, из которых житель берёт 2–3 в своих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Сведений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Сокращение времени приёма пищи названо без описания способа измерения (что считалось началом и концом, для скольких смен) и остаётся утверждением учреждения. Стоимость названа только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[20] — это прочтение, а не цитата). Утверждение заместителя министра об аппетите не подкреплено данными измерений.</w:t>
      </w:r>
    </w:p>
    <w:p>
      <w:pPr>
        <w:pStyle w:val="BodyText"/>
      </w:pPr>
      <w:r>
        <w:rPr>
          <w:b/>
          <w:bCs/>
        </w:rPr>
        <w:t xml:space="preserve">Модель и противоречие слоёв.</w:t>
      </w:r>
      <w:r>
        <w:t xml:space="preserve"> </w:t>
      </w:r>
      <w:r>
        <w:t xml:space="preserve">В 2024 г. — М2 (два варианта нескольких блюд на линии раздачи во всех отделениях). В 2025 г. в части отделений — формат самообслуживания со свободой порции, ближе к М3. Рабочая база проекта фиксирует Успенский ПНИ как М2 с пометкой «шведской линии в источнике нет» [20]; для сообщения 2024 г. это верно, для сообщения 2025 г. — уже нет. Слои описывают разные даты и не противоречат друг другу, если дату указывать.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названы одновременно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Эти числа нельзя переносить на другое учреждение как норматив, но они задают порядок величин для сценария 14 гл. 7: формат самообслуживания может сокращать, а не удлинять раздачу, если жители способны подходить к линии. Для жителей, которые к линии не подходят, вопрос остаётся открытым (п. 7.16).</w:t>
      </w:r>
    </w:p>
    <w:bookmarkEnd w:id="74"/>
    <w:bookmarkStart w:id="75"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 М1 по шкале раздачи (толкование). Сообщение о лучшем аппетите — высказывание одного жителя, а не измерение. Каменский интернат — третье учреждение Новосибирской области, сообщившее о вариативном питании летом 2024 г. (вместе с Болотнинским и Успенским); совпадение сроков публикаций (13, 16 и 19 августа 2024 г.) позволяет предположить общий региональный импульс, но документа регионального органа, который бы его подтверждал, найти не удалось (открытая новостная лента министерства труда и социального развития Новосибирской области при проверке была недоступна) [5, 7, 9].</w:t>
      </w:r>
    </w:p>
    <w:bookmarkEnd w:id="75"/>
    <w:bookmarkStart w:id="76"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[12]:</w:t>
      </w:r>
    </w:p>
    <w:p>
      <w:pPr>
        <w:pStyle w:val="Compact"/>
        <w:numPr>
          <w:ilvl w:val="0"/>
          <w:numId w:val="1009"/>
        </w:numPr>
      </w:pPr>
      <w:r>
        <w:t xml:space="preserve">27.09.2024: с сентября «постепенное введение вариативного меню»; на начальном этапе —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w:t>
      </w:r>
    </w:p>
    <w:p>
      <w:pPr>
        <w:pStyle w:val="Compact"/>
        <w:numPr>
          <w:ilvl w:val="0"/>
          <w:numId w:val="1009"/>
        </w:numPr>
      </w:pPr>
      <w:r>
        <w:t xml:space="preserve">17.12.2024: пример обеда — выбор гарнира (рис или гречка) и второго блюда (гуляш мясной или печень по-строгановски); в учреждении работает экспертная комиссия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w:t>
      </w:r>
    </w:p>
    <w:p>
      <w:pPr>
        <w:pStyle w:val="Compact"/>
        <w:numPr>
          <w:ilvl w:val="0"/>
          <w:numId w:val="1009"/>
        </w:numPr>
      </w:pPr>
      <w:r>
        <w:t xml:space="preserve">13.02.2025: пищеблок ежедневно готовит на 220 человек «по восьми видам меню с правом выбора в обед»; меню цикличное 14-дневное, питание шестиразовое;</w:t>
      </w:r>
    </w:p>
    <w:p>
      <w:pPr>
        <w:pStyle w:val="Compact"/>
        <w:numPr>
          <w:ilvl w:val="0"/>
          <w:numId w:val="1009"/>
        </w:numPr>
      </w:pPr>
      <w:r>
        <w:t xml:space="preserve">09.02.2026: заседание совета по питанию;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поставлена задача скорректировать меню для граждан 60+.</w:t>
      </w:r>
    </w:p>
    <w:p>
      <w:pPr>
        <w:pStyle w:val="FirstParagraph"/>
      </w:pPr>
      <w:r>
        <w:rPr>
          <w:b/>
          <w:bCs/>
        </w:rPr>
        <w:t xml:space="preserve">Чего источники не сообщают.</w:t>
      </w:r>
      <w:r>
        <w:t xml:space="preserve"> </w:t>
      </w:r>
      <w:r>
        <w:t xml:space="preserve">Как выбирают жители, не посещающие столовую; есть ли выбор вне обеда; затраты; данные о потреблении.</w:t>
      </w:r>
    </w:p>
    <w:p>
      <w:pPr>
        <w:pStyle w:val="BodyText"/>
      </w:pPr>
      <w:r>
        <w:rPr>
          <w:b/>
          <w:bCs/>
        </w:rPr>
        <w:t xml:space="preserve">Значение кейса.</w:t>
      </w:r>
      <w:r>
        <w:t xml:space="preserve"> </w:t>
      </w:r>
      <w:r>
        <w:t xml:space="preserve">Это единственная из найденных российских практик, где публично описаны все четыре стадии: исследование предпочтений до запуска, поэтапный старт с наиболее мобильной группы, коллегиальный орган, который пересматривает меню, и внешняя экспертиза через полтора года. Сочетание «цикличное 14-дневное меню» и «право выбора в обед» наглядно показывает, что цикличность и вариативность — разные свойства одного меню (п. 1.2). Рекомендация нутрициолога о текстуре хлеба — пример клинического вопроса, который возникает при расширении выбора и решается не кухней, а специалистом (рекомендация учреждения, не норма).</w:t>
      </w:r>
    </w:p>
    <w:p>
      <w:pPr>
        <w:pStyle w:val="BodyText"/>
      </w:pPr>
      <w:r>
        <w:t xml:space="preserve">Учреждение — бывший дом-интернат для престарелых и инвалидов, а не ПНИ. Рабочая база проекта относит «четыре публичных кейса Новосибирской и Иркутской областей» к ПНИ [20]; для Усть-Илимска это неточно.</w:t>
      </w:r>
    </w:p>
    <w:bookmarkEnd w:id="76"/>
    <w:bookmarkStart w:id="77"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в стационарных учреждениях региона организовано вариативное питание с выбором из двух первых, двух вторых блюд и гарниров [13].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[14].</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найдено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[17].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[17]. Интервью подтверждает сам факт и год запуска (2025) из уст должностного лица, но не формат «два первых, два вторых и гарниры», который остаётся на пересказе агрегатора.</w:t>
      </w:r>
    </w:p>
    <w:p>
      <w:pPr>
        <w:pStyle w:val="BodyText"/>
      </w:pPr>
      <w:r>
        <w:rPr>
          <w:b/>
          <w:bCs/>
        </w:rPr>
        <w:t xml:space="preserve">Чего источники не сообщают.</w:t>
      </w:r>
      <w:r>
        <w:t xml:space="preserve"> </w:t>
      </w:r>
      <w:r>
        <w:t xml:space="preserve">Сколько из 50 стационарных учреждений перешло на выбор; закреплено ли это региональным актом; с какой периодичностью. В открытом доступе не найден региональный правовой акт Иркутской области, который предписывал бы вариативное питание;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[15].</w:t>
      </w:r>
    </w:p>
    <w:bookmarkEnd w:id="77"/>
    <w:bookmarkStart w:id="78"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Сообщение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организатор —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[16].</w:t>
      </w:r>
    </w:p>
    <w:p>
      <w:pPr>
        <w:pStyle w:val="BodyText"/>
      </w:pPr>
      <w:r>
        <w:rPr>
          <w:b/>
          <w:bCs/>
        </w:rPr>
        <w:t xml:space="preserve">Чего источник не сообщает.</w:t>
      </w:r>
      <w:r>
        <w:t xml:space="preserve"> </w:t>
      </w:r>
      <w:r>
        <w:t xml:space="preserve">Модели выбора, охвата, затрат.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Появление межрегиональной площадки показывает, что к 2026 г. практика вышла за пределы единичных учреждений и стала предметом методической работы региональных ведомств. Упоминание инфоматов для сбора предпочтений — первое в найденных российских источниках указание на технический канал выбора, кроме устного [16].</w:t>
      </w:r>
    </w:p>
    <w:bookmarkEnd w:id="78"/>
    <w:bookmarkStart w:id="79"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 директор этого учреждения; конфликт интересов раскрыт. Ниже приведены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Сообщение Комитета по социальной политике Санкт-Петербурга от 22.07.2025 о заседании рабочей группы по реформированию психоневрологических интернатов Санкт-Петербурга: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«крайне затруднителен с точки зрения соблюдения всех норм питания по сбалансированности и учёта особенностей здоровья проживающих»; жители «склонны к выбору популярных, но не самых полезных продуктов» [18].</w:t>
      </w:r>
    </w:p>
    <w:p>
      <w:pPr>
        <w:pStyle w:val="BodyText"/>
      </w:pPr>
      <w:r>
        <w:t xml:space="preserve">Приказом учреждения от 10.03.2026 № 124 утверждены правила внутреннего распорядка, в которых закреплено заказное питание (вариативное меню), в том числе для маломобильных жителей с приёмом пищи в жилых комнатах [25]. Сайт учреждения прекратил работу; правила доступны в веб-архиве (копия от 15.04.2026). По данным архивной копии сайта (февраль 2026 г.), учреждение обслуживало 1 004 человека, питание шестиразовое, с поздним вторым ужином [20, 25].</w:t>
      </w:r>
    </w:p>
    <w:p>
      <w:pPr>
        <w:pStyle w:val="BodyText"/>
      </w:pPr>
      <w:r>
        <w:rPr>
          <w:b/>
          <w:bCs/>
        </w:rPr>
        <w:t xml:space="preserve">Чего источники не сообщают.</w:t>
      </w:r>
      <w:r>
        <w:t xml:space="preserve"> </w:t>
      </w:r>
      <w:r>
        <w:t xml:space="preserve">Доли жителей, пользующихся заказом; числа добавленных ставок и стоимости оборудования; данных о потреблении и отходах.</w:t>
      </w:r>
    </w:p>
    <w:p>
      <w:pPr>
        <w:pStyle w:val="BodyText"/>
      </w:pPr>
      <w:r>
        <w:t xml:space="preserve">Независимое упоминание петербургской практики есть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поэтому отождествлять это свидетельство с ДСО «Серафимовский» нельзя; оно подтверждает лишь, что в 2025–2026 гг. выбор в петербургских ПНИ оставался доступен узкой группе жителей.</w:t>
      </w:r>
    </w:p>
    <w:p>
      <w:pPr>
        <w:pStyle w:val="BodyText"/>
      </w:pPr>
      <w:r>
        <w:rPr>
          <w:b/>
          <w:bCs/>
        </w:rPr>
        <w:t xml:space="preserve">Модель и классы утверждений.</w:t>
      </w:r>
      <w:r>
        <w:t xml:space="preserve"> </w:t>
      </w:r>
      <w:r>
        <w:t xml:space="preserve">Заказ накануне из предложенного меню — М1 по шкале раздачи: выбор есть, но сделан не в момент еды (п. 1.4). Приказ № 124 —</w:t>
      </w:r>
      <w:r>
        <w:t xml:space="preserve"> </w:t>
      </w:r>
      <w:r>
        <w:rPr>
          <w:b/>
          <w:bCs/>
        </w:rPr>
        <w:t xml:space="preserve">локальная форма</w:t>
      </w:r>
      <w:r>
        <w:t xml:space="preserve">; он показывает, что учреждение может закрепить вариативное питание в правилах внутреннего распорядка, но не является нормой ни для других учреждений, ни для проверяющего.</w:t>
      </w:r>
    </w:p>
    <w:p>
      <w:pPr>
        <w:pStyle w:val="BodyText"/>
      </w:pPr>
      <w:r>
        <w:t xml:space="preserve">Сообщение Комитета содержит две оценки, которые нередко цитируют порознь: жители приняли выбор с энтузиазмом, и полный переход затруднителен. Вторая оценка — суждение руководителя учреждения, а не результат измерения; данные о влиянии выбора на состав фактического потребления в сообщении не приводятся. Научные данные по этому вопросу противоречивы (п. 5.3): в исследовании Wheeler и соавт. переход к выбору в момент еды сопровождался чуть большим потреблением белковых продуктов и овощей и меньшим — углеводных в расчёте на приём пищи [71].</w:t>
      </w:r>
    </w:p>
    <w:bookmarkEnd w:id="79"/>
    <w:bookmarkStart w:id="80"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утверждены «зимнее» и «летнее» 14-дневное меню с пяти- и шестиразовым лечебным и профилактическим питанием; меню разработано с учётом норм питания в ПНИ, утверждённых распоряжением министерства социального развития Московской области от 13.04.2017 № 19РВ-32; работает совет по питанию со ссылкой на приказ Минздрава России № 330; «по желанию получателей социальных услуг и по согласованию с лечащим врачом» совет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[26].</w:t>
      </w:r>
    </w:p>
    <w:p>
      <w:pPr>
        <w:pStyle w:val="BodyText"/>
      </w:pPr>
      <w:r>
        <w:rPr>
          <w:b/>
          <w:bCs/>
        </w:rPr>
        <w:t xml:space="preserve">Чего источник не сообщает.</w:t>
      </w:r>
      <w:r>
        <w:t xml:space="preserve"> </w:t>
      </w:r>
      <w:r>
        <w:t xml:space="preserve">Есть ли ежедневный выбор между блюдами при каждом приёме пищи;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 это персонализация меню, а не выбор в момент еды (п. 1.2). Самообслуживание на линии само по себе не означает выбора между вариантами: линия может выдавать одно блюдо. Рабочая база проекта называет распоряжение № 19РВ-32 медицинским «мостиком» к лечебному питанию [20]; по тексту сайта это нормы питания в ПНИ Московской области, а ссылка на приказ № 330 относится к совету по питанию. Уточнение вносится во вторую редакцию.</w:t>
      </w:r>
    </w:p>
    <w:bookmarkEnd w:id="80"/>
    <w:bookmarkStart w:id="81" w:name="сводная-таблица"/>
    <w:p>
      <w:pPr>
        <w:pStyle w:val="Heading2"/>
      </w:pPr>
      <w:r>
        <w:rPr>
          <w:rStyle w:val="SectionNumber"/>
        </w:rPr>
        <w:t xml:space="preserve">4.10</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w:t>
            </w:r>
          </w:p>
        </w:tc>
        <w:tc>
          <w:tcPr/>
          <w:p>
            <w:pPr>
              <w:pStyle w:val="Compact"/>
            </w:pPr>
            <w:r>
              <w:t xml:space="preserve">Разные</w:t>
            </w:r>
          </w:p>
        </w:tc>
        <w:tc>
          <w:tcPr/>
          <w:p>
            <w:pPr>
              <w:pStyle w:val="Compact"/>
            </w:pPr>
            <w:r>
              <w:t xml:space="preserve">14.02.2025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81"/>
    <w:bookmarkStart w:id="82" w:name="что-следует-из-совокупности-кейсов"/>
    <w:p>
      <w:pPr>
        <w:pStyle w:val="Heading2"/>
      </w:pPr>
      <w:r>
        <w:rPr>
          <w:rStyle w:val="SectionNumber"/>
        </w:rPr>
        <w:t xml:space="preserve">4.11</w:t>
      </w:r>
      <w:r>
        <w:tab/>
      </w:r>
      <w:r>
        <w:t xml:space="preserve">Что следует из совокупности кейсов</w:t>
      </w:r>
    </w:p>
    <w:p>
      <w:pPr>
        <w:pStyle w:val="FirstParagraph"/>
      </w:pPr>
      <w:r>
        <w:t xml:space="preserve">Повторяющиеся элементы в сообщениях разных учреждений таковы. Первое: изучение предпочтений до запуска (опрос и балльное ранжирование в Успенском ПНИ, опрос и группировка по популярности в Усть-Илимске). Второе: ограниченный старт — по дням недели (Болотнинский, Каменский), по группе жителей (Усть-Илимск, Серафимовский), по отделениям (Успенский в 2025 г.). Третье: выбор ограничен одним-двумя блюдами приёма пищи, остальное подаётся по общему меню. Четвёртое: коллегиальный орган — совет или комиссия по питанию — появляется в Усть-Илимске и в «Солнечногорском».</w:t>
      </w:r>
    </w:p>
    <w:p>
      <w:pPr>
        <w:pStyle w:val="BodyText"/>
      </w:pPr>
      <w:r>
        <w:t xml:space="preserve">Различаются кейсы ресурсной стороной. Новосибирские сообщения 2024 г. и иркутские сообщения не упоминают дополнительного персонала или оборудования; петербургское сообщение их называет [18];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основано на опубликованных расчётах. Корректный вывод скромнее: стартовый формат (выбор из двух блюд в момент еды в одном приёме пищи) в ряде учреждений был введён без публично названных дополнительных ресурсов; заказ накануне и обслуживание маломобильных в комнатах потребовали ресурсов в учреждении, сообщившем о них (толкование).</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аргумент «популярное не самое полезное» не может быть ни подтверждён, ни опровергнут.</w:t>
      </w:r>
    </w:p>
    <w:bookmarkEnd w:id="82"/>
    <w:bookmarkEnd w:id="83"/>
    <w:bookmarkStart w:id="99" w:name="научные-данные"/>
    <w:p>
      <w:pPr>
        <w:pStyle w:val="Heading1"/>
      </w:pPr>
      <w:r>
        <w:rPr>
          <w:rStyle w:val="SectionNumber"/>
        </w:rPr>
        <w:t xml:space="preserve">5</w:t>
      </w:r>
      <w:r>
        <w:tab/>
      </w:r>
      <w:r>
        <w:t xml:space="preserve">Научные данные</w:t>
      </w:r>
    </w:p>
    <w:bookmarkStart w:id="84"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Спор о вариативном меню в российских учреждениях ведётся главным образом аргументами двух типов: «выбор улучшает качество жизни» и «выбор ухудшит питание, потому что жители предпочтут невкусное полезному вкусному вредному». Оба аргумента — эмпирические и поддаются проверке. Этот раздел излагает, что о них известно из рецензируемой литературы. Поиск вёлся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Приводятся только работы, библиографические данные и ключевые числа которых проверены по аннотации или полному тексту.</w:t>
      </w:r>
    </w:p>
    <w:bookmarkEnd w:id="84"/>
    <w:bookmarkStart w:id="85"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полная оценка распространённости недостаточности питания у пожилых по инструменту MNA (Mini Nutritional Assessment) — метаанализ Cereda и соавт. 2016 г.: 240 исследований,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[72]. Доля лиц в зоне риска в учреждениях выше доли лиц с установленной недостаточностью в несколько раз.</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найти не удалось. Ближайшая по смыслу работа — исследование Горелика С. Г.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[36]. Ограничения работы существенны: одно учреждение, средний возраст 64,7 года, отсутствие контрольной группы; поэтому цифра «улучшение у 73,5 %» не может быть приписана конкретному вмешательству. Ценность работы для нашей темы — в цифре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[46]. Рекомендации обращены к медицинским работникам; в организациях социального обслуживания они применимы в той части, в которой учреждение оказывает медицинскую помощь (толкование, см. п. 2.8).</w:t>
      </w:r>
    </w:p>
    <w:bookmarkEnd w:id="85"/>
    <w:bookmarkStart w:id="86"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Самое известное исследование выбора в институциональном питании — работа Wright, Connelly, Capra и Hendrikz (2013, Brisbane). Обследованы 103 пациента больницы и 210 жителей девяти домов престарелых. Удовлетворённость питанием была связана с количеством предлагаемых вариантов и с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[73]. Это одна из немногих работ, где именно время выбора, а не только число вариантов, выделено как самостоятельный фактор, — довод в пользу различения М1 (выбор накануне) и М2 (выбор в момент еды) в шкале раздачи.</w:t>
      </w:r>
    </w:p>
    <w:p>
      <w:pPr>
        <w:pStyle w:val="BodyText"/>
      </w:pPr>
      <w:r>
        <w:t xml:space="preserve">Работа Abbey, Wright и Capra (2015) описала, как выбор реально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Уровень выбора оказался низким во всей выборке, особенно для жителей, получающих протёртую пищу; признаки того, что меню планируется с расчётом на альтернативы, были ограничены. Авторы предложили усилить регулирование и мониторинг выбора в рамках национальных стандартов аккредитации [74]. Этот вывод прямо относится к российским ПНИ и домам-интернатам: формальное наличие двух блюд на линии раздачи не означает, что выбор доступен жителю, который получает протёртую пищу или не может объяснить своё желание словами.</w:t>
      </w:r>
    </w:p>
    <w:p>
      <w:pPr>
        <w:pStyle w:val="BodyText"/>
      </w:pPr>
      <w:r>
        <w:t xml:space="preserve">Wheeler, Abbey и Capra (2025) сравнили в одном австралийском учреждении две системы: традиционную (меню, выбираемое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чуть больше белковых продуктов (+5 г) и овощей (+11 г) и меньше углеводных (−38 г). Производственные отходы выросли с 55 до 90 г на жителя в день. Стоимость питания выросла с 9,20–11,14 до 11,01–12,15 австралийского доллара на жителя в день [71]. Качественное исследование той же группы, основанное на интервью с 20 жителями до и 18 после перехода, показало, что жители связывали возможность выбора в момент еды с ощущением контроля и самостоятельности [75].</w:t>
      </w:r>
    </w:p>
    <w:p>
      <w:pPr>
        <w:pStyle w:val="BodyText"/>
      </w:pPr>
      <w:r>
        <w:t xml:space="preserve">Эти данные важны для российского спора по двум причинам. Во-первых, они не подтверждают опасения, что выбор неизбежно ухудшает состав потребления: в исследовании съеденные блюда из нового меню содержали чуть больше белковых продуктов и овощей. Во-вторых, они показывают и цену: выбор в момент еды увеличил производственные отходы и стоимость. Вывод о росте стоимости не переносится на российские условия напрямую (другие структура затрат, уровень цен, штат), но направление эффекта следует учитывать (толкование).</w:t>
      </w:r>
    </w:p>
    <w:p>
      <w:pPr>
        <w:pStyle w:val="BodyText"/>
      </w:pPr>
      <w:r>
        <w:t xml:space="preserve">Близкий по смыслу результат получен в больничном питании. В частной больнице Брисбена переход к модели room service — пациент заказывает блюда из ресторанного меню по телефону и получает их приготовленными под заказ —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[76]. Больничный контекст отличается от учреждения долговременного проживания (короткое пребывание, другой состав пациентов), поэтому результат приводится как аналогия, а не как доказательство для ДСО и ПНИ.</w:t>
      </w:r>
    </w:p>
    <w:bookmarkEnd w:id="86"/>
    <w:bookmarkStart w:id="87"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Количественные работы отвечают на вопрос «сколько», качественные — на вопрос «почему выбор не случается, даже когда его хотят». Три работы разных лет и стран сходятся в описании барьеров.</w:t>
      </w:r>
    </w:p>
    <w:p>
      <w:pPr>
        <w:pStyle w:val="BodyText"/>
      </w:pPr>
      <w:r>
        <w:t xml:space="preserve">Wang и соавт. (2020) провели углублённые интервью с семью жителями и семью сотрудниками двух австралийских учреждений; анализ строился на теории самодетерминации. Выделены три темы: «питание на массу» (catering for the masses), организационные барьеры для выбора и влияние еды на благополучие [77]. Авторы называют недостаточный выбор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хотели сами принимать решения; их рассказы о еде в учреждении были противоречивыми,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[78].</w:t>
      </w:r>
    </w:p>
    <w:p>
      <w:pPr>
        <w:pStyle w:val="BodyText"/>
      </w:pPr>
      <w:r>
        <w:t xml:space="preserve">Mondkar и соавт. (2025) опросили 17 человек (жители, руководители, сотрудники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старался их поддерживать «где возможно» [79]. Но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[79]. Это прямое указание на механизм неравенства, который вариативное меню может не устранить, а закрепить: выбор, построенный на вопросе «что вы хотите?», достаётся тем, кто способен ответить и настоять (толкование; ср. п. 7.16).</w:t>
      </w:r>
    </w:p>
    <w:p>
      <w:pPr>
        <w:pStyle w:val="BodyText"/>
      </w:pPr>
      <w:r>
        <w:t xml:space="preserve">Для российского учреждения эти работы ценны как список проверочных вопросов, а не как доказательство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что меняется, если у жителя нет денег и родственников.</w:t>
      </w:r>
    </w:p>
    <w:bookmarkEnd w:id="87"/>
    <w:bookmarkStart w:id="88"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сравнило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[27]. Семейная подача — это М4 по шкале раздачи; исследование показывает эффект целого комплекса изменений,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[80]. Дизайн пилотный, без рандомизации;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того, что съедается (разнообразие на тарелке, приправы на столе); названия блюд и декор эффекта не дали [81]. Авторы исходят из того, что во французских домах престарелых меню, время, место приёма пищи и место за столом обычно навязаны жителю. Работа полезна как список дешёвых мер с проверенным и с непроверенным эффектом.</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больший выбор блюд, удлинённые часы работы «ресторана», доступные закуски и автоматы с напитками — в трёх домах, при трёх контрольных [82].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[82]. Авторы признают, что использование рутинно собираемых данных удалось лишь частично, потери наблюдения и пропуски были велики. Работа полезна как пример: учреждение может оценивать изменение питания по данным, которые оно и так собирает (падения, масса тела, обращения), но без строгого дизайна и при малой выборке такой анализ даёт лишь направление, а не доказательство.</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был статистически незначим, а изменения среды приёма пищи были связаны с увеличением потребления энергии на 181 ккал/сут (95 % ДИ от −5 до 367; p = 0,06) [83].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[84]. Общий вывод: вмешательства в организацию питания, включающие выбор, скорее улучшают удовлетворённость и потребление, чем ухудшают, но размер эффекта на пищевой статус невелик и плохо измерен.</w:t>
      </w:r>
    </w:p>
    <w:bookmarkEnd w:id="88"/>
    <w:bookmarkStart w:id="89"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крупные данные о связи среды приёма пищи с переживанием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[85]. Более высокие шансы быть удовлетворённым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[85]. Обстановка приёма пищи в этом исследовании измерялась вместе с другими элементами среды, поэтому вклад именно питания не выделяется; дизайн ретроспективный и наблюдательный. Тем не менее это первое из найденных национальных исследований, где среда приёма пищи вошла в число изменяемых факторов, связанных с достоинством жителя, — в той же модели, что и отношение персонала.</w:t>
      </w:r>
    </w:p>
    <w:p>
      <w:pPr>
        <w:pStyle w:val="BodyText"/>
      </w:pPr>
      <w:r>
        <w:t xml:space="preserve">Для доклада из этого следует ограниченный, но важный вывод (толкование): довод «выбор — вопрос достоинства», которым обосновывают вариативное меню, имеет эмпирическую опору на популяционном уровне, но опора касается среды приёма пищи в целом, а не числа вариантов блюд.</w:t>
      </w:r>
    </w:p>
    <w:bookmarkEnd w:id="89"/>
    <w:bookmarkStart w:id="90"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[18] — имеет эмпирическую основу, но не ту, которую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более высокое потребление энергии и натрия было связано с худшим качеством рациона [86]. Метаанализ объединяет исследования в разных условиях и не выделяет учреждения с нормированным продуктовым набором; его данные говорят о риске, а не о том, что вариативное меню в учреждении с нормированным продуктовым набором воспроизведёт этот риск. В учреждении выбор ограничен блюдами, которые составлены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другой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мешали нехватка знаний, времени и разнобой в подходах [87].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[88]. Оба исследования приходят к выводу, что ответом на риск нездорового выбора служит обучение персонала и работа с пищевой средой, а не отказ от выбора.</w:t>
      </w:r>
    </w:p>
    <w:p>
      <w:pPr>
        <w:pStyle w:val="BodyText"/>
      </w:pPr>
      <w:r>
        <w:t xml:space="preserve">Для российского ПНИ отсюда следует практический вывод (рекомендация): если врач видит у конкретного жителя метаболический риск, он принимает решение о назначениях для этого жителя; ограничивать выбор всем жителям из-за риска части из них — непропорциональная мера, не основанная на данных.</w:t>
      </w:r>
    </w:p>
    <w:bookmarkEnd w:id="90"/>
    <w:bookmarkStart w:id="91"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нашей темы существенны две их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[89]. Рекомендации ESPEN по питанию при деменции (Volkert и соавт., 2024) содержат 40 рекомендаций, из них семь посвящены условиям в учреждениях: подготовка персонала, привлекательная еда с возможностью выбора, приятная среда приёма пищи [90].</w:t>
      </w:r>
    </w:p>
    <w:p>
      <w:pPr>
        <w:pStyle w:val="BodyText"/>
      </w:pPr>
      <w:r>
        <w:t xml:space="preserve">Важна юридическая природа этих документов: это рекомендации профессионального общества для клиницистов, а не нормы. В российском праве они не действуют. Их ценность для доклада — в том, что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91"/>
    <w:bookmarkStart w:id="92"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 отходы с тарелки (14 источников), обычно взвешиванием (10) или визуальной оценкой (6); интервенционных исследований по снижению отходов нашлось только три [91]. Для сравнения обзор приводит больничные данные: по нарративному обзору Williams и Walton (2011), медиана отходов с тарелки в 32 исследованиях составила 30 % [92]; в больничной литературе допустимым называют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[91].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 не только для оценки меню, но и для расчёта фактически съеденного. Японское исследование CLEVER (Nishida и соавт., 2020) проверило этот расчёт на 46 жителях учреждений долговременного ухода, сравнив потребление энергии, вычисленное по рецептурам и отходам с тарелки за 14–15 дней, с потреблением, определённым методом дважды меченой воды [93].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[93]. Вывод авторов: потеря массы возможна, даже если расчёт по меню и отходам показывает положительный баланс. Для темы доклада это предупреждение двоякое: выполнение норм по раскладке не гарантирует, что житель съел положенное, а снижение отходов после введения выбора — ещё не доказательство роста потребления (толкование).</w:t>
      </w:r>
    </w:p>
    <w:p>
      <w:pPr>
        <w:pStyle w:val="BodyText"/>
      </w:pPr>
      <w:r>
        <w:t xml:space="preserve">Для российского учреждения отходы с тарелки — самый доступный показатель результата: их можно измерять визуальной шкалой или взвешиванием без лабораторных исследований и без медицинской лицензии. Сопоставление отходов до и после введения выбора — минимальная доказательная база, которую учреждение может собрать само (рекомендация, см. п. 7.9).</w:t>
      </w:r>
    </w:p>
    <w:bookmarkEnd w:id="92"/>
    <w:bookmarkStart w:id="93"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[94]. Это число приводится как контекст, а не как оценка для российских учреждений: доля таких жителей в российском ПНИ или доме-интернате не измерялась публично. Совокупно с работой Abbey и соавт. [74] оно показывает, что вариативное меню, придуманное для ходячих и говорящих жителей, может не дойти до половины дома. Решения о консистенции — клинические и в этом докладе не рассматриваются.</w:t>
      </w:r>
    </w:p>
    <w:bookmarkEnd w:id="93"/>
    <w:bookmarkStart w:id="94"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доказательства его эффекта на потребление оказались неоднородными [95].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[96]. Связь наблюдательная и не доказывает причинности, но согласуется с представлением о том, что качество питания определяется кадрами не меньше, чем нормами.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делают вывод, что без государственного финансирования, политики и стандартов улучшение питания в учреждениях ограничено [97].</w:t>
      </w:r>
    </w:p>
    <w:bookmarkEnd w:id="94"/>
    <w:bookmarkStart w:id="95"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Вопрос о персонале — центральный для вариативного меню в учреждениях с большой долей жителей, которые не едят самостоятельно. Наиболее подробные данные о времени, которое для этого нужно,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[98]</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[99]</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[100]</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[101]</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следуют три наблюдения, существенные для российского учреждения. Первое: жителю, которому нужна только словесная подсказка и присутствие сотрудника, требовалось столько же времени (35–40 минут на приём пищи), сколько физически зависимому [100]; авторы заключают, что американская система оплаты ухода, учитывающая главным образом физическую зависимость, недооценивает это время. Второе: разрыв между временем, которое реально тратилось (5–9 минут), и временем, которое давало эффект (35–42 минуты), составлял четыре-восемь раз [98, 99, 101]. Третье: перекус между приёмами пищи с выбором требовал втрое-вчетверо меньше времени, чем помощь во время еды, и помогал почти половине тех, кому не помогла помощь во время еды [99, 101]; авторы считают его более осуществимым в повседневной практике.</w:t>
      </w:r>
    </w:p>
    <w:p>
      <w:pPr>
        <w:pStyle w:val="BodyText"/>
      </w:pPr>
      <w:r>
        <w:t xml:space="preserve">Перенос на российские условия ограничен (толкование): другие штатные нормативы, другой состав жителей, исследования проведены 18–25 лет назад. Но порядок величины полезен как проверка реализма.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а уже потом — на выбор (п. 7.15).</w:t>
      </w:r>
    </w:p>
    <w:bookmarkEnd w:id="95"/>
    <w:bookmarkStart w:id="96"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[102]. В докладе «Не просто накормить» 8 долларов названы стоимостью сырья [19]; по тексту статьи это стоимость всего кейтеринга. Уточнение вносится во вторую редакцию.</w:t>
      </w:r>
    </w:p>
    <w:p>
      <w:pPr>
        <w:pStyle w:val="BodyText"/>
      </w:pPr>
      <w:r>
        <w:t xml:space="preserve">Прямой пересчёт австралийских цифр в рубли некорректен: различаются цены, состав затрат и структура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[71]). Российских опубликованных расчётов стоимости вариативного меню не найдено.</w:t>
      </w:r>
    </w:p>
    <w:bookmarkEnd w:id="96"/>
    <w:bookmarkStart w:id="97"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 экстраполяция.</w:t>
      </w:r>
    </w:p>
    <w:p>
      <w:pPr>
        <w:pStyle w:val="BodyText"/>
      </w:pPr>
      <w:r>
        <w:t xml:space="preserve">Нет исследований, сравнивающих разные числа вариантов (два, три, семь) в одном дизайне. Нет данных о том, как выбор влияет на пищевое поведение людей с интеллектуальными нарушениями в учреждениях; опасение, что такие жители будут систематически выбирать «вредное», остаётся непроверенным предположением. Наконец, все исследования стоимости проведены в странах, где питание финансируется иначе, чем в российском государственном задании.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которые измеряли бы, получает ли выбор житель, не способный его выразить, — качественные работы лишь описывают, что такие жители выбором пользуются реже [79].</w:t>
      </w:r>
    </w:p>
    <w:bookmarkEnd w:id="97"/>
    <w:bookmarkStart w:id="98"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[72]</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[36]</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[73]</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[74]</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[27]</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[80]</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[81]</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[83]</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[84]</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[71]</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[91]</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[96]</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[86]</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[76]</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[82]</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[77]</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[78]</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[79]</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[85]</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[93]</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[98–101]</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98"/>
    <w:bookmarkEnd w:id="99"/>
    <w:bookmarkStart w:id="112" w:name="зарубежное-регулирование"/>
    <w:p>
      <w:pPr>
        <w:pStyle w:val="Heading1"/>
      </w:pPr>
      <w:r>
        <w:rPr>
          <w:rStyle w:val="SectionNumber"/>
        </w:rPr>
        <w:t xml:space="preserve">6</w:t>
      </w:r>
      <w:r>
        <w:tab/>
      </w:r>
      <w:r>
        <w:t xml:space="preserve">Зарубежное регулирование</w:t>
      </w:r>
    </w:p>
    <w:bookmarkStart w:id="100"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не действуют в России, и ссылка на них не может заменить российского основания для решения учреждения. Их ценность иная: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сталкиваются с теми же противоречиями, что и в России. Первая редакция обзора упоминала зарубежный опыт кратко и включала раздел о «практике стран СНГ» без источников [1]; во второй редакции этот раздел не воспроизводится, а зарубежный блок построен по первоисточникам.</w:t>
      </w:r>
    </w:p>
    <w:bookmarkEnd w:id="100"/>
    <w:bookmarkStart w:id="101"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нужна [103].</w:t>
      </w:r>
    </w:p>
    <w:p>
      <w:pPr>
        <w:pStyle w:val="BodyText"/>
      </w:pPr>
      <w:r>
        <w:t xml:space="preserve">Конструкция поучительна тремя чертами. Предпочтения названы составной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[103]. Иначе говоря, английское право прямо решает коллизию «выбор против здоровья» через процедуру оценки наилучших интересов, а не через запрет выбора.</w:t>
      </w:r>
    </w:p>
    <w:bookmarkEnd w:id="101"/>
    <w:bookmarkStart w:id="102"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[104].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[104].</w:t>
      </w:r>
    </w:p>
    <w:p>
      <w:pPr>
        <w:pStyle w:val="BodyText"/>
      </w:pPr>
      <w:r>
        <w:t xml:space="preserve">Шотландские стандарты интересны как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02"/>
    <w:bookmarkStart w:id="103"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[105]. Меню должны составляться заранее и соблюдаться, отражать религиозные, культурные и этнические потребности и мнения жителей и их объединений, пересматриваться диетологом; при этом прямо сказано,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если перед сном подаётся питательный перекус и группа жителей согласна, — до 16 часов. Жителям, желающим есть вне установленного времени, должны предоставляться подходящие альтернативные блюда и перекусы [105].</w:t>
      </w:r>
    </w:p>
    <w:p>
      <w:pPr>
        <w:pStyle w:val="BodyText"/>
      </w:pPr>
      <w:r>
        <w:t xml:space="preserve">Американская норма — наиболее точный зарубежный аналог российского понятия «вариативное меню»: она требует не выбора из двух блюд на каждый приём пищи, а гарантированной альтернативы «сходной пищевой ценности» по запросу. Это решает проблему соблюдения норм: альтернатива по определению эквивалентна основному блюду.</w:t>
      </w:r>
    </w:p>
    <w:bookmarkEnd w:id="103"/>
    <w:bookmarkStart w:id="104"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[106].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выбор перекусов днём и вечером.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[106].</w:t>
      </w:r>
    </w:p>
    <w:p>
      <w:pPr>
        <w:pStyle w:val="BodyText"/>
      </w:pPr>
      <w:r>
        <w:t xml:space="preserve">Онтарийская норма показывает, что выбор и цикличность совместимы: цикл в 21 день сам по себе предусматривает альтернативы на каждом приёме пищи. Она также показывает разграничение, которое в российском праве отсутствует: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bookmarkEnd w:id="104"/>
    <w:bookmarkStart w:id="105"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[107].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[107]. Австралийская система интересна как пример, где выбор в питании стал предметом государственного стандарта после серии исследований, показавших низкий уровень реального выбора [74].</w:t>
      </w:r>
    </w:p>
    <w:bookmarkEnd w:id="105"/>
    <w:bookmarkStart w:id="106"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 рекомендация профессионального общества, а не закон [108]. Он интересен для российской дискуссии тем, что описывает выбор не как принцип, а как набор проверяемых операционных требований:</w:t>
      </w:r>
    </w:p>
    <w:p>
      <w:pPr>
        <w:pStyle w:val="Compact"/>
        <w:numPr>
          <w:ilvl w:val="0"/>
          <w:numId w:val="1010"/>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[108]. На плане меню несколько линий должны быть представлены наглядно, а рекомендуемая — выделена (первой строкой, цветом или символом) [108];</w:t>
      </w:r>
    </w:p>
    <w:p>
      <w:pPr>
        <w:pStyle w:val="Compact"/>
        <w:numPr>
          <w:ilvl w:val="0"/>
          <w:numId w:val="1010"/>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[108];</w:t>
      </w:r>
    </w:p>
    <w:p>
      <w:pPr>
        <w:pStyle w:val="Compact"/>
        <w:numPr>
          <w:ilvl w:val="0"/>
          <w:numId w:val="1010"/>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[108]. В предыдущей версии второй редакции доклада для учреждений было указано «не менее четырёх недель»; по тексту стандарта это значение относится к доставке на дом (исправлено, см. Приложение В);</w:t>
      </w:r>
    </w:p>
    <w:p>
      <w:pPr>
        <w:pStyle w:val="Compact"/>
        <w:numPr>
          <w:ilvl w:val="0"/>
          <w:numId w:val="1010"/>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[108];</w:t>
      </w:r>
    </w:p>
    <w:p>
      <w:pPr>
        <w:pStyle w:val="Compact"/>
        <w:numPr>
          <w:ilvl w:val="0"/>
          <w:numId w:val="1010"/>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[108];</w:t>
      </w:r>
    </w:p>
    <w:p>
      <w:pPr>
        <w:pStyle w:val="Compact"/>
        <w:numPr>
          <w:ilvl w:val="0"/>
          <w:numId w:val="1010"/>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[108];</w:t>
      </w:r>
    </w:p>
    <w:p>
      <w:pPr>
        <w:pStyle w:val="Compact"/>
        <w:numPr>
          <w:ilvl w:val="0"/>
          <w:numId w:val="1010"/>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[108];</w:t>
      </w:r>
    </w:p>
    <w:p>
      <w:pPr>
        <w:pStyle w:val="Compact"/>
        <w:numPr>
          <w:ilvl w:val="0"/>
          <w:numId w:val="1010"/>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[108];</w:t>
      </w:r>
    </w:p>
    <w:p>
      <w:pPr>
        <w:pStyle w:val="Compact"/>
        <w:numPr>
          <w:ilvl w:val="0"/>
          <w:numId w:val="1010"/>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[108];</w:t>
      </w:r>
    </w:p>
    <w:p>
      <w:pPr>
        <w:pStyle w:val="Compact"/>
        <w:numPr>
          <w:ilvl w:val="0"/>
          <w:numId w:val="1010"/>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[108], то есть то же ограничение, что в п. 32 СанПиН 4282-26 [3].</w:t>
      </w:r>
    </w:p>
    <w:p>
      <w:pPr>
        <w:pStyle w:val="FirstParagraph"/>
      </w:pPr>
      <w:r>
        <w:t xml:space="preserve">Для российского учреждения из этого перечня наиболее переносимы четыре элемента (рекомендация): план меню с указанием основных компонентов и, где это нужно, с изображениями; пищевая биография при поступлении как основа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других вариантов. Последний приём — «подталкивание» (nudging) — стандарт DGE прямо рассматривает как альтернативу ограничению выбора [108].</w:t>
      </w:r>
    </w:p>
    <w:p>
      <w:pPr>
        <w:pStyle w:val="BodyText"/>
      </w:pPr>
      <w:r>
        <w:t xml:space="preserve">Австрийские стандарты качества питания в учреждениях ухода (2022) по аналогии рекомендуют учитывать предпочтения и избегать необоснованных ограничений рациона [109].</w:t>
      </w:r>
    </w:p>
    <w:bookmarkEnd w:id="106"/>
    <w:bookmarkStart w:id="107" w:name="Xd0ab6093744630a5e65ce6ff3bb0fc2b7982e9b"/>
    <w:p>
      <w:pPr>
        <w:pStyle w:val="Heading2"/>
      </w:pPr>
      <w:r>
        <w:rPr>
          <w:rStyle w:val="SectionNumber"/>
        </w:rPr>
        <w:t xml:space="preserve">6.8</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[110]. Их операционный слой состоит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 не более 11 часов; приёмы пищи должны быть многочисленными, небольшими, насыщенными энергией и белком и распределёнными по суткам [110]. Это ориентир, а не обязательная норма; его ценность для российского учреждения — в сопоставлении с американским пределом 14–16 часов и с рекомендацией постановления № 12 не допускать длительного перерыва между ужином и завтраком [28].</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только если съедена, «важнее, чтобы еда была вкусной и возбуждала аппетит, чем чтобы она точно соответствовала нормам питания» [110]. Этот тезис обращён к планированию рациона для групп с плохим аппетитом и не отменяет норм, но он задаёт иерархию, обратную российской практике контроля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похожа на домашнюю [110]. Это пример того, как «выбор» переведён в формулировки, пригодные для договора и проверки, причём первый критерий — субъективное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могут предлагать, каким должно быть меню и как сделать приём пищи спокойным [110].</w:t>
      </w:r>
    </w:p>
    <w:p>
      <w:pPr>
        <w:pStyle w:val="BodyText"/>
      </w:pPr>
      <w:r>
        <w:rPr>
          <w:b/>
          <w:bCs/>
        </w:rPr>
        <w:t xml:space="preserve">Базовое меню и закупка.</w:t>
      </w:r>
      <w:r>
        <w:t xml:space="preserve"> </w:t>
      </w:r>
      <w:r>
        <w:t xml:space="preserve">Первый из пяти шагов планирования — создать «базовое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[110]. Базовое меню служит одновременно для расчёта пищевой ценности на уровне группы, для учёта потребления, для внутренних расчётов и для закупки [110]. Второй шаг — готовить в объёме, который реально съедается, и строить систему заказа так, чтобы минимизировать отходы [110]. Эта конструкция отвечает на российский вопрос о совместимости выбора с нормами (п. 3.15) и с закупкой (п. 7.13): нормы проверяются по базовому меню на уровне группы, а выбор живёт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более длинное время подачи, больше вариантов, возможность выбрать соседей по столу; одновременно отмечается, что большинство жителей предпочитает стабильный круг сотрапезников и небольшие помещения, особенно люди со сниженным слухом и деменцией [110].</w:t>
      </w:r>
    </w:p>
    <w:bookmarkEnd w:id="107"/>
    <w:bookmarkStart w:id="108" w:name="X075230f8727df5dd6afc65a950c119f1082648d"/>
    <w:p>
      <w:pPr>
        <w:pStyle w:val="Heading2"/>
      </w:pPr>
      <w:r>
        <w:rPr>
          <w:rStyle w:val="SectionNumber"/>
        </w:rPr>
        <w:t xml:space="preserve">6.9</w:t>
      </w:r>
      <w:r>
        <w:tab/>
      </w:r>
      <w:r>
        <w:t xml:space="preserve">Дания: право отказаться от отдельного приёма пищи</w:t>
      </w:r>
    </w:p>
    <w:p>
      <w:pPr>
        <w:pStyle w:val="FirstParagraph"/>
      </w:pPr>
      <w:r>
        <w:t xml:space="preserve">Датская модель интересна тем, что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[111].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когда позволяет жителям дома престарелых отказываться от питания только целыми днями (с уведомлением до 12 часов предыдущего дня) и не позволяет отказываться от отдельных приёмов пищи [111].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[111].</w:t>
      </w:r>
    </w:p>
    <w:p>
      <w:pPr>
        <w:pStyle w:val="BodyText"/>
      </w:pPr>
      <w:r>
        <w:t xml:space="preserve">Это решение — пример выбора, понимаемого не как выбор блюда, а как право не участвовать в общем питании в конкретный приём. В российском праве ближайшая конструкция — отказ от социальной услуги (ст. 18 442-ФЗ) [21], но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приводится не как образец для заимствования: он показывает, что вопрос о выборе в питании в разных правопорядках может ставиться на уровне платы и договора, а не только меню.</w:t>
      </w:r>
    </w:p>
    <w:bookmarkEnd w:id="108"/>
    <w:bookmarkStart w:id="109" w:name="X516cbe5cf56d1ad5b032841e37269dca628e41a"/>
    <w:p>
      <w:pPr>
        <w:pStyle w:val="Heading2"/>
      </w:pPr>
      <w:r>
        <w:rPr>
          <w:rStyle w:val="SectionNumber"/>
        </w:rPr>
        <w:t xml:space="preserve">6.10</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[112]. Японский пример показывает путь финансового стимула за измерение и управление питанием.</w:t>
      </w:r>
    </w:p>
    <w:p>
      <w:pPr>
        <w:pStyle w:val="BodyText"/>
      </w:pPr>
      <w:r>
        <w:t xml:space="preserve">Второй японский механизм прямо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должна взиматься отдельно и чётко отделяться от обычной платы [113]. Критерии такого питания установлены приказом-уведомлением № 123 [114]:</w:t>
      </w:r>
    </w:p>
    <w:p>
      <w:pPr>
        <w:pStyle w:val="Compact"/>
        <w:numPr>
          <w:ilvl w:val="0"/>
          <w:numId w:val="1011"/>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11"/>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11"/>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11"/>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11"/>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11"/>
        </w:numPr>
      </w:pPr>
      <w:r>
        <w:t xml:space="preserve">договор заключается после ясного объяснения, что это дополнительная плата сверх обычной [114].</w:t>
      </w:r>
    </w:p>
    <w:p>
      <w:pPr>
        <w:pStyle w:val="FirstParagraph"/>
      </w:pPr>
      <w:r>
        <w:t xml:space="preserve">Японская конструкция разделяет два вопроса, которые в российской дискуссии часто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Для российского учреждения прямой аналогии нет: питание в стационарной форме входит в социальную услугу, оплачиваемую в пределах 75 % среднедушевого дохода получателя (ч. 4 ст. 32 442-ФЗ) [21], а платные услуги сверх стандарта требуют отдельного правового основания (толкование). Ценен перечень гарантий: запрет ухудшения базового меню, информирование, согласие, медицинский фильтр и публичная цена.</w:t>
      </w:r>
    </w:p>
    <w:bookmarkEnd w:id="109"/>
    <w:bookmarkStart w:id="110" w:name="сводная-таблица-2"/>
    <w:p>
      <w:pPr>
        <w:pStyle w:val="Heading2"/>
      </w:pPr>
      <w:r>
        <w:rPr>
          <w:rStyle w:val="SectionNumber"/>
        </w:rPr>
        <w:t xml:space="preserve">6.11</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[103]</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[104]</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[105]</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[106]</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[107]</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[108]</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[110]</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[111]</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[112]; приказы-уведомления № 419 и № 123 [113, 114]</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10"/>
    <w:bookmarkStart w:id="111" w:name="выводы-для-российской-дискуссии"/>
    <w:p>
      <w:pPr>
        <w:pStyle w:val="Heading2"/>
      </w:pPr>
      <w:r>
        <w:rPr>
          <w:rStyle w:val="SectionNumber"/>
        </w:rPr>
        <w:t xml:space="preserve">6.12</w:t>
      </w:r>
      <w:r>
        <w:tab/>
      </w:r>
      <w:r>
        <w:t xml:space="preserve">Выводы для российской дискуссии</w:t>
      </w:r>
    </w:p>
    <w:p>
      <w:pPr>
        <w:pStyle w:val="FirstParagraph"/>
      </w:pPr>
      <w:r>
        <w:t xml:space="preserve">Ни одна из рассмотренных систем, кроме Онтарио, не требует выбора на каждом приёме пищи; онтарийская норма при этом не фиксирует число вариантов.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а питание измеряется и оплачивается как управляемый процесс (Япония). Расширенный обзор этой редакции добавляет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проверяются нормы на уровне группы, с вариантами внутри него (Швеция); и критерии влияния жителя на приём пищи, сформулированные для договора и проверки, где первым стоит субъективное ощущение самого жителя (Швеция). Датский и японский примеры показывают другой уровень вопроса — плату: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11"/>
    <w:bookmarkEnd w:id="112"/>
    <w:bookmarkStart w:id="131"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13"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ниже описывают решения, которые учреждение может принять самостоятельно в рамках действующих норм. Каждый сценарий завершается указанием класса: что в нём норма, что толкование, что рекомендация. Числовые примеры — иллюстративная арифметика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Клинические решения (диеты, консистенции, назначения) в сценариях не рассматриваются: там, где они возникают, указано, что решение принимает врач.</w:t>
      </w:r>
    </w:p>
    <w:bookmarkEnd w:id="113"/>
    <w:bookmarkStart w:id="114"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мясо (говядина, свинина) — 90 г нетто, рыба — 41,8 г нетто, птица — 40 г нетто [30]. Норма суточная; учреждения, как правило, контролируют её выполнение по среднему за период (неделя, декада, месяц) через накопительную ведомость. Способ контроля в постановлении не определён (п. 3.15).</w:t>
      </w:r>
    </w:p>
    <w:p>
      <w:pPr>
        <w:pStyle w:val="BodyText"/>
      </w:pPr>
      <w:r>
        <w:rPr>
          <w:b/>
          <w:bCs/>
        </w:rPr>
        <w:t xml:space="preserve">Иллюстрация.</w:t>
      </w:r>
      <w:r>
        <w:t xml:space="preserve"> </w:t>
      </w:r>
      <w:r>
        <w:t xml:space="preserve">Учреждение на 100 жителей. Недельная потребность по норме: мясо 90 × 7 × 100 = 63,0 кг нетто, рыба 41,8 × 7 × 100 = 29,26 кг нетто. Предположим, в базовом меню на обед все три дня подаётся мясное второе с закладкой 75 г нетто мяса на порцию. Вводится альтернатива —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расход рыбы увеличится на 0,4 × 100 × 94 г × 3 ≈ 11,3 кг. Итог недели: мясо 54,0 кг (85,7 % нормы), рыба 40,5 кг (138,6 % нормы).</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39 %. Если проверяющий сверяет выполнение норм по группам, расхождение будет замечено. Есть три способа его снять:</w:t>
      </w:r>
    </w:p>
    <w:p>
      <w:pPr>
        <w:pStyle w:val="Compact"/>
        <w:numPr>
          <w:ilvl w:val="0"/>
          <w:numId w:val="1012"/>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в накопительной ведомости показывать пересчёт заменённых количеств в базовый продукт.</w:t>
      </w:r>
    </w:p>
    <w:p>
      <w:pPr>
        <w:pStyle w:val="Compact"/>
        <w:numPr>
          <w:ilvl w:val="0"/>
          <w:numId w:val="1012"/>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12"/>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для взрослых её применение — решение учреждения. Ближайший федеральный документ для взрослых — приложения № 7 и № 8 к рекомендациям, утверждённым постановлением № 12 [28]. Ссылку на источник таблицы следует указать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14"/>
    <w:bookmarkStart w:id="115"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который вообще не требует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Группа № 1284</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[12]</w:t>
            </w:r>
          </w:p>
        </w:tc>
      </w:tr>
      <w:tr>
        <w:tc>
          <w:tcPr/>
          <w:p>
            <w:pPr>
              <w:pStyle w:val="Compact"/>
            </w:pPr>
            <w:r>
              <w:t xml:space="preserve">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(все виды, включая консервированные и зелень)</w:t>
            </w:r>
          </w:p>
        </w:tc>
        <w:tc>
          <w:tcPr/>
          <w:p>
            <w:pPr>
              <w:pStyle w:val="Compact"/>
            </w:pPr>
            <w:r>
              <w:t xml:space="preserve">Винегрет / салат из свёклы / салат из свежих овощей</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[12] — между группами: печень в постановлении № 1284 не входит в группу «говядина, свинина». Для неё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 технологический поток. Два варианта из одной заготовки (котлета и тефтели из одного фарша) не требуют дополнительной плиты и дополнительной закупки;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15"/>
    <w:bookmarkStart w:id="116"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кухня готовит под известные объёмы. Так устроена петербургская практика, описанная Комитетом по социальной политике [18]. При выборе в момент еды (М2) житель выбирает на линии раздачи; кухня готовит под прогноз. Так устроены новосибирские и усть-илимская практики [5, 7, 12].</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[73]. По Wheeler и соавт., переход к выбору в момент еды увеличил производственные отходы с 55 до 90 г на жителя в день [71].</w:t>
      </w:r>
    </w:p>
    <w:p>
      <w:pPr>
        <w:pStyle w:val="BodyText"/>
      </w:pPr>
      <w:r>
        <w:rPr>
          <w:b/>
          <w:bCs/>
        </w:rPr>
        <w:t xml:space="preserve">Санитарное ограничение.</w:t>
      </w:r>
      <w:r>
        <w:t xml:space="preserve"> </w:t>
      </w:r>
      <w:r>
        <w:t xml:space="preserve">СанПиН 4282-26 не допускает реализации готовых блюд на следующий день и замораживания нереализованных блюд (п. 32) [3]. Всё, что приготовлено под прогноз и не роздано, становится отходом. Поэтому выбор в момент еды требует прогнозирования объёмов.</w:t>
      </w:r>
    </w:p>
    <w:p>
      <w:pPr>
        <w:pStyle w:val="BodyText"/>
      </w:pPr>
      <w:r>
        <w:rPr>
          <w:b/>
          <w:bCs/>
        </w:rPr>
        <w:t xml:space="preserve">Иллюстрация прогноза.</w:t>
      </w:r>
      <w:r>
        <w:t xml:space="preserve"> </w:t>
      </w:r>
      <w:r>
        <w:t xml:space="preserve">Старт — 50/50 с небольшим резервом на каждый вариант. Каждый день фиксируется фактическое распределение выбора и число жителей, которым не хватило выбранного варианта. Через две-три недели пропорции корректируются по статистике. Индикатор качества прогноза — доля жителей, не получивших выбранный вариант; она должна стремиться к нулю. Индикатор потерь — масса нерозданных порций.</w:t>
      </w:r>
    </w:p>
    <w:p>
      <w:pPr>
        <w:pStyle w:val="BodyText"/>
      </w:pPr>
      <w:r>
        <w:rPr>
          <w:b/>
          <w:bCs/>
        </w:rPr>
        <w:t xml:space="preserve">Компромисс.</w:t>
      </w:r>
      <w:r>
        <w:t xml:space="preserve"> </w:t>
      </w:r>
      <w:r>
        <w:t xml:space="preserve">Заказ накануне для маломобильных жителей, получающих пищу в комнатах (именно так это сделано в правилах внутреннего распорядка ДСО «Серафимовский» [25]), и выбор в момент еды в столовой.</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16"/>
    <w:bookmarkStart w:id="117"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то санитары или младшие медицинские сёстры, которые порционируют второй вариант, должны иметь раздачу в должностных обязанностях и пройти гигиеническую подготовку. Это частая скрытая проблема: при едином меню в отделение привозят готовые порции, а при выборе персонал отделения начинает порционировать.</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Два рабочих решения: лист заказа накануне (сценарий 3) или подача на подносе обоих вариантов малыми порциями с последующим выбором — второе требует решения вопроса об остатке. Доклад «Не просто накормить» формулирует правило «два варианта на подносе, а не вторая линия в коридоре» [19] — это рекомендация.</w:t>
      </w:r>
    </w:p>
    <w:p>
      <w:pPr>
        <w:pStyle w:val="BodyText"/>
      </w:pPr>
      <w:r>
        <w:rPr>
          <w:b/>
          <w:bCs/>
        </w:rPr>
        <w:t xml:space="preserve">Время.</w:t>
      </w:r>
      <w:r>
        <w:t xml:space="preserve"> </w:t>
      </w:r>
      <w:r>
        <w:t xml:space="preserve">Если выбор в момент еды увеличивает время раздачи, нужно проверить, укладывается ли последняя порция в три часа с момента изготовления; при необходимости —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17"/>
    <w:bookmarkStart w:id="118"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которое предлагается на выбор, — самостоятельный объект санитарного контроля. Для каждого варианта учреждение должно иметь:</w:t>
      </w:r>
    </w:p>
    <w:p>
      <w:pPr>
        <w:pStyle w:val="Compact"/>
        <w:numPr>
          <w:ilvl w:val="0"/>
          <w:numId w:val="1013"/>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13"/>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13"/>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варианта (рекомендация): при пищевом отравлении отсутствие пробы одного из вариантов сделает невозможным установление источника;</w:t>
      </w:r>
    </w:p>
    <w:p>
      <w:pPr>
        <w:pStyle w:val="Compact"/>
        <w:numPr>
          <w:ilvl w:val="0"/>
          <w:numId w:val="1013"/>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18"/>
    <w:bookmarkStart w:id="119"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учреждение — по 223-ФЗ и своему положению о закупке, за исключением случаев, когда закупка финансируется субсидией на капитальные вложения (ч. 4 ст. 15 44-ФЗ) [48, 49].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[53].</w:t>
      </w:r>
    </w:p>
    <w:p>
      <w:pPr>
        <w:pStyle w:val="BodyText"/>
      </w:pPr>
      <w:r>
        <w:rPr>
          <w:b/>
          <w:bCs/>
        </w:rPr>
        <w:t xml:space="preserve">Проблема выбора в контракте.</w:t>
      </w:r>
      <w:r>
        <w:t xml:space="preserve"> </w:t>
      </w:r>
      <w:r>
        <w:t xml:space="preserve">При выборе объёмы отдельных продуктов колеблются: если 40 % жителей выбирают рыбу, рыбы нужно больше, мяса меньше (сценарий 1). Контракт с жёстко зафиксированными количествами по позициям этого не выдерживает.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[48].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[48]. Для вариативного меню удобнее первый инструмент: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[49]. Автономное учреждение может предусмотреть рамочные договоры с ценой единицы и заявочной поставкой. Это делает 223-ФЗ более гибким контуром для выбора, но гибкость определяется текстом положения, а не законом.</w:t>
      </w:r>
    </w:p>
    <w:p>
      <w:pPr>
        <w:pStyle w:val="BodyText"/>
      </w:pPr>
      <w:r>
        <w:rPr>
          <w:b/>
          <w:bCs/>
        </w:rPr>
        <w:t xml:space="preserve">Спецификация.</w:t>
      </w:r>
      <w:r>
        <w:t xml:space="preserve"> </w:t>
      </w:r>
      <w:r>
        <w:t xml:space="preserve">Для обоих контуров выбор живёт в спецификации: группы взаимозаменяемых продуктов, пропорции по статистике выбора, допустимые замены. Избыточная детализация (конкретная торговая марка, необоснованные характеристики) может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организатору питания, выбор существует только тогда, когда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[19]. Ответственность за суточные пробы, бракераж и учёт жителей с нарушениями глотания поставщику не передаётся (рекомендация).</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19"/>
    <w:bookmarkStart w:id="120"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Для вариативного меню разумно иметь до начала пилота следующий комплект (рекомендация):</w:t>
      </w:r>
    </w:p>
    <w:p>
      <w:pPr>
        <w:pStyle w:val="Compact"/>
        <w:numPr>
          <w:ilvl w:val="0"/>
          <w:numId w:val="1014"/>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Пример локальной формы — правила внутреннего распорядка ДСО «Серафимовский», утверждённые приказом № 124 [25]; это не образец для обязательного применения.</w:t>
      </w:r>
    </w:p>
    <w:p>
      <w:pPr>
        <w:pStyle w:val="Compact"/>
        <w:numPr>
          <w:ilvl w:val="0"/>
          <w:numId w:val="1014"/>
        </w:numPr>
      </w:pPr>
      <w:r>
        <w:t xml:space="preserve">Утверждённое цикличное меню с указанием вариантов.</w:t>
      </w:r>
    </w:p>
    <w:p>
      <w:pPr>
        <w:pStyle w:val="Compact"/>
        <w:numPr>
          <w:ilvl w:val="0"/>
          <w:numId w:val="1014"/>
        </w:numPr>
      </w:pPr>
      <w:r>
        <w:t xml:space="preserve">Таблица замен с указанием источника и расчёт выполнения норм за период с учётом замен.</w:t>
      </w:r>
    </w:p>
    <w:p>
      <w:pPr>
        <w:pStyle w:val="Compact"/>
        <w:numPr>
          <w:ilvl w:val="0"/>
          <w:numId w:val="1014"/>
        </w:numPr>
      </w:pPr>
      <w:r>
        <w:t xml:space="preserve">Технологические документы на каждый вариант.</w:t>
      </w:r>
    </w:p>
    <w:p>
      <w:pPr>
        <w:pStyle w:val="Compact"/>
        <w:numPr>
          <w:ilvl w:val="0"/>
          <w:numId w:val="1014"/>
        </w:numPr>
      </w:pPr>
      <w:r>
        <w:t xml:space="preserve">Журналы бракеража и суточных проб с записями по каждому варианту.</w:t>
      </w:r>
    </w:p>
    <w:p>
      <w:pPr>
        <w:pStyle w:val="Compact"/>
        <w:numPr>
          <w:ilvl w:val="0"/>
          <w:numId w:val="1014"/>
        </w:numPr>
      </w:pPr>
      <w:r>
        <w:t xml:space="preserve">Учёт выбора: лист заказа (при заказе накануне) или ежедневная статистика распределения выбора.</w:t>
      </w:r>
    </w:p>
    <w:p>
      <w:pPr>
        <w:pStyle w:val="Compact"/>
        <w:numPr>
          <w:ilvl w:val="0"/>
          <w:numId w:val="1014"/>
        </w:numPr>
      </w:pPr>
      <w:r>
        <w:t xml:space="preserve">Протоколы совета (комиссии) по питанию, если такой создан.</w:t>
      </w:r>
    </w:p>
    <w:p>
      <w:pPr>
        <w:pStyle w:val="Compact"/>
        <w:numPr>
          <w:ilvl w:val="0"/>
          <w:numId w:val="1014"/>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и ответы. «Почему подают не по меню?» — Варианты включены в утверждённое меню. «Где выполнение норм?» — Накопительная ведомость с пересчётом замен.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а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20"/>
    <w:bookmarkStart w:id="121"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4.10). Зарубежные данные: в исследовании Wheeler и соавт. стоимость выросла с 9,20–11,14 до 11,01–12,15 австралийского доллара на жителя в день, производственные отходы — с 55 до 90 г [71]. Средняя стоимость кейтеринга в австралийских учреждениях — 8,00 доллара в день, из них сырьё — 6,08 доллара [102].</w:t>
      </w:r>
    </w:p>
    <w:p>
      <w:pPr>
        <w:pStyle w:val="BodyText"/>
      </w:pPr>
      <w:r>
        <w:rPr>
          <w:b/>
          <w:bCs/>
        </w:rPr>
        <w:t xml:space="preserve">Где возникают затраты (толкование).</w:t>
      </w:r>
      <w:r>
        <w:t xml:space="preserve"> </w:t>
      </w:r>
      <w:r>
        <w:t xml:space="preserve">Сырьё при парах внутри группы перераспределяется, а не растёт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[18].</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стоит проверить собственным замером [71].</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 581,33 руб. в день (кроме ПНИ и ДСО) и 574,43 руб. в день (ПНИ и ДСО) [64]. Если допустить, что организация выбора увеличит расходы на питание на 10–20 % — допущение, близкое к результату Wheeler и соавт. [71], —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4.10) показывают, что стартовый формат вводился и без публично названных дополнительных расходов. Для сравнения порядка величин: годовой рост тарифа ПНИ и ДСО с 2025 по 2026 г. составил 2,80 руб. в день (571,63 → 574,43) [63, 64], то есть допущенный прирост в 20–40 раз больше годовой индексации. Арифметика показывает лишь, почему полный переход крупного учреждения — вопрос учредителя, а не только кухни.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Как измерять.</w:t>
      </w:r>
      <w:r>
        <w:t xml:space="preserve"> </w:t>
      </w:r>
      <w:r>
        <w:t xml:space="preserve">Минимальная система учёта, доступная любому учреждению (рекомендация):</w:t>
      </w:r>
    </w:p>
    <w:p>
      <w:pPr>
        <w:pStyle w:val="Compact"/>
        <w:numPr>
          <w:ilvl w:val="0"/>
          <w:numId w:val="1015"/>
        </w:numPr>
      </w:pPr>
      <w:r>
        <w:t xml:space="preserve">отходы с тарелки — визуальная оценка по шкале «съедено всё / ¾ / ½ / ¼ / ничего» по выборке жителей или взвешивание остатков в течение 7 дней до запуска и 7 дней через месяц после;</w:t>
      </w:r>
    </w:p>
    <w:p>
      <w:pPr>
        <w:pStyle w:val="Compact"/>
        <w:numPr>
          <w:ilvl w:val="0"/>
          <w:numId w:val="1015"/>
        </w:numPr>
      </w:pPr>
      <w:r>
        <w:t xml:space="preserve">производственные отходы — масса нерозданных порций по каждому варианту ежедневно;</w:t>
      </w:r>
    </w:p>
    <w:p>
      <w:pPr>
        <w:pStyle w:val="Compact"/>
        <w:numPr>
          <w:ilvl w:val="0"/>
          <w:numId w:val="1015"/>
        </w:numPr>
      </w:pPr>
      <w:r>
        <w:t xml:space="preserve">распределение выбора — ежедневно;</w:t>
      </w:r>
    </w:p>
    <w:p>
      <w:pPr>
        <w:pStyle w:val="Compact"/>
        <w:numPr>
          <w:ilvl w:val="0"/>
          <w:numId w:val="1015"/>
        </w:numPr>
      </w:pPr>
      <w:r>
        <w:t xml:space="preserve">стоимость — фактические расходы на продукты на одного жителя в день за месяц до и месяц после.</w:t>
      </w:r>
    </w:p>
    <w:bookmarkEnd w:id="121"/>
    <w:bookmarkStart w:id="122"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w:t>
      </w:r>
      <w:r>
        <w:t xml:space="preserve"> </w:t>
      </w:r>
      <w:r>
        <w:t xml:space="preserve">Доклад «Не просто накормить» предлагает пилот на одном отделении (20–35 жителей), в одном приёме пищи (обычно обед), 2–3 дня в неделю, с заказом накануне на старте [19]:</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Дни</w:t>
            </w:r>
          </w:p>
        </w:tc>
        <w:tc>
          <w:tcPr/>
          <w:p>
            <w:pPr>
              <w:pStyle w:val="Compact"/>
            </w:pPr>
            <w:r>
              <w:t xml:space="preserve">Действия</w:t>
            </w:r>
          </w:p>
        </w:tc>
      </w:tr>
      <w:tr>
        <w:tc>
          <w:tcPr/>
          <w:p>
            <w:pPr>
              <w:pStyle w:val="Compact"/>
            </w:pPr>
            <w:r>
              <w:t xml:space="preserve">1–14</w:t>
            </w:r>
          </w:p>
        </w:tc>
        <w:tc>
          <w:tcPr/>
          <w:p>
            <w:pPr>
              <w:pStyle w:val="Compact"/>
            </w:pPr>
            <w:r>
              <w:t xml:space="preserve">Приказ о пилоте; замер «до» (отходы, распределение предпочтений по опросу); инструктаж персонала; уведомление учредителя; при аутсорсинге — сверка контракта</w:t>
            </w:r>
          </w:p>
        </w:tc>
      </w:tr>
      <w:tr>
        <w:tc>
          <w:tcPr/>
          <w:p>
            <w:pPr>
              <w:pStyle w:val="Compact"/>
            </w:pPr>
            <w:r>
              <w:t xml:space="preserve">15–75</w:t>
            </w:r>
          </w:p>
        </w:tc>
        <w:tc>
          <w:tcPr/>
          <w:p>
            <w:pPr>
              <w:pStyle w:val="Compact"/>
            </w:pPr>
            <w:r>
              <w:t xml:space="preserve">Два варианта второго блюда 2–3 дня в неделю; журналы с первого дня; еженедельный разбор</w:t>
            </w:r>
          </w:p>
        </w:tc>
      </w:tr>
      <w:tr>
        <w:tc>
          <w:tcPr/>
          <w:p>
            <w:pPr>
              <w:pStyle w:val="Compact"/>
            </w:pPr>
            <w:r>
              <w:t xml:space="preserve">76–90</w:t>
            </w:r>
          </w:p>
        </w:tc>
        <w:tc>
          <w:tcPr/>
          <w:p>
            <w:pPr>
              <w:pStyle w:val="Compact"/>
            </w:pPr>
            <w:r>
              <w:t xml:space="preserve">Сводка показателей; обсуждение с жителями; решение: расширить, закрепить или свернуть с указанием причин</w:t>
            </w:r>
          </w:p>
        </w:tc>
      </w:tr>
    </w:tbl>
    <w:p>
      <w:pPr>
        <w:pStyle w:val="BodyText"/>
      </w:pPr>
      <w:r>
        <w:rPr>
          <w:b/>
          <w:bCs/>
        </w:rPr>
        <w:t xml:space="preserve">Что доказывает пилот.</w:t>
      </w:r>
      <w:r>
        <w:t xml:space="preserve"> </w:t>
      </w:r>
      <w:r>
        <w:t xml:space="preserve">Исполнимость и безопасность в конкретном учреждении, но не эффект выбора на пищевой статус: для этого нет контрольной группы и мало времени. Возможные систематические ошибки: эффект наблюдения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[20]; доклад «Не просто накормить» сжимает старт до 90 дней на одном отделении [19]. Это разные масштабы задачи (перестройка всего дома против пилота), а не ошибка одной из работ.</w:t>
      </w:r>
    </w:p>
    <w:bookmarkEnd w:id="122"/>
    <w:bookmarkStart w:id="123"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[74].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[19]. В самом докладе есть внутреннее противоречие о порядке этих каналов: в одном месте приоритет отдан зафиксированной биографии, в другом — текущему выраженному предпочтению [19, 20]. Автор не снимает его в этой редакции: решение требует этической и правовой проработки, в том числе с учётом дееспособности и роли законного представителя.</w:t>
      </w:r>
    </w:p>
    <w:p>
      <w:pPr>
        <w:pStyle w:val="BodyText"/>
      </w:pPr>
      <w:r>
        <w:rPr>
          <w:b/>
          <w:bCs/>
        </w:rPr>
        <w:t xml:space="preserve">Отказ от еды.</w:t>
      </w:r>
      <w:r>
        <w:t xml:space="preserve"> </w:t>
      </w:r>
      <w:r>
        <w:t xml:space="preserve">Доклад «Не просто накормить» предлагает проект правила: каждый отказ фиксируется; в тот же приём предлагается альтернатива; три отказа подряд — осмотр врача в тот же день; системный недоед (не менее 25 % порции в течение недели) — врач и пересмотр плана; отказ от воды — немедленно [19]. Это проект локального правила, а не норма российского права; клиническая часть — компетенция врача. Наличие альтернативы в вариативном меню облегчает второй шаг правила.</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[23].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[24]. Организационно это означает три вопроса, на которые учреждение должно иметь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позволяет реализовать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только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[28]. Зарубежные ориентиры: не более 14 часов (16 часов при перекусе) в США [105], не более 11 часов в шведских рекомендациях [110]. Доклад «Не просто накормить» использует рабочий ориентир не более 13 часов [19] — это ориентир, а не норма. Выбор блюда не компенсирует долгого ночного перерыва; если ужин подаётся в 17:30, а завтрак в 8:30, интервал составляет 15 часов, и это проблема организации режима, а не меню.</w:t>
      </w:r>
    </w:p>
    <w:bookmarkEnd w:id="123"/>
    <w:bookmarkStart w:id="124"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одном дне, как учреждение (кроме ПНИ,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 по постановлению № 1284 [30],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41,8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В пересчёте на базовый продукт 2,91 кг птицы эквивалентны 2,91 / 0,97 = 3,0 кг говядины, и «мясо с учётом замен» составляет 6,0 + 3,0 = 9,0 кг — ровно план дня (100 × 90 г). Именно эту строку — фактическое количество, эквивалент по таблице и итог с учётом замен — учреждение должно показывать в ведомости, если локальным актом принят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в практике пара гарниров «картофель или каша» таблицей не покрывается. У учреждения три варианта: оставить гарнирную пару внутри группы (пюре или отварной картофель; рис или гречка — именно так устроен выбор гарнира в Усть-Илимске [12]); рассчитать эквивалентность по химическому составу в технологических картах и закрепить расчёт локальным актом; или учитывать гарнирные группы раздельно и выравнивать их в остальные дни недели (сценарий 1, способ 2). Первый вариант проще всего защитить при проверке (толкование).</w:t>
      </w:r>
    </w:p>
    <w:p>
      <w:pPr>
        <w:pStyle w:val="BodyText"/>
      </w:pPr>
      <w:r>
        <w:rPr>
          <w:b/>
          <w:bCs/>
        </w:rPr>
        <w:t xml:space="preserve">Неделя, а не день.</w:t>
      </w:r>
      <w:r>
        <w:t xml:space="preserve"> </w:t>
      </w:r>
      <w:r>
        <w:t xml:space="preserve">Однодневная проверка для вариативного меню бессмысленна: в день без птицы в плане любой выбор птицы — «перерасход». Контроль ведётся по накопительной ведомости за неделю или декаду (п. 3.15). Если учреждение хочет, чтобы недельная ведомость сходилась без пересчёта, пары между группами (мясо — птица) должны чередоваться с днями, где птица и так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24"/>
    <w:bookmarkStart w:id="125"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[49]. Закупка продуктов для питания проживающих — закупка для оказания услуги конкретным получателям, то есть для нужд самого учреждения; по логике постановления АС Дальневосточного округа № Ф03-3556/25 она остаётся в контуре 223-ФЗ (толкование; текст определения ВС № 303-ЭС25-15393 не проверен) [51, 52].</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 норма × число жителей × число дней. Для 100 жителей на 91 день: мясо 90 г × 100 × 91 = 819 кг нетто, рыба 41,8 г × 100 × 91 ≈ 380 кг нетто (иллюстративная арифметика по нормам № 1284 [30]). Если поставщик продаёт брутто, объём закупки пересчитывается учреждением по его собственным коэффициентам отходов; для иллюстрации по коэффициентам ленинградского приказа (мясо 0,705, рыба 0,550 [40]) это около 1 162 кг мяса и 692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рыбы — увеличится примерно на 147 кг (+38,6 %) (иллюстративная арифметика: 13 × 9,0 кг и 13 × 11,3 кг). Сдвиг такого масштаба не помещается в 10-процентный коридор изменения количества, которым оперирует 44-ФЗ (подп. «б» п. 1 ч. 1 ст. 95) [48], и это главный аргумент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Рациональная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группе № 1284 [30]), и устанавливаются цена единицы и максимальная сумма договора;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Шведские национальные рекомендации предлагают ту же логику: «базовое меню» с несколькими блюдами на выбор служит одновременно основой расчёта пищевой ценности на уровне группы и основой закупки [110].</w:t>
      </w:r>
    </w:p>
    <w:p>
      <w:pPr>
        <w:pStyle w:val="BodyText"/>
      </w:pPr>
      <w:r>
        <w:rPr>
          <w:b/>
          <w:bCs/>
        </w:rPr>
        <w:t xml:space="preserve">Шаг 4. Что записать в положение о закупке.</w:t>
      </w:r>
      <w:r>
        <w:t xml:space="preserve"> </w:t>
      </w:r>
      <w:r>
        <w:t xml:space="preserve">Возможность рамочного договора с ценой единицы и заявочной поставкой; порядок изменения количества по отдельным позициям в пределах цены договора; основание для закупки у единственного поставщика при срыве поставки (если положение это допускает). Без этих пунктов гибкость 223-ФЗ остаётся теоретической: она определяется текстом положения, а не законом [49].</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[57, 58]. Связь между размером лота и риском сговора — толкование, но дробление лотов по группам продуктов одновременно служит и вариативному меню, и конкуренции. Обратный риск — искусственное дробление для ухода от конкурентных процедур; критерии допустимого дробления устанавливает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25"/>
    <w:bookmarkStart w:id="126"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[42]. Ниже показано, какое изменение вносит в каждое звено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[42]</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технологические документы на каждый вариант (п. 11), бракераж (подп. 13 п. 56), время с момента изготовления до раздачи (п. 32), отсутствие реализации остатков (п. 32) [3]. Орган регионального контроля в сфере социального обслуживания: выполнение норм питания по ведомости, условия для соблюдения поста (подп. 15 п. 20 Правил, утверждённых приказом № 305н) [24], соответствие организации питания порядку предоставления услуг. Учредитель: обоснование расхода продуктов и закупок.</w:t>
      </w:r>
    </w:p>
    <w:p>
      <w:pPr>
        <w:pStyle w:val="BodyText"/>
      </w:pPr>
      <w:r>
        <w:rPr>
          <w:b/>
          <w:bCs/>
        </w:rPr>
        <w:t xml:space="preserve">Открытый вопрос для автора и РГ.</w:t>
      </w:r>
      <w:r>
        <w:t xml:space="preserve"> </w:t>
      </w:r>
      <w:r>
        <w:t xml:space="preserve">Отбирать ли суточную пробу каждого варианта на собственном пищеблоке организации социального обслуживания, при том что прямой нормы об этом для таких организаций в разделе VII СанПиН 4282-26 нет (п. 2.7, сценарий 5), — оставлено открытым по решению автора. Нижегородское положение отвечает на него положительно для единого меню («от каждой партии… отдельно каждое блюдо») [42];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26"/>
    <w:bookmarkStart w:id="127"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 в стандарте DGE [108]. Порционирование в отделении допускается только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[42].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 35–42 минуты на жителя за приём пищи против 5–9 минут при обычном уходе; перекус между приёмами — 12–13 минут [98–101].</w:t>
      </w:r>
    </w:p>
    <w:p>
      <w:pPr>
        <w:pStyle w:val="BodyText"/>
      </w:pPr>
      <w:r>
        <w:rPr>
          <w:b/>
          <w:bCs/>
        </w:rPr>
        <w:t xml:space="preserve">Иллюстрация (условное отделение на 60 жителей).</w:t>
      </w:r>
      <w:r>
        <w:t xml:space="preserve"> </w:t>
      </w:r>
      <w:r>
        <w:t xml:space="preserve">40 жителей едят самостоятельно и подходят к линии; 14 нуждаются в подсказке и присутствии сотрудника; 6 нуждаются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может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[98–101]). В трёхчасовое окно п. 32 при этом укладываются 4–5 сотрудников, занятых только помощью при еде (иллюстративная арифметика: 700–840 мин / 180 мин). Это не норматив, а проверка реализма: если у отделения нет такого ресурса, выбор для этих 20 жителей сведётся к выбору, сделанному за них.</w:t>
      </w:r>
    </w:p>
    <w:p>
      <w:pPr>
        <w:pStyle w:val="BodyText"/>
      </w:pPr>
      <w:r>
        <w:rPr>
          <w:b/>
          <w:bCs/>
        </w:rPr>
        <w:t xml:space="preserve">Решения, вытекающие из расчёта (рекомендация).</w:t>
      </w:r>
      <w:r>
        <w:t xml:space="preserve"> </w:t>
      </w:r>
      <w:r>
        <w:t xml:space="preserve">Разделить приём пищи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переносить в момент, когда на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[99, 101]. Штатные нормативы российских учреждений в докладе не анализировались; расчёт показывает лишь, что вопрос о выборе для зависимых жителей — кадровый, а не кулинарный.</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27"/>
    <w:bookmarkStart w:id="128"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Почему это отдельный сценарий.</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[79]; в австралийских — выбор был особенно низок у жителей на протёртой пище [74]. Для ПНИ и ДСО, где значительная часть жителей не говорит или говорит с трудом, это не периферийный вопрос.</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различаясь порядком:</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[108]; лондонские дома — сбор предпочтений при поступлении [79]; доклад «Не просто накормить» [19]</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[19]</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[19]; учёт возвратов по DGE [108]</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[19]</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[110]</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источник сведений и дата (биография — родственник, 03.2026); наблюдение (за 10 обедов с показом двух вариантов — выбор рыбного блюда 7 раз, отказ от второго блюда 1 раз); вывод на ближайший месяц; дата пересмотра. Карта прикладывается к документам индивидуальной программы предоставления социальных услуг (ст. 16 442-ФЗ) [21] как сведения о предпочтениях, а не как медицинское назначение; если у жителя есть назначения врача, карта действует только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[114]. Наблюдаемый отказ (отталкивание порции, закрытый рот) — тоже выражение предпочтения; его фиксация обязательна по правилу об отказах (сценарий 10), а реакция определяется врачом.</w:t>
      </w:r>
    </w:p>
    <w:p>
      <w:pPr>
        <w:pStyle w:val="BodyText"/>
      </w:pPr>
      <w:r>
        <w:rPr>
          <w:b/>
          <w:bCs/>
        </w:rPr>
        <w:t xml:space="preserve">Открытые вопросы для автора и РГ.</w:t>
      </w:r>
      <w:r>
        <w:t xml:space="preserve"> </w:t>
      </w:r>
      <w:r>
        <w:t xml:space="preserve">По решению автора остаются открытыми и явно помеченными: (1) кто принимает решение о выборе за жителя, который не может выразить предпочтение, — сотрудник по карте, законный представитель или комиссия, и как это соотносится с дееспособностью и ролью опекуна; (2) как формулировать в локальных актах пределы вмешательства при отказе от еды, чтобы исключить и оставление без помощи, и кормление против воли. В докладе «Не просто накормить» по первому вопросу содержится внутреннее противоречие о приоритете биографии и текущего предпочтения (сценарий 10) [19]; оно не снимается и здесь.</w:t>
      </w:r>
    </w:p>
    <w:p>
      <w:pPr>
        <w:pStyle w:val="BodyText"/>
      </w:pPr>
      <w:r>
        <w:rPr>
          <w:b/>
          <w:bCs/>
        </w:rPr>
        <w:t xml:space="preserve">Классы.</w:t>
      </w:r>
      <w:r>
        <w:t xml:space="preserve"> </w:t>
      </w:r>
      <w:r>
        <w:t xml:space="preserve">Норма — ст. 16 442-ФЗ (индивидуальная программа). Рекомендация — карта предпочтений, показ двух порций, пересмотр. Открытые вопросы — субъект решения и формулировки об отказе.</w:t>
      </w:r>
    </w:p>
    <w:bookmarkEnd w:id="128"/>
    <w:bookmarkStart w:id="129"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С 01.09.2025 организации социального обслуживания обязаны обеспечивать условия для соблюдения постов (подп. 15 п. 20 Правил, утверждённых приказом № 305н) [24]; для ПНИ право соблюдать религиозные каноны, включая пост, если это не нарушает внутреннего распорядка, закреплено ч. 2 ст. 37 Закона № 3185-1 [23]. Состав ограничений определяет сам житель; учреждение не определяет за него, какой пост и как строго он соблюдает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6"/>
        </w:numPr>
      </w:pPr>
      <w:r>
        <w:rPr>
          <w:b/>
          <w:bCs/>
        </w:rPr>
        <w:t xml:space="preserve">Рыбные дни.</w:t>
      </w:r>
      <w:r>
        <w:t xml:space="preserve"> </w:t>
      </w:r>
      <w:r>
        <w:t xml:space="preserve">По приложению № 11 100 г говядины заменяются 125 г трески [3]; порция трески — 75 × 1,25 ≈ 94 г. За неделю: −1,8 кг мяса, +2,25 кг рыбы (12 × 75 г × 2 и 12 × 94 г × 2). Это замена, предусмотренная таблицей, и она отражается в ведомости строкой «с учётом замен» (сценарий 11).</w:t>
      </w:r>
    </w:p>
    <w:p>
      <w:pPr>
        <w:pStyle w:val="Compact"/>
        <w:numPr>
          <w:ilvl w:val="0"/>
          <w:numId w:val="1016"/>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[30], то есть увеличивает её расход, а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[28], но в открытой версии справочной системы они не опубликованы и для доклада не прочитаны.</w:t>
      </w:r>
    </w:p>
    <w:p>
      <w:pPr>
        <w:pStyle w:val="Compact"/>
        <w:numPr>
          <w:ilvl w:val="0"/>
          <w:numId w:val="1016"/>
        </w:numPr>
      </w:pPr>
      <w:r>
        <w:rPr>
          <w:b/>
          <w:bCs/>
        </w:rPr>
        <w:t xml:space="preserve">Масштаб.</w:t>
      </w:r>
      <w:r>
        <w:t xml:space="preserve"> </w:t>
      </w:r>
      <w:r>
        <w:t xml:space="preserve">Всего за неделю расход мяса по учреждению снизится на 3,6 кг из 63,0 кг недельной нормы, то есть на 5,7 % (иллюстративная арифметика: 12 × 75 г × 4 / (90 г × 100 × 7)). Это отклонение видно в ведомости и требует объяснения.</w:t>
      </w:r>
    </w:p>
    <w:p>
      <w:pPr>
        <w:pStyle w:val="FirstParagraph"/>
      </w:pPr>
      <w:r>
        <w:rPr>
          <w:b/>
          <w:bCs/>
        </w:rPr>
        <w:t xml:space="preserve">Как оформить (рекомендация).</w:t>
      </w:r>
      <w:r>
        <w:t xml:space="preserve"> </w:t>
      </w:r>
      <w:r>
        <w:t xml:space="preserve">В локальном акте о питании — пункт о порядке заявления жителем о соблюдении поста и о перечне постных вариантов; в меню периода — постные блюда как варианты, а не как отдельная «постная кухня» (сценарий 10); в ведомости — отдельная строка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Пробел, который вскрывает сценарий.</w:t>
      </w:r>
      <w:r>
        <w:t xml:space="preserve"> </w:t>
      </w:r>
      <w:r>
        <w:t xml:space="preserve">Федеральная таблица замен, на которую ссылаются учреждения, не позволяет сбалансировать обязательство по 305н для жителей, соблюдающих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а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29"/>
    <w:bookmarkStart w:id="130"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требуют измерений, а российские кейсы (п. 4.10) их не публикуют. Причина отчасти в том, что в отечественной практике социального обслуживания нет общепринятых инструментов для оценки питания с точки зрения жителя. В зарубежной литературе они есть; ниже описаны те, чьи свойства проверены по публикациям, с оценкой применимости. Валидированных русскоязычных версий этих инструментов найти не удалось, поэтому их использование в российском учреждении — адаптация, а не готовая методика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разных предмета, и смешивать их нельзя: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которое измеряет только первое, знает, что популярно, но не знает, что съедено; учреждение, которое измеряет только удовлетворённость, не увидит, если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[91].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сам цвет посуды был связан с разной долей несъеденного: от 26 % на белой тарелке до 9 % на белой тарелке с жёлтым ободком и красным кольцом [91]. Этот результат приводится не как рекомендация покупать цветную посуду, а как напоминание: при сравнении «до» и «после» внедрения выбора посуда, порция и способ подачи должны оставаться прежними,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[115]. Вариативное меню затрагивает сразу три из этих групп, поэтому эффект его внедрения нельзя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Это масса блюд, приготовленных, но не розданных. В исследовании Wheeler и соавт. именно этот показатель вырос при переходе к выбору в момент еды (с 55 до 90 г на жителя в день) [71]. Для российского учреждения он измеряется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невозможно отличить «вариант Б непопулярен» от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[116]. Wright и соавт. использовали Resident Foodservice Satisfaction Questionnaire и показали, что время между выбором и подачей влияет на удовлетворённость сильнее, чем характеристики самой еды [73]. Wheeler и соавт. обошлись пятибалльной шкалой Лайкерта [71]. Для российского учреждения, где значительная часть жителей не может заполнить многостраничную анкету, реалистичны короткая шкала по нескольким вопросам, которую заполняет сам житель или сотрудник со слов жителя,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 пример упрощённого инструмента изучения предпочтений; сама анкета и её результаты не опубликованы. Отметим, что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[117]. Опросник дополняет анкеты для жителей и для персонала, разработанные той же университетской группой [117]. Русскоязычной версии нет; для учреждения ценна сама идея — спрашивать родственников отдельно и отдельно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предлагают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[110].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[108]. При этом расчёт фактически съеденного по меню и отходам систематически завышает потребление: в японском исследовании CLEVER — в среднем на 232 ккал в сутки (15,3 %) по сравнению с методом дважды меченой воды [93]. Снижение возвратов после введения выбора — довод в пользу выбора, но не доказательство того,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который заполняет обученный наблюдатель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более ориентированными на отношения практиками в общих отделениях, но не в отделениях для людей с деменцией; авторы предполагают, что там решающую роль играет подготовка персонала [118].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[119]. Для российского ДСО из этих работ следует простой вывод: изменения среды приёма пищи поддаются наблюдению по чек-листу, и его можно вести силами учреждения,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как показатель, который учреждение уже ведёт; её интерпретация — компетенция врача. Показатели не составляют научного исследования: без контрольной группы и при малой выборке они показывают направление изменений и позволяют заметить вред, но не доказывают эффект выбора.</w:t>
      </w:r>
    </w:p>
    <w:bookmarkEnd w:id="130"/>
    <w:bookmarkEnd w:id="131"/>
    <w:bookmarkStart w:id="141" w:name="контроль-кто-и-что-проверяет"/>
    <w:p>
      <w:pPr>
        <w:pStyle w:val="Heading1"/>
      </w:pPr>
      <w:r>
        <w:rPr>
          <w:rStyle w:val="SectionNumber"/>
        </w:rPr>
        <w:t xml:space="preserve">8</w:t>
      </w:r>
      <w:r>
        <w:tab/>
      </w:r>
      <w:r>
        <w:t xml:space="preserve">Контроль: кто и что проверяет</w:t>
      </w:r>
    </w:p>
    <w:bookmarkStart w:id="132"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затрагивает предметы нескольких контролирующих органов, и каждый из них оценивает своё. Смешение предметов — источник большинства конфликтов при проверках: учреждение отвечает санитарному инспектору на вопрос о качестве социальной услуги или ведомственному контролёру — о санитарных нормах.</w:t>
      </w:r>
    </w:p>
    <w:bookmarkEnd w:id="132"/>
    <w:bookmarkStart w:id="133"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 — соблюдение обязательных требований СанПиН 4282-26 и других санитарных правил: приём продукции, условия хранения, поточность, температуры,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набор блюд и сам факт выбора предметом санитарного надзора не являются; каждое блюдо, однако, проверяется по общим правилам (сценарий 5). Ответственность — ст. 6.6 КоАП (п. 2.11).</w:t>
      </w:r>
    </w:p>
    <w:bookmarkEnd w:id="133"/>
    <w:bookmarkStart w:id="134" w:name="X4467af5b1511a4da9fe7f12c2ab1835be0c952e"/>
    <w:p>
      <w:pPr>
        <w:pStyle w:val="Heading2"/>
      </w:pPr>
      <w:r>
        <w:rPr>
          <w:rStyle w:val="SectionNumber"/>
        </w:rPr>
        <w:t xml:space="preserve">8.3</w:t>
      </w:r>
      <w:r>
        <w:tab/>
      </w:r>
      <w:r>
        <w:t xml:space="preserve">Региональный государственный контроль в сфере социального обслуживания</w:t>
      </w:r>
    </w:p>
    <w:p>
      <w:pPr>
        <w:pStyle w:val="FirstParagraph"/>
      </w:pPr>
      <w:r>
        <w:t xml:space="preserve">Органы субъектов осуществляют региональный государственный контроль (надзор) в сфере социального обслуживания (ст. 33 442-ФЗ) [21]. Предмет — соблюдение требований к предоставлению социальных услуг, в том числе порядков, стандартов и норм питания, утверждённых субъектом. Именно здесь возникает вопрос о выполнении норм по группам продуктов (сценарий 1) и о соответствии фактического питания индивидуальной программе. Для вариативного меню существенно, что региональные нормы устанавливают количества, а не блюда; проверяющий вправе спросить, выполнены ли количества, но не вправе требовать единого меню, если такого требования нет в региональном акте (толкование). С 01.09.2025 к предмету этого контроля относится и исполнение обязанностей по Правилам, утверждённым приказом № 305н, в том числе обязанности обеспечивать условия для соблюдения постов (подп. 15 п. 20) [24]: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w:t>
      </w:r>
    </w:p>
    <w:bookmarkEnd w:id="134"/>
    <w:bookmarkStart w:id="135" w:name="учредитель"/>
    <w:p>
      <w:pPr>
        <w:pStyle w:val="Heading2"/>
      </w:pPr>
      <w:r>
        <w:rPr>
          <w:rStyle w:val="SectionNumber"/>
        </w:rPr>
        <w:t xml:space="preserve">8.4</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затрагивает его компетенцию постольку, поскольку меняются структура расходов на питание, штат или оборудование. Петербургское сообщение о вариативном меню прозвучало на заседании рабочей группы при Комитете по социальной политике [18]; этот формат — информирование учредителя и обсуждение с ним — снижает риск, что практика будет воспринята как самовольное отступление от порядка.</w:t>
      </w:r>
    </w:p>
    <w:bookmarkEnd w:id="135"/>
    <w:bookmarkStart w:id="136" w:name="прокуратура"/>
    <w:p>
      <w:pPr>
        <w:pStyle w:val="Heading2"/>
      </w:pPr>
      <w:r>
        <w:rPr>
          <w:rStyle w:val="SectionNumber"/>
        </w:rPr>
        <w:t xml:space="preserve">8.5</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[55]. Для вариативного меню прокурорский контроль может работать в обе стороны: проверить качество питания и проверить, соблюдаются ли права жителей, предусмотренные ст. 9 442-ФЗ и (для ПНИ) ст. 37 Закона № 3185-1.</w:t>
      </w:r>
    </w:p>
    <w:bookmarkEnd w:id="136"/>
    <w:bookmarkStart w:id="137" w:name="антимонопольный-контроль"/>
    <w:p>
      <w:pPr>
        <w:pStyle w:val="Heading2"/>
      </w:pPr>
      <w:r>
        <w:rPr>
          <w:rStyle w:val="SectionNumber"/>
        </w:rPr>
        <w:t xml:space="preserve">8.6</w:t>
      </w:r>
      <w:r>
        <w:tab/>
      </w:r>
      <w:r>
        <w:t xml:space="preserve">Антимонопольный контроль</w:t>
      </w:r>
    </w:p>
    <w:p>
      <w:pPr>
        <w:pStyle w:val="FirstParagraph"/>
      </w:pPr>
      <w:r>
        <w:t xml:space="preserve">ФАС России и территориальные органы контролируют закупки и выявляют картели на торгах продуктами (п. 2.11) [57, 58]. Для вариативного меню существенен риск, что спецификация, составленная под конкретный вариант блюда, будет оценена как ограничивающая конкуренцию.</w:t>
      </w:r>
    </w:p>
    <w:bookmarkEnd w:id="137"/>
    <w:bookmarkStart w:id="138" w:name="Xd453b584d5a03894042caa9937fc1e7856692d8"/>
    <w:p>
      <w:pPr>
        <w:pStyle w:val="Heading2"/>
      </w:pPr>
      <w:r>
        <w:rPr>
          <w:rStyle w:val="SectionNumber"/>
        </w:rPr>
        <w:t xml:space="preserve">8.7</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[21]. Эти механизмы не порождают санкций, но формируют публичную репутацию учреждения. Для вариативного меню они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[65], а не в организациях социального обслуживания взрослых (п. 3.2).</w:t>
      </w:r>
    </w:p>
    <w:bookmarkEnd w:id="138"/>
    <w:bookmarkStart w:id="139" w:name="внутренний-контроль"/>
    <w:p>
      <w:pPr>
        <w:pStyle w:val="Heading2"/>
      </w:pPr>
      <w:r>
        <w:rPr>
          <w:rStyle w:val="SectionNumber"/>
        </w:rPr>
        <w:t xml:space="preserve">8.8</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который видит вариативное меню каждый день. Опыт Усть-Илимска и «Доброго дома „Солнечногорский“» показывает, что коллегиальный орган по питанию берёт на себя пересмотр меню, рассмотрение пожеланий и привлечение внешнего специалиста [12, 26]. Рабочая база проекта выделяет признаки «фиктивной вариативности» —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только каши при заявленной полной вариативности [20]. Это рекомендательный чек-лист внутреннего контроля, а не критерий какого-либо надзорного органа.</w:t>
      </w:r>
    </w:p>
    <w:bookmarkEnd w:id="139"/>
    <w:bookmarkStart w:id="140" w:name="сводка"/>
    <w:p>
      <w:pPr>
        <w:pStyle w:val="Heading2"/>
      </w:pPr>
      <w:r>
        <w:rPr>
          <w:rStyle w:val="SectionNumber"/>
        </w:rPr>
        <w:t xml:space="preserve">8.9</w:t>
      </w:r>
      <w:r>
        <w:tab/>
      </w:r>
      <w:r>
        <w:t xml:space="preserve">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Региональный контроль соцобслуживания</w:t>
            </w:r>
          </w:p>
        </w:tc>
        <w:tc>
          <w:tcPr/>
          <w:p>
            <w:pPr>
              <w:pStyle w:val="Compact"/>
            </w:pPr>
            <w:r>
              <w:t xml:space="preserve">Порядки, стандарты, нормы субъекта</w:t>
            </w:r>
          </w:p>
        </w:tc>
        <w:tc>
          <w:tcPr/>
          <w:p>
            <w:pPr>
              <w:pStyle w:val="Compact"/>
            </w:pPr>
            <w:r>
              <w:t xml:space="preserve">Выполнение норм по группам продуктов; учёт замен; условия для соблюдения постов</w:t>
            </w:r>
          </w:p>
        </w:tc>
        <w:tc>
          <w:tcPr/>
          <w:p>
            <w:pPr>
              <w:pStyle w:val="Compact"/>
            </w:pPr>
            <w:r>
              <w:t xml:space="preserve">Ст. 33 442-ФЗ; региональные нормы; приказ № 305н</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w:t>
            </w:r>
          </w:p>
        </w:tc>
        <w:tc>
          <w:tcPr/>
          <w:p>
            <w:pPr>
              <w:pStyle w:val="Compact"/>
            </w:pPr>
            <w:r>
              <w:t xml:space="preserve">Локальные акты; п. 4 СанПиН 4282-26</w:t>
            </w:r>
          </w:p>
        </w:tc>
      </w:tr>
    </w:tbl>
    <w:bookmarkEnd w:id="140"/>
    <w:bookmarkEnd w:id="141"/>
    <w:bookmarkStart w:id="145"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42"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предшествующие аналитические записки и рабочая база знаний проекта — создавались в разное время, разными методами и при разном доступе к источникам. Расхождения между ними неизбежны. Ниже они перечислены без сглаживания: для каждого указано, в чём расхождение, как оно разрешается по первоисточнику и что остаётся открытым. Номера в скобках — пункты перечня противоречий рабочей базы знаний [20], где он есть.</w:t>
      </w:r>
    </w:p>
    <w:bookmarkEnd w:id="142"/>
    <w:bookmarkStart w:id="143"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[28]</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канон,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[29];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(канон) (15)</w:t>
            </w:r>
          </w:p>
        </w:tc>
        <w:tc>
          <w:tcPr/>
          <w:p>
            <w:pPr>
              <w:pStyle w:val="Compact"/>
            </w:pPr>
            <w:r>
              <w:t xml:space="preserve">Общая и специальная нормы; для организации питания — ст. 6.6 [54]</w:t>
            </w:r>
          </w:p>
        </w:tc>
        <w:tc>
          <w:tcPr/>
          <w:p>
            <w:pPr>
              <w:pStyle w:val="Compact"/>
            </w:pPr>
            <w:r>
              <w:t xml:space="preserve">Снято</w:t>
            </w:r>
          </w:p>
        </w:tc>
      </w:tr>
      <w:tr>
        <w:tc>
          <w:tcPr/>
          <w:p>
            <w:pPr>
              <w:pStyle w:val="Compact"/>
            </w:pPr>
            <w:r>
              <w:t xml:space="preserve">6</w:t>
            </w:r>
          </w:p>
        </w:tc>
        <w:tc>
          <w:tcPr/>
          <w:p>
            <w:pPr>
              <w:pStyle w:val="Compact"/>
            </w:pPr>
            <w:r>
              <w:t xml:space="preserve">Плата не более 75 %: ч. 4 ст. 32 442-ФЗ (канон) против п. 35 приказа № 935н (первая редакция) (14)</w:t>
            </w:r>
          </w:p>
        </w:tc>
        <w:tc>
          <w:tcPr/>
          <w:p>
            <w:pPr>
              <w:pStyle w:val="Compact"/>
            </w:pPr>
            <w:r>
              <w:t xml:space="preserve">Обе ссылки верны: норма закона воспроизведена в примерном порядке [21, 22]</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По открытым источникам не подтверждён</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v2</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[71]; петербургский кейс называет оборудование и сотрудников [18]</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[65]</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[23]</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(канон [19])</w:t>
            </w:r>
          </w:p>
        </w:tc>
        <w:tc>
          <w:tcPr/>
          <w:p>
            <w:pPr>
              <w:pStyle w:val="Compact"/>
            </w:pPr>
            <w:r>
              <w:t xml:space="preserve">8,00 — весь кейтеринг; сырьё — 6,08 [102]</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[30]</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[48]</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(канон, гл. 15.4) против текущего предпочтения первым (гл. 15.9) (2)</w:t>
            </w:r>
          </w:p>
        </w:tc>
        <w:tc>
          <w:tcPr/>
          <w:p>
            <w:pPr>
              <w:pStyle w:val="Compact"/>
            </w:pPr>
            <w:r>
              <w:t xml:space="preserve">Первоисточник права не даёт ответа</w:t>
            </w:r>
          </w:p>
        </w:tc>
        <w:tc>
          <w:tcPr/>
          <w:p>
            <w:pPr>
              <w:pStyle w:val="Compact"/>
            </w:pPr>
            <w:r>
              <w:t xml:space="preserve">Открыто; решение автора</w:t>
            </w:r>
          </w:p>
        </w:tc>
      </w:tr>
      <w:tr>
        <w:tc>
          <w:tcPr/>
          <w:p>
            <w:pPr>
              <w:pStyle w:val="Compact"/>
            </w:pPr>
            <w:r>
              <w:t xml:space="preserve">18</w:t>
            </w:r>
          </w:p>
        </w:tc>
        <w:tc>
          <w:tcPr/>
          <w:p>
            <w:pPr>
              <w:pStyle w:val="Compact"/>
            </w:pPr>
            <w:r>
              <w:t xml:space="preserve">«Принудительное кормление запрещено» (канон) против «прямого запрета не найдено» (аудиторский слой) (9)</w:t>
            </w:r>
          </w:p>
        </w:tc>
        <w:tc>
          <w:tcPr/>
          <w:p>
            <w:pPr>
              <w:pStyle w:val="Compact"/>
            </w:pPr>
            <w:r>
              <w:t xml:space="preserve">Прямого запрета в проверенных актах не найдено; ст. 5 ч. 2 Закона № 3185-1 гарантирует гуманное отношение, исключающее унижение достоинства [23]</w:t>
            </w:r>
          </w:p>
        </w:tc>
        <w:tc>
          <w:tcPr/>
          <w:p>
            <w:pPr>
              <w:pStyle w:val="Compact"/>
            </w:pPr>
            <w:r>
              <w:t xml:space="preserve">Открыто; требует правовой экспертизы</w:t>
            </w:r>
          </w:p>
        </w:tc>
      </w:tr>
      <w:tr>
        <w:tc>
          <w:tcPr/>
          <w:p>
            <w:pPr>
              <w:pStyle w:val="Compact"/>
            </w:pPr>
            <w:r>
              <w:t xml:space="preserve">19</w:t>
            </w:r>
          </w:p>
        </w:tc>
        <w:tc>
          <w:tcPr/>
          <w:p>
            <w:pPr>
              <w:pStyle w:val="Compact"/>
            </w:pPr>
            <w:r>
              <w:t xml:space="preserve">Календарь пилота: 90 дней (канон)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(канон) / на приём или заказ заранее (первая редакция) / на период (предшествующая записка) (6)</w:t>
            </w:r>
          </w:p>
        </w:tc>
        <w:tc>
          <w:tcPr/>
          <w:p>
            <w:pPr>
              <w:pStyle w:val="Compact"/>
            </w:pPr>
            <w:r>
              <w:t xml:space="preserve">Определения разных слоёв; v2 использует каноническое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[12]</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[26]</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канона)</w:t>
            </w:r>
          </w:p>
        </w:tc>
        <w:tc>
          <w:tcPr/>
          <w:p>
            <w:pPr>
              <w:pStyle w:val="Compact"/>
            </w:pPr>
            <w:r>
              <w:t xml:space="preserve">Акты в ходе подготовки v2 не сверялись</w:t>
            </w:r>
          </w:p>
        </w:tc>
        <w:tc>
          <w:tcPr/>
          <w:p>
            <w:pPr>
              <w:pStyle w:val="Compact"/>
            </w:pPr>
            <w:r>
              <w:t xml:space="preserve">Открыто</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канона)</w:t>
            </w:r>
          </w:p>
        </w:tc>
        <w:tc>
          <w:tcPr/>
          <w:p>
            <w:pPr>
              <w:pStyle w:val="Compact"/>
            </w:pPr>
            <w:r>
              <w:t xml:space="preserve">Реквизиты по первой редакции и международной базе FAOLEX — приказ [69]</w:t>
            </w:r>
          </w:p>
        </w:tc>
        <w:tc>
          <w:tcPr/>
          <w:p>
            <w:pPr>
              <w:pStyle w:val="Compact"/>
            </w:pPr>
            <w:r>
              <w:t xml:space="preserve">Вероятно снято; требует сверки</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Только пересказ агрегатора; первоисточник министерства не найден [13]</w:t>
            </w:r>
          </w:p>
        </w:tc>
        <w:tc>
          <w:tcPr/>
          <w:p>
            <w:pPr>
              <w:pStyle w:val="Compact"/>
            </w:pPr>
            <w:r>
              <w:t xml:space="preserve">Открыто</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[24];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26]</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bl>
    <w:bookmarkEnd w:id="143"/>
    <w:bookmarkStart w:id="144" w:name="что-из-этого-следует-для-читателя"/>
    <w:p>
      <w:pPr>
        <w:pStyle w:val="Heading2"/>
      </w:pPr>
      <w:r>
        <w:rPr>
          <w:rStyle w:val="SectionNumber"/>
        </w:rPr>
        <w:t xml:space="preserve">9.3</w:t>
      </w:r>
      <w:r>
        <w:tab/>
      </w:r>
      <w:r>
        <w:t xml:space="preserve">Что из этого следует для читателя</w:t>
      </w:r>
    </w:p>
    <w:p>
      <w:pPr>
        <w:pStyle w:val="FirstParagraph"/>
      </w:pPr>
      <w:r>
        <w:t xml:space="preserve">Пункты 1–6, 10, 12–14, 21–23, 28 и 30 — исправления фактов или восполненные пробелы; во второй редакции применены исправленные версии. Пункты 9, 15, 17, 18, 24, 26 и 29 — открытые вопросы, по которым доклад не делает утверждений сверх установленного. Пункты 19 и 20 отражают разные задачи и разные определения и не требуют выбора одного варианта.</w:t>
      </w:r>
    </w:p>
    <w:bookmarkEnd w:id="144"/>
    <w:bookmarkEnd w:id="145"/>
    <w:bookmarkStart w:id="149"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этого раздела — рекомендации автора как директора учреждения и участника профессиональной дискуссии. Они не выражают позицию Минтруда России, рабочей группы или иного органа и не являются нормами.</w:t>
      </w:r>
    </w:p>
    <w:bookmarkStart w:id="146" w:name="федеральный-уровень"/>
    <w:p>
      <w:pPr>
        <w:pStyle w:val="Heading2"/>
      </w:pPr>
      <w:r>
        <w:rPr>
          <w:rStyle w:val="SectionNumber"/>
        </w:rPr>
        <w:t xml:space="preserve">10.1</w:t>
      </w:r>
      <w:r>
        <w:tab/>
      </w:r>
      <w:r>
        <w:t xml:space="preserve">Федеральный уровень</w:t>
      </w:r>
    </w:p>
    <w:p>
      <w:pPr>
        <w:numPr>
          <w:ilvl w:val="0"/>
          <w:numId w:val="1017"/>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Отсутствие общего словаря — главная причина, по которой одна и та же практика оценивается проверяющими по-разному.</w:t>
      </w:r>
    </w:p>
    <w:p>
      <w:pPr>
        <w:numPr>
          <w:ilvl w:val="0"/>
          <w:numId w:val="1017"/>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или прямо распространить на них приложение № 11 к СанПиН 4282-26. Сейчас учреждения применяют детскую таблицу по аналогии (п. 2.6).</w:t>
      </w:r>
    </w:p>
    <w:p>
      <w:pPr>
        <w:numPr>
          <w:ilvl w:val="0"/>
          <w:numId w:val="1017"/>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w:t>
      </w:r>
    </w:p>
    <w:p>
      <w:pPr>
        <w:numPr>
          <w:ilvl w:val="0"/>
          <w:numId w:val="1017"/>
        </w:numPr>
      </w:pPr>
      <w:r>
        <w:rPr>
          <w:b/>
          <w:bCs/>
        </w:rPr>
        <w:t xml:space="preserve">Суточная проба.</w:t>
      </w:r>
      <w:r>
        <w:t xml:space="preserve"> </w:t>
      </w:r>
      <w:r>
        <w:t xml:space="preserve">Устранить пробел о суточной пробе на собственном пищеблоке организации социального обслуживания (п. 9, позиция 15).</w:t>
      </w:r>
    </w:p>
    <w:p>
      <w:pPr>
        <w:numPr>
          <w:ilvl w:val="0"/>
          <w:numId w:val="1017"/>
        </w:numPr>
      </w:pPr>
      <w:r>
        <w:rPr>
          <w:b/>
          <w:bCs/>
        </w:rPr>
        <w:t xml:space="preserve">Формула альтернативы.</w:t>
      </w:r>
      <w:r>
        <w:t xml:space="preserve"> </w:t>
      </w:r>
      <w:r>
        <w:t xml:space="preserve">При возможном регулировании выбора опираться не на число блюд, а на формулу «альтернатива сходной пищевой ценности по запросу», известную по американскому праву [105], и на онтарийскую модель цикла меню с выбором, утверждаемого диетологом при участии совета жителей [106]. Предложение первой редакции обзора закрепить «не менее двух вариантов на основные приёмы пищи» [1] реализуемо не во всех учреждениях и не решает проблему жителей, не способных выбрать вербально.</w:t>
      </w:r>
    </w:p>
    <w:p>
      <w:pPr>
        <w:numPr>
          <w:ilvl w:val="0"/>
          <w:numId w:val="1017"/>
        </w:numPr>
      </w:pPr>
      <w:r>
        <w:rPr>
          <w:b/>
          <w:bCs/>
        </w:rPr>
        <w:t xml:space="preserve">Постное питание.</w:t>
      </w:r>
      <w:r>
        <w:t xml:space="preserve"> </w:t>
      </w:r>
      <w:r>
        <w:t xml:space="preserve">Разъяснить, как обязанность обеспечивать условия для соблюдения постов (подп. 15 п. 20 Правил по приказу № 305н) [24] исполняется в пределах региональных норм питания: какие замены мяса и молочных продуктов допустимы и по какой таблице. Без такого разъяснения учреждение исполняет федеральную обязанность с риском претензии регионального контроля за невыполнение норм по отдельным группам продуктов (п. 2.4, п. 2.6).</w:t>
      </w:r>
    </w:p>
    <w:p>
      <w:pPr>
        <w:numPr>
          <w:ilvl w:val="0"/>
          <w:numId w:val="1017"/>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7.12). Зарубежный опыт показывает, что такие показатели измеримы силами учреждения [71, 91].</w:t>
      </w:r>
    </w:p>
    <w:bookmarkEnd w:id="146"/>
    <w:bookmarkStart w:id="147" w:name="региональный-уровень"/>
    <w:p>
      <w:pPr>
        <w:pStyle w:val="Heading2"/>
      </w:pPr>
      <w:r>
        <w:rPr>
          <w:rStyle w:val="SectionNumber"/>
        </w:rPr>
        <w:t xml:space="preserve">10.2</w:t>
      </w:r>
      <w:r>
        <w:tab/>
      </w:r>
      <w:r>
        <w:t xml:space="preserve">Региональный уровень</w:t>
      </w:r>
    </w:p>
    <w:p>
      <w:pPr>
        <w:pStyle w:val="Compact"/>
        <w:numPr>
          <w:ilvl w:val="0"/>
          <w:numId w:val="1018"/>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3.15).</w:t>
      </w:r>
    </w:p>
    <w:p>
      <w:pPr>
        <w:pStyle w:val="Compact"/>
        <w:numPr>
          <w:ilvl w:val="0"/>
          <w:numId w:val="1018"/>
        </w:numPr>
      </w:pPr>
      <w:r>
        <w:rPr>
          <w:b/>
          <w:bCs/>
        </w:rPr>
        <w:t xml:space="preserve">Тариф.</w:t>
      </w:r>
      <w:r>
        <w:t xml:space="preserve"> </w:t>
      </w:r>
      <w:r>
        <w:t xml:space="preserve">При расчёте тарифа на обеспечение питанием учитывать не только продуктовый набор, но и организационную составляющую выбора, если субъект поддерживает вариативное питание как политику (п. 3.2).</w:t>
      </w:r>
    </w:p>
    <w:p>
      <w:pPr>
        <w:pStyle w:val="Compact"/>
        <w:numPr>
          <w:ilvl w:val="0"/>
          <w:numId w:val="1018"/>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[16]) и требовать от участников публикации измерений (отходы, распределение выбора, удовлетворённость), а не только описаний.</w:t>
      </w:r>
    </w:p>
    <w:bookmarkEnd w:id="147"/>
    <w:bookmarkStart w:id="148" w:name="уровень-учреждения"/>
    <w:p>
      <w:pPr>
        <w:pStyle w:val="Heading2"/>
      </w:pPr>
      <w:r>
        <w:rPr>
          <w:rStyle w:val="SectionNumber"/>
        </w:rPr>
        <w:t xml:space="preserve">10.3</w:t>
      </w:r>
      <w:r>
        <w:tab/>
      </w:r>
      <w:r>
        <w:t xml:space="preserve">Уровень учреждения</w:t>
      </w:r>
    </w:p>
    <w:p>
      <w:pPr>
        <w:pStyle w:val="Compact"/>
        <w:numPr>
          <w:ilvl w:val="0"/>
          <w:numId w:val="1019"/>
        </w:numPr>
      </w:pPr>
      <w:r>
        <w:rPr>
          <w:b/>
          <w:bCs/>
        </w:rPr>
        <w:t xml:space="preserve">Начинать с пары внутри группы</w:t>
      </w:r>
      <w:r>
        <w:t xml:space="preserve"> </w:t>
      </w:r>
      <w:r>
        <w:t xml:space="preserve">в одном приёме пищи одного отделения (сценарии 2 и 9).</w:t>
      </w:r>
    </w:p>
    <w:p>
      <w:pPr>
        <w:pStyle w:val="Compact"/>
        <w:numPr>
          <w:ilvl w:val="0"/>
          <w:numId w:val="1019"/>
        </w:numPr>
      </w:pPr>
      <w:r>
        <w:rPr>
          <w:b/>
          <w:bCs/>
        </w:rPr>
        <w:t xml:space="preserve">Закрепить порядок локальным актом</w:t>
      </w:r>
      <w:r>
        <w:t xml:space="preserve"> </w:t>
      </w:r>
      <w:r>
        <w:t xml:space="preserve">до начала и подготовить комплект документов для проверяющего (сценарий 7).</w:t>
      </w:r>
    </w:p>
    <w:p>
      <w:pPr>
        <w:pStyle w:val="Compact"/>
        <w:numPr>
          <w:ilvl w:val="0"/>
          <w:numId w:val="1019"/>
        </w:numPr>
      </w:pPr>
      <w:r>
        <w:rPr>
          <w:b/>
          <w:bCs/>
        </w:rPr>
        <w:t xml:space="preserve">Измерять до и после</w:t>
      </w:r>
      <w:r>
        <w:t xml:space="preserve"> </w:t>
      </w:r>
      <w:r>
        <w:t xml:space="preserve">хотя бы отходы с тарелки и распределение выбора (сценарий 8, п. 7.18).</w:t>
      </w:r>
    </w:p>
    <w:p>
      <w:pPr>
        <w:pStyle w:val="Compact"/>
        <w:numPr>
          <w:ilvl w:val="0"/>
          <w:numId w:val="1019"/>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и 10).</w:t>
      </w:r>
    </w:p>
    <w:p>
      <w:pPr>
        <w:pStyle w:val="Compact"/>
        <w:numPr>
          <w:ilvl w:val="0"/>
          <w:numId w:val="1019"/>
        </w:numPr>
      </w:pPr>
      <w:r>
        <w:rPr>
          <w:b/>
          <w:bCs/>
        </w:rPr>
        <w:t xml:space="preserve">Публиковать результаты</w:t>
      </w:r>
      <w:r>
        <w:t xml:space="preserve"> </w:t>
      </w:r>
      <w:r>
        <w:t xml:space="preserve">с датами и числами, включая неудачи. Пока российские сообщения состоят из описаний без измерений (п. 4.10), спор о пользе и вреде выбора будет вестись аргументами мнения.</w:t>
      </w:r>
    </w:p>
    <w:bookmarkEnd w:id="148"/>
    <w:bookmarkEnd w:id="149"/>
    <w:bookmarkStart w:id="150" w:name="заключение"/>
    <w:p>
      <w:pPr>
        <w:pStyle w:val="Heading1"/>
      </w:pPr>
      <w:r>
        <w:rPr>
          <w:rStyle w:val="SectionNumber"/>
        </w:rPr>
        <w:t xml:space="preserve">11</w:t>
      </w:r>
      <w:r>
        <w:tab/>
      </w:r>
      <w:r>
        <w:t xml:space="preserve">Заключение</w:t>
      </w:r>
    </w:p>
    <w:p>
      <w:pPr>
        <w:pStyle w:val="FirstParagraph"/>
      </w:pPr>
      <w:r>
        <w:t xml:space="preserve">Исследование позволяет сформулировать девять выводов. Класс каждого утверждения указан в соответствующем разделе; здесь выводы сведены без повторения ссылок там, где они уже приведены в тексте.</w:t>
      </w:r>
    </w:p>
    <w:p>
      <w:pPr>
        <w:numPr>
          <w:ilvl w:val="0"/>
          <w:numId w:val="1020"/>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[21].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22, 24, 29, 34]. Для жителей ПНИ к этому добавляются гарантии Закона № 3185-1, включая право соблюдать религиозные каноны (ч. 2 ст. 37 в силу ст. 43) [23],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[24]. Постный вариант блюда в пост поэтому относится к исполнению обязанности, а не к инициативе кухни.</w:t>
      </w:r>
    </w:p>
    <w:p>
      <w:pPr>
        <w:numPr>
          <w:ilvl w:val="0"/>
          <w:numId w:val="1020"/>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молчит о числе вариантов, но через требования к технологическому документу на каждое блюдо (п. 11), к трёхчасовому пределу на раздаче и запрету реализации остатков на следующий день (п. 32) и к бракеражу каждого блюда (подп. 13 п. 56) делает каждый дополнительный вариант отдельным объектом производственного контроля.</w:t>
      </w:r>
    </w:p>
    <w:p>
      <w:pPr>
        <w:numPr>
          <w:ilvl w:val="0"/>
          <w:numId w:val="1020"/>
        </w:numPr>
      </w:pPr>
      <w:r>
        <w:rPr>
          <w:b/>
          <w:bCs/>
        </w:rPr>
        <w:t xml:space="preserve">Главный правовой пробел — механизм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Постановление Санкт-Петербурга № 1284 положений о замене не содержит. Поэтому выбор между мясом и рыбой юридически уязвимее выбора между гречкой и рисом, хотя обе пары могут быть эквивалентны по пищевой ценности.</w:t>
      </w:r>
    </w:p>
    <w:p>
      <w:pPr>
        <w:numPr>
          <w:ilvl w:val="0"/>
          <w:numId w:val="1020"/>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группам продуктов; внутри группы (крупы, овощи,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20"/>
        </w:numPr>
      </w:pPr>
      <w:r>
        <w:rPr>
          <w:b/>
          <w:bCs/>
        </w:rPr>
        <w:t xml:space="preserve">Российская практика выросла, но не измерена.</w:t>
      </w:r>
      <w:r>
        <w:t xml:space="preserve"> </w:t>
      </w:r>
      <w:r>
        <w:t xml:space="preserve">За 2024–2026 гг. найдены сообщения восьми учреждений и одного регионального органа: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С июня 2026 г. в Вологодской области работает межрегиональная площадка. Ни одно учреждение не опубликовало данных о потреблении, отходах или стоимости. Сообщения учреждений — самоотчёты, а не результаты проверки.</w:t>
      </w:r>
    </w:p>
    <w:p>
      <w:pPr>
        <w:numPr>
          <w:ilvl w:val="0"/>
          <w:numId w:val="1020"/>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[71]. Те же данные показывают цену выбора в момент еды: рост производственных отходов и стоимости примерно на 9–20 % [71]. Систематические обзоры оценивают эффект вмешательств в организацию питания на пищевой статус как небольшой и плохо измеренный [83, 84].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[86] и в условиях нормированного набора не проверено.</w:t>
      </w:r>
    </w:p>
    <w:p>
      <w:pPr>
        <w:numPr>
          <w:ilvl w:val="0"/>
          <w:numId w:val="1020"/>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[103, 105, 106]. Ни один из изученных актов не устанавливает минимального числа вторых блюд. Перенос этих формул в российское право возможен только через акт федерального или регионального уровня.</w:t>
      </w:r>
    </w:p>
    <w:p>
      <w:pPr>
        <w:numPr>
          <w:ilvl w:val="0"/>
          <w:numId w:val="1020"/>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[74], и канадские данные о том, что пища изменённой консистенции назначена 47 % жителей [94], показывают: вариативное меню, рассчитанное на ходячих и говорящих, может не дойти до значительной части дома. Включение маломобильных и невербальных жителей — условие, а не следующий этап.</w:t>
      </w:r>
    </w:p>
    <w:p>
      <w:pPr>
        <w:numPr>
          <w:ilvl w:val="0"/>
          <w:numId w:val="1020"/>
        </w:numPr>
      </w:pPr>
      <w:r>
        <w:rPr>
          <w:b/>
          <w:bCs/>
        </w:rPr>
        <w:t xml:space="preserve">Противоречия не устранены, а названы.</w:t>
      </w:r>
      <w:r>
        <w:t xml:space="preserve"> </w:t>
      </w:r>
      <w:r>
        <w:t xml:space="preserve">Глава 9 перечисляет 30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решением органа, уполномоченного на разъяснение или нормотворчество.</w:t>
      </w:r>
    </w:p>
    <w:p>
      <w:pPr>
        <w:pStyle w:val="FirstParagraph"/>
      </w:pPr>
      <w:r>
        <w:t xml:space="preserve">Практический итог для руководителя учреждения сводится к трём требованиям, обоснованным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измерять результат — хотя бы распределение выбора и отходы с тарелки — до и после изменений. Предложения главы 10 являются рекомендациями автора и не выражают позицию какого-либо органа.</w:t>
      </w:r>
    </w:p>
    <w:bookmarkEnd w:id="150"/>
    <w:bookmarkStart w:id="151" w:name="список-источников"/>
    <w:p>
      <w:pPr>
        <w:pStyle w:val="Heading1"/>
      </w:pPr>
      <w:r>
        <w:t xml:space="preserve">Список источников</w:t>
      </w:r>
    </w:p>
    <w:p>
      <w:pPr>
        <w:pStyle w:val="FirstParagraph"/>
      </w:pPr>
      <w:r>
        <w:t xml:space="preserve">Пометка [н] — источник, впервые привлечённый во второй редакции; [о] — источник, использованный и в первой редакции [1].</w:t>
      </w:r>
    </w:p>
    <w:p>
      <w:pPr>
        <w:pStyle w:val="Compact"/>
        <w:numPr>
          <w:ilvl w:val="0"/>
          <w:numId w:val="1021"/>
        </w:numPr>
      </w:pPr>
      <w:r>
        <w:t xml:space="preserve">[о] Вариативное меню: НПА. Нормативно-правовое регулирование и региональная практика: доклад (литературная редакция 29.08.2026). 82 с. — Репозиторий qlolp/seminar-variable-food-2026, папка raw/sources/variativnoe-menu-npa-2026/.</w:t>
      </w:r>
    </w:p>
    <w:p>
      <w:pPr>
        <w:pStyle w:val="Compact"/>
        <w:numPr>
          <w:ilvl w:val="0"/>
          <w:numId w:val="1021"/>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URL: https://base.garant.ru/74891586/ (дата обращения: 05.10.2026).</w:t>
      </w:r>
    </w:p>
    <w:p>
      <w:pPr>
        <w:pStyle w:val="Compact"/>
        <w:numPr>
          <w:ilvl w:val="0"/>
          <w:numId w:val="1021"/>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URL: https://www.garant.ru/products/ipo/prime/doc/414229257/ (дата обращения: 05.10.2026).</w:t>
      </w:r>
    </w:p>
    <w:p>
      <w:pPr>
        <w:pStyle w:val="Compact"/>
        <w:numPr>
          <w:ilvl w:val="0"/>
          <w:numId w:val="1021"/>
        </w:numPr>
      </w:pPr>
      <w:r>
        <w:t xml:space="preserve">[н] Как устроены ПНИ в России: исследование / Проект «Если быть точным». 09.04.2026. — URL: https://tochno.st/materials/kak-ustroeny-pni-v-rossii-issledovanie-esli-byt-tocnym (дата обращения: 23.07.2026).</w:t>
      </w:r>
    </w:p>
    <w:p>
      <w:pPr>
        <w:pStyle w:val="Compact"/>
        <w:numPr>
          <w:ilvl w:val="0"/>
          <w:numId w:val="1021"/>
        </w:numPr>
      </w:pPr>
      <w:r>
        <w:t xml:space="preserve">[о] Вариативное питание / ГАУССО НСО «Болотнинский психоневрологический интернат». 16.08.2024. — URL: https://bpni.nso.ru/news/2312 (дата обращения: 05.10.2026).</w:t>
      </w:r>
    </w:p>
    <w:p>
      <w:pPr>
        <w:pStyle w:val="Compact"/>
        <w:numPr>
          <w:ilvl w:val="0"/>
          <w:numId w:val="1021"/>
        </w:numPr>
      </w:pPr>
      <w:r>
        <w:t xml:space="preserve">[н] Вариативное питание — выбор за вами! / ГАУССО НСО «Болотнинский психоневрологический интернат». 03.09.2026. — URL: https://bpni.nso.ru/news/8993 (дата обращения: 05.10.2026).</w:t>
      </w:r>
    </w:p>
    <w:p>
      <w:pPr>
        <w:pStyle w:val="Compact"/>
        <w:numPr>
          <w:ilvl w:val="0"/>
          <w:numId w:val="1021"/>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URL: https://upni.nso.ru/news/1916 (дата обращения: 05.10.2026).</w:t>
      </w:r>
    </w:p>
    <w:p>
      <w:pPr>
        <w:pStyle w:val="Compact"/>
        <w:numPr>
          <w:ilvl w:val="0"/>
          <w:numId w:val="1021"/>
        </w:numPr>
      </w:pPr>
      <w:r>
        <w:t xml:space="preserve">[н] Разумная Т. Успенский интернат расширяет «Шведский стол»: теперь и в третьем отделении проживающие сами выбирают блюда // ЧС-ИНФО. 23.10.2025. — URL: https://4s-info.ru/2025/10/23/uspenskij-internat-rasshiryaet-shvedskij-stol-teper-i-v-tretem-otdelenii-prozhivayushhie-sami-vybirayut-blyuda/ (дата обращения: 05.10.2026).</w:t>
      </w:r>
    </w:p>
    <w:p>
      <w:pPr>
        <w:pStyle w:val="Compact"/>
        <w:numPr>
          <w:ilvl w:val="0"/>
          <w:numId w:val="1021"/>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URL: https://kpi.nso.ru/news/395 (дата обращения: 05.10.2026).</w:t>
      </w:r>
    </w:p>
    <w:p>
      <w:pPr>
        <w:pStyle w:val="Compact"/>
        <w:numPr>
          <w:ilvl w:val="0"/>
          <w:numId w:val="1021"/>
        </w:numPr>
      </w:pPr>
      <w:r>
        <w:t xml:space="preserve">[н] Софин Р. Шведский стол за 3 млн приучил к аккуратности жильцов психинтерната НСО // Прецедент TV. 27.07.2026. — URL: https://precedent.tv/shvedskij-stol-za-3-mln-priuchil-k-akkuratnosti-zhiltsov-psihinternata-nso (дата обращения: 05.10.2026).</w:t>
      </w:r>
    </w:p>
    <w:p>
      <w:pPr>
        <w:pStyle w:val="Compact"/>
        <w:numPr>
          <w:ilvl w:val="0"/>
          <w:numId w:val="1021"/>
        </w:numPr>
      </w:pPr>
      <w:r>
        <w:t xml:space="preserve">[н] Наша главная задача — не просто накормить, а создать домашнюю атмосферу / ГАУССО НСО «Успенский психоневрологический интернат». 27.07.2026. — URL: https://upni.nso.ru/news/5804 (дата обращения: 05.10.2026).</w:t>
      </w:r>
    </w:p>
    <w:p>
      <w:pPr>
        <w:pStyle w:val="Compact"/>
        <w:numPr>
          <w:ilvl w:val="0"/>
          <w:numId w:val="1021"/>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URL: https://ui-ogbuso.ru/novosti/ (дата обращения: 05.10.2026).</w:t>
      </w:r>
    </w:p>
    <w:p>
      <w:pPr>
        <w:pStyle w:val="Compact"/>
        <w:numPr>
          <w:ilvl w:val="0"/>
          <w:numId w:val="1021"/>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21"/>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Областная газета. 26.11.2025. — URL: https://www.ogirk.ru/2025/11/26/v-chunskom-zavershaetsja-stroitelstvo-dvuh-modulnyh-zhilyh-korpusov/ (дата обращения: 05.10.2026).</w:t>
      </w:r>
    </w:p>
    <w:p>
      <w:pPr>
        <w:pStyle w:val="Compact"/>
        <w:numPr>
          <w:ilvl w:val="0"/>
          <w:numId w:val="1021"/>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URL: https://base.garant.ru/34763286/ (дата обращения: 05.10.2026).</w:t>
      </w:r>
    </w:p>
    <w:p>
      <w:pPr>
        <w:pStyle w:val="Compact"/>
        <w:numPr>
          <w:ilvl w:val="0"/>
          <w:numId w:val="1021"/>
        </w:numPr>
      </w:pPr>
      <w:r>
        <w:t xml:space="preserve">[н] Вариативное меню появляется в домах соцобслуживания Вологодчины // СеверИнфо. 05.07.2026. — URL: https://www.severinfo.ru/society/91519-variativnoe-menju-pojavljaetsja-v-domah-socobsluzhivanija-vologodchiny.html (дата обращения: 05.10.2026).</w:t>
      </w:r>
    </w:p>
    <w:p>
      <w:pPr>
        <w:pStyle w:val="Compact"/>
        <w:numPr>
          <w:ilvl w:val="0"/>
          <w:numId w:val="1021"/>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Областная газета. 04.02.2026. № 11 (2949). — URL: https://www.ogirk.ru/2026/02/04/vladimir-rodionov-na-prieme-v-sluzhbah-soczashhity-net-ocheredej/ (дата обращения: 05.10.2026).</w:t>
      </w:r>
    </w:p>
    <w:p>
      <w:pPr>
        <w:pStyle w:val="Compact"/>
        <w:numPr>
          <w:ilvl w:val="0"/>
          <w:numId w:val="1021"/>
        </w:numPr>
      </w:pPr>
      <w:r>
        <w:t xml:space="preserve">[н] Работа по развитию психоневрологических интернатов продолжается / Комитет по социальной политике Санкт-Петербурга. 22.07.2025. — URL: https://gov.spb.ru/gov/otrasl/trud/news/302216/ (дата обращения: 05.10.2026).</w:t>
      </w:r>
    </w:p>
    <w:p>
      <w:pPr>
        <w:pStyle w:val="Compact"/>
        <w:numPr>
          <w:ilvl w:val="0"/>
          <w:numId w:val="1021"/>
        </w:numPr>
      </w:pPr>
      <w:r>
        <w:t xml:space="preserve">[н] Не просто накормить: доклад к семинару 25–27.08.2026. — Репозиторий qlolp/seminar-variable-food-2026, папка raw/sources/ne-prosto-nakormit/doklad/.</w:t>
      </w:r>
    </w:p>
    <w:p>
      <w:pPr>
        <w:pStyle w:val="Compact"/>
        <w:numPr>
          <w:ilvl w:val="0"/>
          <w:numId w:val="1021"/>
        </w:numPr>
      </w:pPr>
      <w:r>
        <w:t xml:space="preserve">[н] Рабочая база знаний проекта (wiki/, в том числе wiki/gaps.md, wiki/entities/, wiki/concepts/) и предшествующие аналитические записки (raw/sources/related/). — Репозиторий qlolp/seminar-variable-food-2026.</w:t>
      </w:r>
    </w:p>
    <w:p>
      <w:pPr>
        <w:pStyle w:val="Compact"/>
        <w:numPr>
          <w:ilvl w:val="0"/>
          <w:numId w:val="1021"/>
        </w:numPr>
      </w:pPr>
      <w:r>
        <w:t xml:space="preserve">[о] Федеральный закон от 28.12.2013 № 442-ФЗ «Об основах социального обслуживания граждан в Российской Федерации». — URL: https://www.consultant.ru/document/cons_doc_LAW_156558/ (дата обращения: 05.10.2026).</w:t>
      </w:r>
    </w:p>
    <w:p>
      <w:pPr>
        <w:pStyle w:val="Compact"/>
        <w:numPr>
          <w:ilvl w:val="0"/>
          <w:numId w:val="1021"/>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URL: https://base.garant.ru/70829256/ (дата обращения: 05.10.2026).</w:t>
      </w:r>
    </w:p>
    <w:p>
      <w:pPr>
        <w:pStyle w:val="Compact"/>
        <w:numPr>
          <w:ilvl w:val="0"/>
          <w:numId w:val="1021"/>
        </w:numPr>
      </w:pPr>
      <w:r>
        <w:t xml:space="preserve">[н] Закон РФ от 02.07.1992 № 3185-1 «О психиатрической помощи и гарантиях прав граждан при её оказании». — URL: https://www.consultant.ru/document/cons_doc_LAW_4205/ (дата обращения: 05.10.2026).</w:t>
      </w:r>
    </w:p>
    <w:p>
      <w:pPr>
        <w:pStyle w:val="Compact"/>
        <w:numPr>
          <w:ilvl w:val="0"/>
          <w:numId w:val="1021"/>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URL: https://www.consultant.ru/document/cons_doc_LAW_506945/ (дата обращения: 05.10.2026).</w:t>
      </w:r>
    </w:p>
    <w:p>
      <w:pPr>
        <w:pStyle w:val="Compact"/>
        <w:numPr>
          <w:ilvl w:val="0"/>
          <w:numId w:val="1021"/>
        </w:numPr>
      </w:pPr>
      <w:r>
        <w:t xml:space="preserve">[н] Правила внутреннего распорядка СПб ГАСУСОН «ДСО „Серафимовский“» (утв. приказом от 10.03.2026 № 124). Архивная копия сайта учреждения от 15.04.2026. — URL: https://web.archive.org/web/20260415001233/https://www.pni9.ru/правила-внутреннего-распорядка/ (дата обращения: 21.08.2026).</w:t>
      </w:r>
    </w:p>
    <w:p>
      <w:pPr>
        <w:pStyle w:val="Compact"/>
        <w:numPr>
          <w:ilvl w:val="0"/>
          <w:numId w:val="1021"/>
        </w:numPr>
      </w:pPr>
      <w:r>
        <w:t xml:space="preserve">[н] Питание / ГАСУСО МО «Добрый дом „Солнечногорский“». — URL: https://ddsol.ru/about/pitanie/ (дата обращения: 05.10.2026).</w:t>
      </w:r>
    </w:p>
    <w:p>
      <w:pPr>
        <w:pStyle w:val="Compact"/>
        <w:numPr>
          <w:ilvl w:val="0"/>
          <w:numId w:val="1021"/>
        </w:numPr>
      </w:pPr>
      <w:r>
        <w:t xml:space="preserve">[н] Nijs K. A. N. D., de Graaf C., Kok F. J., van Staveren W. A. Effect of family style mealtimes on quality of life, physical performance, and body weight of nursing home residents: cluster randomised controlled trial // BMJ. 2006. Vol. 332. P. 1180–1184. DOI: 10.1136/bmj.38825.401181.7C.</w:t>
      </w:r>
    </w:p>
    <w:p>
      <w:pPr>
        <w:pStyle w:val="Compact"/>
        <w:numPr>
          <w:ilvl w:val="0"/>
          <w:numId w:val="1021"/>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URL: https://base.garant.ru/184396/ ; первоначальная редакция: https://base.garant.ru/5365902/ (дата обращения: 05.10.2026).</w:t>
      </w:r>
    </w:p>
    <w:p>
      <w:pPr>
        <w:pStyle w:val="Compact"/>
        <w:numPr>
          <w:ilvl w:val="0"/>
          <w:numId w:val="1021"/>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URL: https://base.garant.ru/405707433/ ; https://mintrud.gov.ru/docs/2466 (дата обращения: 05.10.2026).</w:t>
      </w:r>
    </w:p>
    <w:p>
      <w:pPr>
        <w:pStyle w:val="Compact"/>
        <w:numPr>
          <w:ilvl w:val="0"/>
          <w:numId w:val="1021"/>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 URL: https://base.garant.ru/22921449/ (дата обращения: 05.10.2026).</w:t>
      </w:r>
    </w:p>
    <w:p>
      <w:pPr>
        <w:pStyle w:val="Compact"/>
        <w:numPr>
          <w:ilvl w:val="0"/>
          <w:numId w:val="1021"/>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URL: https://www.consultant.ru/document/cons_doc_LAW_28399/ (дата обращения: 05.10.2026).</w:t>
      </w:r>
    </w:p>
    <w:p>
      <w:pPr>
        <w:pStyle w:val="Compact"/>
        <w:numPr>
          <w:ilvl w:val="0"/>
          <w:numId w:val="1021"/>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URL: https://www.un.org/ru/documents/decl_conv/conventions/disability.shtml (дата обращения: 05.10.2026).</w:t>
      </w:r>
    </w:p>
    <w:p>
      <w:pPr>
        <w:pStyle w:val="Compact"/>
        <w:numPr>
          <w:ilvl w:val="0"/>
          <w:numId w:val="1021"/>
        </w:numPr>
      </w:pPr>
      <w:r>
        <w:t xml:space="preserve">[н] Committee on the Rights of Persons with Disabilities. General comment No. 1 (2014). Article 12: Equal recognition before the law. CRPD/C/GC/1. — URL: https://documents.un.org/doc/undoc/gen/g14/031/20/pdf/g1403120.pdf (дата обращения: 05.10.2026).</w:t>
      </w:r>
    </w:p>
    <w:p>
      <w:pPr>
        <w:pStyle w:val="Compact"/>
        <w:numPr>
          <w:ilvl w:val="0"/>
          <w:numId w:val="1021"/>
        </w:numPr>
      </w:pPr>
      <w:r>
        <w:t xml:space="preserve">[н] Агафонов И. Что изменится в жизни подопечных ПНИ с сентября // Милосердие.ru. 20.06.2025. — URL: https://www.miloserdie.ru/news/novye-pravila-i-novye-vozmozhnosti-chto-izmenitsya-v-zhizni-podopechnyh-pni-s-sentyabrya/ (дата обращения: 05.10.2026).</w:t>
      </w:r>
    </w:p>
    <w:p>
      <w:pPr>
        <w:pStyle w:val="Compact"/>
        <w:numPr>
          <w:ilvl w:val="0"/>
          <w:numId w:val="1021"/>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21"/>
        </w:numPr>
      </w:pPr>
      <w:r>
        <w:t xml:space="preserve">[н] Горелик С. Г. и др. Оценка нутритивного статуса и коррекция питания лиц пожилого возраста в учреждении социального обслуживания // Современные проблемы здравоохранения и медицинской статистики. 2020. № 4. — URL: https://cyberleninka.ru/ (дата обращения: 05.10.2026).</w:t>
      </w:r>
    </w:p>
    <w:p>
      <w:pPr>
        <w:pStyle w:val="Compact"/>
        <w:numPr>
          <w:ilvl w:val="0"/>
          <w:numId w:val="1021"/>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URL: https://www.rospotrebnadzor.ru/documents/details.php?ELEMENT_ID=18979 (дата обращения: 05.10.2026).</w:t>
      </w:r>
    </w:p>
    <w:p>
      <w:pPr>
        <w:pStyle w:val="Compact"/>
        <w:numPr>
          <w:ilvl w:val="0"/>
          <w:numId w:val="1021"/>
        </w:numPr>
      </w:pPr>
      <w:r>
        <w:t xml:space="preserve">[о] Постановление Правительства Свердловской области от 10.11.2022 № 765-ПП (нормы питания в организациях социального обслуживания). — URL: https://base.garant.ru/405688359/ (дата обращения: 05.10.2026).</w:t>
      </w:r>
    </w:p>
    <w:p>
      <w:pPr>
        <w:pStyle w:val="Compact"/>
        <w:numPr>
          <w:ilvl w:val="0"/>
          <w:numId w:val="1021"/>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последующие изменения не проверялись). Текст воспроизведён на сайте КГБУ СО «КЦСОН „Тонус“» вместе со сведениями об организации питания учреждения. — URL: https://ctonus.ru/f/normy_pitaniya.docx (дата обращения: 05.10.2026).</w:t>
      </w:r>
    </w:p>
    <w:p>
      <w:pPr>
        <w:pStyle w:val="Compact"/>
        <w:numPr>
          <w:ilvl w:val="0"/>
          <w:numId w:val="1021"/>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URL: https://luga-pni.ru/f/prikazom_komiteta_po_socialnoj_zashchite_naseleniya_leningradskoj_oblasti_no04_ot_30122021_goda_ob_utverzhdenii_normativov_o.pdf (дата обращения: 05.10.2026).</w:t>
      </w:r>
    </w:p>
    <w:p>
      <w:pPr>
        <w:pStyle w:val="Compact"/>
        <w:numPr>
          <w:ilvl w:val="0"/>
          <w:numId w:val="1021"/>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21"/>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URL: https://soc52.ru/sorm-di-documents/statement/item/447-statement-food (дата обращения: 05.10.2026).</w:t>
      </w:r>
    </w:p>
    <w:p>
      <w:pPr>
        <w:pStyle w:val="Compact"/>
        <w:numPr>
          <w:ilvl w:val="0"/>
          <w:numId w:val="1021"/>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URL: https://base.garant.ru/12133007/ (дата обращения: 05.10.2026).</w:t>
      </w:r>
    </w:p>
    <w:p>
      <w:pPr>
        <w:pStyle w:val="Compact"/>
        <w:numPr>
          <w:ilvl w:val="0"/>
          <w:numId w:val="1021"/>
        </w:numPr>
      </w:pPr>
      <w:r>
        <w:t xml:space="preserve">[о] Приказ Минздрава России от 21.06.2013 № 395н «Об утверждении норм лечебного питания». — URL: https://base.garant.ru/70412098/ (дата обращения: 05.10.2026).</w:t>
      </w:r>
    </w:p>
    <w:p>
      <w:pPr>
        <w:pStyle w:val="Compact"/>
        <w:numPr>
          <w:ilvl w:val="0"/>
          <w:numId w:val="1021"/>
        </w:numPr>
      </w:pPr>
      <w:r>
        <w:t xml:space="preserve">[о] Приказ Минздрава России от 23.09.2020 № 1008н «Об утверждении порядка обеспечения пациентов лечебным питанием». — URL: https://base.garant.ru/74703746/ (дата обращения: 05.10.2026).</w:t>
      </w:r>
    </w:p>
    <w:p>
      <w:pPr>
        <w:pStyle w:val="Compact"/>
        <w:numPr>
          <w:ilvl w:val="0"/>
          <w:numId w:val="1021"/>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Российский журнал гериатрической медицины. 2021. № 1. С. 15–34. DOI: 10.37586/2686-8636-1-2021-15-34.</w:t>
      </w:r>
    </w:p>
    <w:p>
      <w:pPr>
        <w:pStyle w:val="Compact"/>
        <w:numPr>
          <w:ilvl w:val="0"/>
          <w:numId w:val="1021"/>
        </w:numPr>
      </w:pPr>
      <w:r>
        <w:t xml:space="preserve">[о] Организация питания: страницы сайтов учреждений социального обслуживания Омской области. — URL: http://www.ditavrich55.ru/pitanie ; https://pni55.ru/perechen-zapreshchennyh-produktov (дата обращения: 16.07.2026, по первой редакции обзора).</w:t>
      </w:r>
    </w:p>
    <w:p>
      <w:pPr>
        <w:pStyle w:val="Compact"/>
        <w:numPr>
          <w:ilvl w:val="0"/>
          <w:numId w:val="1021"/>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URL: https://www.consultant.ru/document/cons_doc_LAW_144624/ (дата обращения: 05.10.2026).</w:t>
      </w:r>
    </w:p>
    <w:p>
      <w:pPr>
        <w:pStyle w:val="Compact"/>
        <w:numPr>
          <w:ilvl w:val="0"/>
          <w:numId w:val="1021"/>
        </w:numPr>
      </w:pPr>
      <w:r>
        <w:t xml:space="preserve">[н] Федеральный закон от 18.07.2011 № 223-ФЗ «О закупках товаров, работ, услуг отдельными видами юридических лиц». — URL: https://www.consultant.ru/document/cons_doc_LAW_116964/ (дата обращения: 05.10.2026).</w:t>
      </w:r>
    </w:p>
    <w:p>
      <w:pPr>
        <w:pStyle w:val="Compact"/>
        <w:numPr>
          <w:ilvl w:val="0"/>
          <w:numId w:val="1021"/>
        </w:numPr>
      </w:pPr>
      <w:r>
        <w:t xml:space="preserve">[н] Письмо Минфина России от 29.12.2014 № 02-02-08/68298. — URL: https://base.garant.ru/70853116/ (дата обращения: 05.10.2026).</w:t>
      </w:r>
    </w:p>
    <w:p>
      <w:pPr>
        <w:pStyle w:val="Compact"/>
        <w:numPr>
          <w:ilvl w:val="0"/>
          <w:numId w:val="1021"/>
        </w:numPr>
      </w:pPr>
      <w:r>
        <w:t xml:space="preserve">[н] Постановление Арбитражного суда Дальневосточного округа от 05.12.2025 № Ф03-3556/25 по делу № А73-20917/2024. — URL: https://base.garant.ru/37266612/ ; https://www.garant.ru/files/6/0/2049606/postanovlenie_arbitragnogo_suda_dalnevostochnogo_okruga_ot_5_dekabrya_2025_g_n_f0.pdf (дата обращения: 05.10.2026). Об определении Верховного Суда РФ от 28.01.2026 № 303-ЭС25-15393 по этому делу — по сообщению pro-ability.ru (текст определения по первоисточнику не проверен).</w:t>
      </w:r>
    </w:p>
    <w:p>
      <w:pPr>
        <w:pStyle w:val="Compact"/>
        <w:numPr>
          <w:ilvl w:val="0"/>
          <w:numId w:val="1021"/>
        </w:numPr>
      </w:pPr>
      <w:r>
        <w:t xml:space="preserve">[н] Когда автономные учреждения не вправе контрактоваться по Закону № 223-ФЗ / ГАРАНТ.РУ; воспроизведено: Информационный портал закупок. 2026. — URL: https://www.zakupki-portal.ru/novosti/main-news/kogda-avtonomnye-uchrezhdeniya-ne-vprave-kontraktovat-sya-po-zakonu-223-fz/ (дата обращения: 05.10.2026).</w:t>
      </w:r>
    </w:p>
    <w:p>
      <w:pPr>
        <w:pStyle w:val="Compact"/>
        <w:numPr>
          <w:ilvl w:val="0"/>
          <w:numId w:val="1021"/>
        </w:numPr>
      </w:pPr>
      <w:r>
        <w:t xml:space="preserve">[н] Извещение № 0372200070825000244 «Поставка продуктов питания» (заказчик — СПб ГБСУСОН «ДСО „Тесовый берег“», ИНН 7827661874; опубл. 24.11.2025). — URL: https://www.tenderguru.ru/tender/90473908 (дата обращения: 05.10.2026).</w:t>
      </w:r>
    </w:p>
    <w:p>
      <w:pPr>
        <w:pStyle w:val="Compact"/>
        <w:numPr>
          <w:ilvl w:val="0"/>
          <w:numId w:val="1021"/>
        </w:numPr>
      </w:pPr>
      <w:r>
        <w:t xml:space="preserve">[о] Кодекс Российской Федерации об административных правонарушениях от 30.12.2001 № 195-ФЗ. Ст. 6.3, 6.6, 6.7. — URL: https://www.consultant.ru/document/cons_doc_LAW_34661/ (дата обращения: 05.10.2026).</w:t>
      </w:r>
    </w:p>
    <w:p>
      <w:pPr>
        <w:pStyle w:val="Compact"/>
        <w:numPr>
          <w:ilvl w:val="0"/>
          <w:numId w:val="1021"/>
        </w:numPr>
      </w:pPr>
      <w:r>
        <w:t xml:space="preserve">[н] Новости прокуратуры: привлечение к ответственности по ст. 6.6 КоАП РФ руководителя социально-реабилитационного центра (2022) // Кашин.инфо. — URL: https://www.kashin.info/prokuratura-informiruet/novosti-prokuratury/9121 (дата обращения: 23.07.2026).</w:t>
      </w:r>
    </w:p>
    <w:p>
      <w:pPr>
        <w:pStyle w:val="Compact"/>
        <w:numPr>
          <w:ilvl w:val="0"/>
          <w:numId w:val="1021"/>
        </w:numPr>
      </w:pPr>
      <w:r>
        <w:t xml:space="preserve">[н] Постановление Верховного Суда РФ от 21.02.2019 № 11-АД19-4. — URL: https://www.garant.ru/products/ipo/prime/doc/72095418/ (дата обращения: 05.10.2026).</w:t>
      </w:r>
    </w:p>
    <w:p>
      <w:pPr>
        <w:pStyle w:val="Compact"/>
        <w:numPr>
          <w:ilvl w:val="0"/>
          <w:numId w:val="1021"/>
        </w:numPr>
      </w:pPr>
      <w:r>
        <w:t xml:space="preserve">[н] ФАС раскрыла картель на торгах на поставку социально значимых продуктов // Российская газета. 25.07.2024. — URL: https://rg.ru/2024/07/25/fas-raskryla-kartel-na-torgah-na-postavku-socialno-znachimyh-produktov.html (дата обращения: 23.07.2026).</w:t>
      </w:r>
    </w:p>
    <w:p>
      <w:pPr>
        <w:pStyle w:val="Compact"/>
        <w:numPr>
          <w:ilvl w:val="0"/>
          <w:numId w:val="1021"/>
        </w:numPr>
      </w:pPr>
      <w:r>
        <w:t xml:space="preserve">[н] Челябинское УФАС: картель на 27 тендерах школьного питания // Про-Госзаказ. 2025. — URL: https://pro-goszakaz.ru/news/116068 (дата обращения: 05.10.2026).</w:t>
      </w:r>
    </w:p>
    <w:p>
      <w:pPr>
        <w:pStyle w:val="Compact"/>
        <w:numPr>
          <w:ilvl w:val="0"/>
          <w:numId w:val="1021"/>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URL: https://base.garant.ru/405012407/ (дата обращения: 05.10.2026).</w:t>
      </w:r>
    </w:p>
    <w:p>
      <w:pPr>
        <w:pStyle w:val="Compact"/>
        <w:numPr>
          <w:ilvl w:val="0"/>
          <w:numId w:val="1021"/>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актуальная редакция для совершеннолетних не проверялась). — URL: https://lawmix.ru/zakonodatelstvo/1941538 (дата обращения: 05.10.2026).</w:t>
      </w:r>
    </w:p>
    <w:p>
      <w:pPr>
        <w:pStyle w:val="Compact"/>
        <w:numPr>
          <w:ilvl w:val="0"/>
          <w:numId w:val="1021"/>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URL: https://www.garant.ru/hotlaw/peterburg/1318583/ (дата обращения: 05.10.2026).</w:t>
      </w:r>
    </w:p>
    <w:p>
      <w:pPr>
        <w:pStyle w:val="Compact"/>
        <w:numPr>
          <w:ilvl w:val="0"/>
          <w:numId w:val="1021"/>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URL: https://base.garant.ru/22921910/ (дата обращения: 05.10.2026).</w:t>
      </w:r>
    </w:p>
    <w:p>
      <w:pPr>
        <w:pStyle w:val="Compact"/>
        <w:numPr>
          <w:ilvl w:val="0"/>
          <w:numId w:val="1021"/>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URL: https://base.garant.ru/411120324/ (дата обращения: 05.10.2026).</w:t>
      </w:r>
    </w:p>
    <w:p>
      <w:pPr>
        <w:pStyle w:val="Compact"/>
        <w:numPr>
          <w:ilvl w:val="0"/>
          <w:numId w:val="1021"/>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URL: http://publication.pravo.gov.ru/document/7801202512190004 (дата обращения: 05.10.2026).</w:t>
      </w:r>
    </w:p>
    <w:p>
      <w:pPr>
        <w:pStyle w:val="Compact"/>
        <w:numPr>
          <w:ilvl w:val="0"/>
          <w:numId w:val="1021"/>
        </w:numPr>
      </w:pPr>
      <w:r>
        <w:t xml:space="preserve">[о] Ежегодный доклад Уполномоченного по правам ребёнка в Санкт-Петербурге за 2024 год. — URL: https://spbdeti.org/upload/iblock/357/f10ncjwqcpqic00z1kiskc8zw7jy26ow/ZAKS_2025.pdf (дата обращения: 16.07.2026, по первой редакции обзора).</w:t>
      </w:r>
    </w:p>
    <w:p>
      <w:pPr>
        <w:pStyle w:val="Compact"/>
        <w:numPr>
          <w:ilvl w:val="0"/>
          <w:numId w:val="1021"/>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URL: https://navigator.osoboepravo.ru/explanation/417.html (дата обращения: 05.10.2026).</w:t>
      </w:r>
    </w:p>
    <w:p>
      <w:pPr>
        <w:pStyle w:val="Compact"/>
        <w:numPr>
          <w:ilvl w:val="0"/>
          <w:numId w:val="1021"/>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URL: https://base.garant.ru/404606671/ (дата обращения: 05.10.2026).</w:t>
      </w:r>
    </w:p>
    <w:p>
      <w:pPr>
        <w:pStyle w:val="Compact"/>
        <w:numPr>
          <w:ilvl w:val="0"/>
          <w:numId w:val="1021"/>
        </w:numPr>
      </w:pPr>
      <w:r>
        <w:t xml:space="preserve">[о] Приказ от 11.11.2014 № 171-п (нормы питания в организациях социального обслуживания Омской области). — URL: https://base.garant.ru/15588873/ (дата обращения: 05.10.2026).</w:t>
      </w:r>
    </w:p>
    <w:p>
      <w:pPr>
        <w:pStyle w:val="Compact"/>
        <w:numPr>
          <w:ilvl w:val="0"/>
          <w:numId w:val="1021"/>
        </w:numPr>
      </w:pPr>
      <w:r>
        <w:t xml:space="preserve">[о] Приказ Комитета по социальной защите населения Псковской области от 14.07.2020 № 206 (нормы питания). — URL: https://faolex.fao.org/docs/pdf/rus203529.pdf (дата обращения: 05.10.2026).</w:t>
      </w:r>
    </w:p>
    <w:p>
      <w:pPr>
        <w:pStyle w:val="Compact"/>
        <w:numPr>
          <w:ilvl w:val="0"/>
          <w:numId w:val="1021"/>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URL: https://sprt.tatar/files/Otchet_Psih_2025.pdf (дата обращения: 16.07.2026, по первой редакции обзора).</w:t>
      </w:r>
    </w:p>
    <w:p>
      <w:pPr>
        <w:pStyle w:val="Compact"/>
        <w:numPr>
          <w:ilvl w:val="0"/>
          <w:numId w:val="1021"/>
        </w:numPr>
      </w:pPr>
      <w:r>
        <w:t xml:space="preserve">[н] Wheeler M., Abbey K. L., Capra S. M. Choice on the menu: Increasing meal choice for people living in residential aged care, a pilot study // Journal of Human Nutrition and Dietetics. 2025. Vol. 38, № 1. e13401. DOI: 10.1111/jhn.13401.</w:t>
      </w:r>
    </w:p>
    <w:p>
      <w:pPr>
        <w:pStyle w:val="Compact"/>
        <w:numPr>
          <w:ilvl w:val="0"/>
          <w:numId w:val="1021"/>
        </w:numPr>
      </w:pPr>
      <w:r>
        <w:t xml:space="preserve">[н] Cereda E., Pedrolli C., Klersy C. et al. Nutritional status in older persons according to healthcare setting: A systematic review and meta-analysis of prevalence data using MNA® // Clinical Nutrition. 2016. Vol. 35, № 6. P. 1282–1290. DOI: 10.1016/j.clnu.2016.03.008.</w:t>
      </w:r>
    </w:p>
    <w:p>
      <w:pPr>
        <w:pStyle w:val="Compact"/>
        <w:numPr>
          <w:ilvl w:val="0"/>
          <w:numId w:val="1021"/>
        </w:numPr>
      </w:pPr>
      <w:r>
        <w:t xml:space="preserve">[н] Wright O. R. L., Connelly L. B., Capra S., Hendrikz J. Determinants of foodservice satisfaction for patients in geriatrics/rehabilitation and residents in residential aged care // Health Expectations. 2013. Vol. 16, № 3. P. 251–265. DOI: 10.1111/j.1369-7625.2011.00711.x.</w:t>
      </w:r>
    </w:p>
    <w:p>
      <w:pPr>
        <w:pStyle w:val="Compact"/>
        <w:numPr>
          <w:ilvl w:val="0"/>
          <w:numId w:val="1021"/>
        </w:numPr>
      </w:pPr>
      <w:r>
        <w:t xml:space="preserve">[н] Abbey K. L., Wright O. R. L., Capra S. Menu Planning in Residential Aged Care — The Level of Choice and Quality of Planning of Meals Available to Residents // Nutrients. 2015. Vol. 7, № 9. P. 7580–7592. DOI: 10.3390/nu7095354.</w:t>
      </w:r>
    </w:p>
    <w:p>
      <w:pPr>
        <w:pStyle w:val="Compact"/>
        <w:numPr>
          <w:ilvl w:val="0"/>
          <w:numId w:val="1021"/>
        </w:numPr>
      </w:pPr>
      <w:r>
        <w:t xml:space="preserve">[н] Wheeler M., Abbey K. L., Capra S. M. Choice on the menu in residential aged care: An underrated tool for maintaining resident autonomy // Nutrition &amp; Dietetics. 2025. Vol. 82, № 3. P. 327–336. DOI: 10.1111/1747-0080.70002.</w:t>
      </w:r>
    </w:p>
    <w:p>
      <w:pPr>
        <w:pStyle w:val="Compact"/>
        <w:numPr>
          <w:ilvl w:val="0"/>
          <w:numId w:val="1021"/>
        </w:numPr>
      </w:pPr>
      <w:r>
        <w:t xml:space="preserve">[н] McCray S., Maunder K., Krikowa R., MacKenzie-Shalders K. Room Service Improves Nutritional Intake and Increases Patient Satisfaction While Decreasing Food Waste and Cost // Journal of the Academy of Nutrition and Dietetics. 2018. Vol. 118, № 2. P. 284–293. DOI: 10.1016/j.jand.2017.05.014.</w:t>
      </w:r>
    </w:p>
    <w:p>
      <w:pPr>
        <w:pStyle w:val="Compact"/>
        <w:numPr>
          <w:ilvl w:val="0"/>
          <w:numId w:val="1021"/>
        </w:numPr>
      </w:pPr>
      <w:r>
        <w:t xml:space="preserve">[н] Wang D., Everett B., Brunero S. et al. Perspectives of residents and staff regarding food choice in residential aged care: A qualitative study // Journal of Clinical Nursing. 2020. Vol. 29, № 3–4. P. 626–637. DOI: 10.1111/jocn.15115.</w:t>
      </w:r>
    </w:p>
    <w:p>
      <w:pPr>
        <w:pStyle w:val="Compact"/>
        <w:numPr>
          <w:ilvl w:val="0"/>
          <w:numId w:val="1021"/>
        </w:numPr>
      </w:pPr>
      <w:r>
        <w:t xml:space="preserve">[н] Bailey A., Bailey S., Bernoth M.</w:t>
      </w:r>
      <w:r>
        <w:t xml:space="preserve"> </w:t>
      </w:r>
      <w:r>
        <w:t xml:space="preserve">‘I’d rather die happy’</w:t>
      </w:r>
      <w:r>
        <w:t xml:space="preserve">: residents’ experiences with food regulations, risk and food choice in residential aged care. A qualitative study // Contemporary Nurse. 2017. Vol. 53, № 6. P. 597–606. DOI: 10.1080/10376178.2017.1361334.</w:t>
      </w:r>
    </w:p>
    <w:p>
      <w:pPr>
        <w:pStyle w:val="Compact"/>
        <w:numPr>
          <w:ilvl w:val="0"/>
          <w:numId w:val="1021"/>
        </w:numPr>
      </w:pPr>
      <w:r>
        <w:t xml:space="preserve">[н] Mondkar A., Murdoch M., Gallagher J. E., Patel R. What’s on the menu? A qualitative study on the views of care home staff and residents on nutritional practices and implications for oral health // BDJ Open. 2025. Vol. 11. Art. 33. DOI: 10.1038/s41405-025-00325-9.</w:t>
      </w:r>
    </w:p>
    <w:p>
      <w:pPr>
        <w:pStyle w:val="Compact"/>
        <w:numPr>
          <w:ilvl w:val="0"/>
          <w:numId w:val="1021"/>
        </w:numPr>
      </w:pPr>
      <w:r>
        <w:t xml:space="preserve">[н] Crogan N. L., Dupler A. E., Short R., Heaton G. Food choice can improve nursing home resident meal service satisfaction and nutritional status // Journal of Gerontological Nursing. 2013. Vol. 39, № 5. P. 38–45. DOI: 10.3928/00989134-20130313-02.</w:t>
      </w:r>
    </w:p>
    <w:p>
      <w:pPr>
        <w:pStyle w:val="Compact"/>
        <w:numPr>
          <w:ilvl w:val="0"/>
          <w:numId w:val="1021"/>
        </w:numPr>
      </w:pPr>
      <w:r>
        <w:t xml:space="preserve">[н] Divert C., Laghmaoui R., Crema C. et al. Improving meal context in nursing homes. Impact of four strategies on food intake and meal pleasure // Appetite. 2015. Vol. 84. P. 139–147. DOI: 10.1016/j.appet.2014.09.027.</w:t>
      </w:r>
    </w:p>
    <w:p>
      <w:pPr>
        <w:pStyle w:val="Compact"/>
        <w:numPr>
          <w:ilvl w:val="0"/>
          <w:numId w:val="1021"/>
        </w:numPr>
      </w:pPr>
      <w:r>
        <w:t xml:space="preserve">[н] Kenkmann A., Price G. M., Bolton J., Hooper L. Health, wellbeing and nutritional status of older people living in UK care homes: an exploratory evaluation of changes in food and drink provision // BMC Geriatrics. 2010. Vol. 10. Art. 28. DOI: 10.1186/1471-2318-10-28.</w:t>
      </w:r>
    </w:p>
    <w:p>
      <w:pPr>
        <w:pStyle w:val="Compact"/>
        <w:numPr>
          <w:ilvl w:val="0"/>
          <w:numId w:val="1021"/>
        </w:numPr>
      </w:pPr>
      <w:r>
        <w:t xml:space="preserve">[н] Abbott R. A., Whear R., Thompson-Coon J. et al. Effectiveness of mealtime interventions on nutritional outcomes for the elderly living in residential care: a systematic review and meta-analysis // Ageing Research Reviews. 2013. Vol. 12, № 4. P. 967–981. DOI: 10.1016/j.arr.2013.06.002.</w:t>
      </w:r>
    </w:p>
    <w:p>
      <w:pPr>
        <w:pStyle w:val="Compact"/>
        <w:numPr>
          <w:ilvl w:val="0"/>
          <w:numId w:val="1021"/>
        </w:numPr>
      </w:pPr>
      <w:r>
        <w:t xml:space="preserve">[н] Herke M., Fink A., Langer G. et al. Environmental and behavioural modifications for improving food and fluid intake in people with dementia // Cochrane Database of Systematic Reviews. 2018. № 7. CD011542. DOI: 10.1002/14651858.CD011542.pub2.</w:t>
      </w:r>
    </w:p>
    <w:p>
      <w:pPr>
        <w:pStyle w:val="Compact"/>
        <w:numPr>
          <w:ilvl w:val="0"/>
          <w:numId w:val="1021"/>
        </w:numPr>
      </w:pPr>
      <w:r>
        <w:t xml:space="preserve">[н] Roos C., Alam M., Swall A. et al. Factors associated with older persons’ perceptions of dignity and well-being over a three-year period. A retrospective national study in residential care facilities // BMC Geriatrics. 2022. Vol. 22. Art. 515. DOI: 10.1186/s12877-022-03205-1.</w:t>
      </w:r>
    </w:p>
    <w:p>
      <w:pPr>
        <w:pStyle w:val="Compact"/>
        <w:numPr>
          <w:ilvl w:val="0"/>
          <w:numId w:val="1021"/>
        </w:numPr>
      </w:pPr>
      <w:r>
        <w:t xml:space="preserve">[н] Teasdale S. B., Ward P. B., Samaras K. et al. Dietary intake of people with severe mental illness: systematic review and meta-analysis // British Journal of Psychiatry. 2019. Vol. 214, № 5. P. 251–259. DOI: 10.1192/bjp.2019.20.</w:t>
      </w:r>
    </w:p>
    <w:p>
      <w:pPr>
        <w:pStyle w:val="Compact"/>
        <w:numPr>
          <w:ilvl w:val="0"/>
          <w:numId w:val="1021"/>
        </w:numPr>
      </w:pPr>
      <w:r>
        <w:t xml:space="preserve">[н] Özdemir A., Chapman H., Hall R., Ellahi B. Eating Well When Living With an Intellectual Disability — Exploring the Carer: Client Relationship in Residential Settings // Journal of Applied Research in Intellectual Disabilities. 2025. Vol. 38, № 6. e70157. DOI: 10.1111/jar.70157.</w:t>
      </w:r>
    </w:p>
    <w:p>
      <w:pPr>
        <w:pStyle w:val="Compact"/>
        <w:numPr>
          <w:ilvl w:val="0"/>
          <w:numId w:val="1021"/>
        </w:numPr>
      </w:pPr>
      <w:r>
        <w:t xml:space="preserve">[н] Pfister F., Uhlmann K., Olalia L., Kaufmann B. Institutional and interpersonal determinants of dietary practices of persons with intellectual disability in institutional accommodation in Switzerland: a qualitative study // BMC Public Health. 2026. Vol. 26. Art. 1100. DOI: 10.1186/s12889-026-26794-7.</w:t>
      </w:r>
    </w:p>
    <w:p>
      <w:pPr>
        <w:pStyle w:val="Compact"/>
        <w:numPr>
          <w:ilvl w:val="0"/>
          <w:numId w:val="1021"/>
        </w:numPr>
      </w:pPr>
      <w:r>
        <w:t xml:space="preserve">[н] Volkert D., Beck A. M., Cederholm T. et al. ESPEN practical guideline: Clinical nutrition and hydration in geriatrics // Clinical Nutrition. 2022. Vol. 41, № 4. P. 958–989. DOI: 10.1016/j.clnu.2022.01.024.</w:t>
      </w:r>
    </w:p>
    <w:p>
      <w:pPr>
        <w:pStyle w:val="Compact"/>
        <w:numPr>
          <w:ilvl w:val="0"/>
          <w:numId w:val="1021"/>
        </w:numPr>
      </w:pPr>
      <w:r>
        <w:t xml:space="preserve">[н] Volkert D., Beck A. M., Faxén-Irving G. et al. ESPEN guideline on nutrition and hydration in dementia — Update 2024 // Clinical Nutrition. 2024. Vol. 43, № 6. P. 1599–1626. DOI: 10.1016/j.clnu.2024.04.039.</w:t>
      </w:r>
    </w:p>
    <w:p>
      <w:pPr>
        <w:pStyle w:val="Compact"/>
        <w:numPr>
          <w:ilvl w:val="0"/>
          <w:numId w:val="1021"/>
        </w:numPr>
      </w:pPr>
      <w:r>
        <w:t xml:space="preserve">[н] Roulston M., Thompson C., Pelly F., Cave D. Food waste in residential aged care: A scoping review // Nutrition &amp; Dietetics. 2026. Vol. 83, № 1. P. 56–73. DOI: 10.1111/1747-0080.70034.</w:t>
      </w:r>
    </w:p>
    <w:p>
      <w:pPr>
        <w:pStyle w:val="Compact"/>
        <w:numPr>
          <w:ilvl w:val="0"/>
          <w:numId w:val="1021"/>
        </w:numPr>
      </w:pPr>
      <w:r>
        <w:t xml:space="preserve">[н] Williams P., Walton K. Plate waste in hospitals and strategies for change // e-SPEN, the European e-Journal of Clinical Nutrition and Metabolism. 2011. Vol. 6, № 6. P. e235–e241. DOI: 10.1016/j.eclnm.2011.09.006.</w:t>
      </w:r>
    </w:p>
    <w:p>
      <w:pPr>
        <w:pStyle w:val="Compact"/>
        <w:numPr>
          <w:ilvl w:val="0"/>
          <w:numId w:val="1021"/>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Nutrients. 2020. Vol. 12, № 9. Art. 2677. DOI: 10.3390/nu12092677.</w:t>
      </w:r>
    </w:p>
    <w:p>
      <w:pPr>
        <w:pStyle w:val="Compact"/>
        <w:numPr>
          <w:ilvl w:val="0"/>
          <w:numId w:val="1021"/>
        </w:numPr>
      </w:pPr>
      <w:r>
        <w:t xml:space="preserve">[н] Vucea V., Keller H. H., Morrison J. M. et al. Prevalence and Characteristics Associated with Modified Texture Food Use in Long Term Care: An Analysis of Making the Most of Mealtimes (M3) Project // Canadian Journal of Dietetic Practice and Research. 2019. Vol. 80, № 3. P. 104–110. DOI: 10.3148/cjdpr-2018-045.</w:t>
      </w:r>
    </w:p>
    <w:p>
      <w:pPr>
        <w:pStyle w:val="Compact"/>
        <w:numPr>
          <w:ilvl w:val="0"/>
          <w:numId w:val="1021"/>
        </w:numPr>
      </w:pPr>
      <w:r>
        <w:t xml:space="preserve">[н] Porter J., Ottrey E., Huggins C. E. Protected Mealtimes in hospitals and nutritional intake: Systematic review and meta-analyses // International Journal of Nursing Studies. 2017. Vol. 65. P. 62–69. DOI: 10.1016/j.ijnurstu.2016.11.002.</w:t>
      </w:r>
    </w:p>
    <w:p>
      <w:pPr>
        <w:pStyle w:val="Compact"/>
        <w:numPr>
          <w:ilvl w:val="0"/>
          <w:numId w:val="1021"/>
        </w:numPr>
      </w:pPr>
      <w:r>
        <w:t xml:space="preserve">[н] Hamasaki Y., Sakata N., Jin X. et al. Facility staffing associated with potentially avoidable hospitalizations in nursing home residents in Japan: a retrospective cohort study // BMC Geriatrics. 2023. Vol. 23. Art. 566. DOI: 10.1186/s12877-023-04278-2.</w:t>
      </w:r>
    </w:p>
    <w:p>
      <w:pPr>
        <w:pStyle w:val="Compact"/>
        <w:numPr>
          <w:ilvl w:val="0"/>
          <w:numId w:val="1021"/>
        </w:numPr>
      </w:pPr>
      <w:r>
        <w:t xml:space="preserve">[н] Keller H. H., Syed S., Dakkak H. et al. Reimagining Nutrition Care and Mealtimes in Long-Term Care // Journal of the American Medical Directors Association. 2022. Vol. 23, № 2. P. 253–260.e1. DOI: 10.1016/j.jamda.2021.12.021.</w:t>
      </w:r>
    </w:p>
    <w:p>
      <w:pPr>
        <w:pStyle w:val="Compact"/>
        <w:numPr>
          <w:ilvl w:val="0"/>
          <w:numId w:val="1021"/>
        </w:numPr>
      </w:pPr>
      <w:r>
        <w:t xml:space="preserve">[н] Simmons S. F., Osterweil D., Schnelle J. F. Improving food intake in nursing home residents with feeding assistance: a staffing analysis // The Journals of Gerontology. Series A. 2001. Vol. 56, № 12. P. M790–M794. DOI: 10.1093/gerona/56.12.m790.</w:t>
      </w:r>
    </w:p>
    <w:p>
      <w:pPr>
        <w:pStyle w:val="Compact"/>
        <w:numPr>
          <w:ilvl w:val="0"/>
          <w:numId w:val="1021"/>
        </w:numPr>
      </w:pPr>
      <w:r>
        <w:t xml:space="preserve">[н] Simmons S. F., Schnelle J. F. Individualized feeding assistance care for nursing home residents: staffing requirements to implement two interventions // The Journals of Gerontology. Series A. 2004. Vol. 59, № 9. P. M966–M973. DOI: 10.1093/gerona/59.9.m966.</w:t>
      </w:r>
    </w:p>
    <w:p>
      <w:pPr>
        <w:pStyle w:val="Compact"/>
        <w:numPr>
          <w:ilvl w:val="0"/>
          <w:numId w:val="1021"/>
        </w:numPr>
      </w:pPr>
      <w:r>
        <w:t xml:space="preserve">[н] Simmons S. F., Schnelle J. F. Feeding assistance needs of long-stay nursing home residents and staff time to provide care // Journal of the American Geriatrics Society. 2006. Vol. 54, № 6. P. 919–924. DOI: 10.1111/j.1532-5415.2006.00812.x.</w:t>
      </w:r>
    </w:p>
    <w:p>
      <w:pPr>
        <w:pStyle w:val="Compact"/>
        <w:numPr>
          <w:ilvl w:val="0"/>
          <w:numId w:val="1021"/>
        </w:numPr>
      </w:pPr>
      <w:r>
        <w:t xml:space="preserve">[н] Simmons S. F., Keeler E., Zhuo X. et al. Prevention of unintentional weight loss in nursing home residents: a controlled trial of feeding assistance // Journal of the American Geriatrics Society. 2008. Vol. 56, № 8. P. 1466–1473. DOI: 10.1111/j.1532-5415.2008.01801.x.</w:t>
      </w:r>
    </w:p>
    <w:p>
      <w:pPr>
        <w:pStyle w:val="Compact"/>
        <w:numPr>
          <w:ilvl w:val="0"/>
          <w:numId w:val="1021"/>
        </w:numPr>
      </w:pPr>
      <w:r>
        <w:t xml:space="preserve">[н] Hugo C., Isenring E., Sinclair D., Agarwal E. What does it cost to feed aged care residents in Australia? // Nutrition &amp; Dietetics. 2018. Vol. 75, № 1. P. 6–10. DOI: 10.1111/1747-0080.12368.</w:t>
      </w:r>
    </w:p>
    <w:p>
      <w:pPr>
        <w:pStyle w:val="Compact"/>
        <w:numPr>
          <w:ilvl w:val="0"/>
          <w:numId w:val="1021"/>
        </w:numPr>
      </w:pPr>
      <w:r>
        <w:t xml:space="preserve">[н] The Health and Social Care Act 2008 (Regulated Activities) Regulations 2014 (SI 2014/2936). Regulation 14: Meeting nutritional and hydration needs. — URL: https://www.legislation.gov.uk/uksi/2014/2936/regulation/14 (дата обращения: 05.10.2026).</w:t>
      </w:r>
    </w:p>
    <w:p>
      <w:pPr>
        <w:pStyle w:val="Compact"/>
        <w:numPr>
          <w:ilvl w:val="0"/>
          <w:numId w:val="1021"/>
        </w:numPr>
      </w:pPr>
      <w:r>
        <w:t xml:space="preserve">[н] Scottish Government. Health and Social Care Standards: my support, my life. 2017. Standards 1.33–1.39; Care Inspectorate. Eating and drinking well in care: good practice guidance. — URL: https://www.gov.scot/publications/health-social-care-standards-support-life/ ; https://www.careinspectorate.com/ (дата обращения: 05.10.2026).</w:t>
      </w:r>
    </w:p>
    <w:p>
      <w:pPr>
        <w:pStyle w:val="Compact"/>
        <w:numPr>
          <w:ilvl w:val="0"/>
          <w:numId w:val="1021"/>
        </w:numPr>
      </w:pPr>
      <w:r>
        <w:t xml:space="preserve">[н] 42 CFR § 483.60. Food and nutrition services. — URL: https://www.law.cornell.edu/cfr/text/42/483.60 (дата обращения: 05.10.2026).</w:t>
      </w:r>
    </w:p>
    <w:p>
      <w:pPr>
        <w:pStyle w:val="Compact"/>
        <w:numPr>
          <w:ilvl w:val="0"/>
          <w:numId w:val="1021"/>
        </w:numPr>
      </w:pPr>
      <w:r>
        <w:t xml:space="preserve">[н] Ontario Regulation 246/22 (General) under the Fixing Long-Term Care Act, 2021. Section 77: Menu planning (воспроизведено по: OSNAC Menu Evaluation &amp; Approval Tool for LTC, July 2022). — URL: https://www.ontario.ca/laws/regulation/220246 ; https://www.osnac-fnat.com/_files/ugd/666b77_dd887e8092914e799e758624ed767e8e.pdf (дата обращения: 05.10.2026).</w:t>
      </w:r>
    </w:p>
    <w:p>
      <w:pPr>
        <w:pStyle w:val="Compact"/>
        <w:numPr>
          <w:ilvl w:val="0"/>
          <w:numId w:val="1021"/>
        </w:numPr>
      </w:pPr>
      <w:r>
        <w:t xml:space="preserve">[н] Australian Government, Department of Health, Disability and Ageing. Strengthened Aged Care Quality Standards (Standard 6: Food and nutrition), в силе с 01.11.2025; Basic Daily Fee supplement. — URL: https://www.health.gov.au/ (дата обращения: 05.10.2026).</w:t>
      </w:r>
    </w:p>
    <w:p>
      <w:pPr>
        <w:pStyle w:val="Compact"/>
        <w:numPr>
          <w:ilvl w:val="0"/>
          <w:numId w:val="1021"/>
        </w:numPr>
      </w:pPr>
      <w:r>
        <w:t xml:space="preserve">[н] Deutsche Gesellschaft für Ernährung e. V. DGE-Qualitätsstandard für die Verpflegung mit „Essen auf Rädern“ und in Senioreneinrichtungen. 1. Auflage, 1. korrigierter Nachdruck. Bonn, 2022. — URL: https://www.dge.de/fileadmin/dok/gemeinschaftsgastronomie/dge-qualitaetsstandards/DGE-Qualitaetsstandard_Essen_auf_Raedern_Senioreneinrichtungen_aktualisiert.pdf (дата обращения: 05.10.2026).</w:t>
      </w:r>
    </w:p>
    <w:p>
      <w:pPr>
        <w:pStyle w:val="Compact"/>
        <w:numPr>
          <w:ilvl w:val="0"/>
          <w:numId w:val="1021"/>
        </w:numPr>
      </w:pPr>
      <w:r>
        <w:t xml:space="preserve">[н] Österreichische Gesellschaft für Ernährung / Bundesministerium für Soziales, Gesundheit, Pflege und Konsumentenschutz. Qualitätsstandard für die Verpflegung in Pflegeeinrichtungen (2022). — URL: https://www.sozialministerium.at/ (дата обращения: 05.10.2026).</w:t>
      </w:r>
    </w:p>
    <w:p>
      <w:pPr>
        <w:pStyle w:val="Compact"/>
        <w:numPr>
          <w:ilvl w:val="0"/>
          <w:numId w:val="1021"/>
        </w:numPr>
      </w:pPr>
      <w:r>
        <w:t xml:space="preserve">[н] Livsmedelsverket. Bra måltider i äldreomsorgen: nationella riktlinjer för måltider i äldreomsorgen. Uppsala, 2019 (uppdaterad maj 2024). ISBN 978-91-7714-262-1. — URL: https://www.livsmedelsverket.se/globalassets/publikationsdatabas/broschyrer-foldrar/riktlinjer_for_maltider_aldreomsorgen.pdf (дата обращения: 05.10.2026).</w:t>
      </w:r>
    </w:p>
    <w:p>
      <w:pPr>
        <w:pStyle w:val="Compact"/>
        <w:numPr>
          <w:ilvl w:val="0"/>
          <w:numId w:val="1021"/>
        </w:numPr>
      </w:pPr>
      <w:r>
        <w:t xml:space="preserve">[н] Ankestyrelsen. Tilsynsudtalelse om Fredericia Kommunes kvalitetsstandard for personlig pleje og praktisk hjælp (servicelovens § 83), 17.05.2024 (воспроизведено: DanmarkC TV, 07.06.2024). — URL: https://danmarkc.tv/afgoerelse-ankestyrelsen-vurderer-at-fredericia-kommune-handler-i-strid-med-lovgivningen/ (дата обращения: 05.10.2026).</w:t>
      </w:r>
    </w:p>
    <w:p>
      <w:pPr>
        <w:pStyle w:val="Compact"/>
        <w:numPr>
          <w:ilvl w:val="0"/>
          <w:numId w:val="1021"/>
        </w:numPr>
      </w:pPr>
      <w:r>
        <w:t xml:space="preserve">[н] Ministry of Health, Labour and Welfare (Japan). Long-term care insurance: nutrition management; LIFE (Long-term care Information system For Evidence), 2021. — URL: https://www.mhlw.go.jp/ (дата обращения: 05.10.2026).</w:t>
      </w:r>
    </w:p>
    <w:p>
      <w:pPr>
        <w:pStyle w:val="Compact"/>
        <w:numPr>
          <w:ilvl w:val="0"/>
          <w:numId w:val="1021"/>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URL: https://www.mhlw.go.jp/web/t_doc?dataId=82aa7416&amp;dataType=0&amp;pageNo=1 (дата обращения: 05.10.2026).</w:t>
      </w:r>
    </w:p>
    <w:p>
      <w:pPr>
        <w:pStyle w:val="Compact"/>
        <w:numPr>
          <w:ilvl w:val="0"/>
          <w:numId w:val="1021"/>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URL: https://www.mhlw.go.jp/web/t_doc?dataId=82aa0441&amp;dataType=0&amp;pageNo=1 (дата обращения: 05.10.2026).</w:t>
      </w:r>
    </w:p>
    <w:p>
      <w:pPr>
        <w:pStyle w:val="Compact"/>
        <w:numPr>
          <w:ilvl w:val="0"/>
          <w:numId w:val="1021"/>
        </w:numPr>
      </w:pPr>
      <w:r>
        <w:t xml:space="preserve">[н] Manimaran S., Razalli N. H., Abdul Manaf Z. et al. Strategies to Reduce the Rate of Plate Waste in Hospitalized Patients: A Scoping Review // Nutrients. 2023. Vol. 15, № 2. Art. 301. DOI: 10.3390/nu15020301.</w:t>
      </w:r>
    </w:p>
    <w:p>
      <w:pPr>
        <w:pStyle w:val="Compact"/>
        <w:numPr>
          <w:ilvl w:val="0"/>
          <w:numId w:val="1021"/>
        </w:numPr>
      </w:pPr>
      <w:r>
        <w:t xml:space="preserve">[н] Crogan N. L., Evans B. C. The shortened food expectations — long-term care questionnaire: assessing nursing home residents’ satisfaction with food and food service // Journal of Gerontological Nursing. 2006. Vol. 32, № 11. P. 50–59. DOI: 10.3928/00989134-20061101-08.</w:t>
      </w:r>
    </w:p>
    <w:p>
      <w:pPr>
        <w:pStyle w:val="Compact"/>
        <w:numPr>
          <w:ilvl w:val="0"/>
          <w:numId w:val="1021"/>
        </w:numPr>
      </w:pPr>
      <w:r>
        <w:t xml:space="preserve">[н] Yaxley A., Pankhurst M., Morgillo S., Miller M. A world-first food service satisfaction questionnaire for use with family members of nursing home residents // The Journal of Nutrition, Health and Aging. 2024. Vol. 28, № 1. Art. 100015. DOI: 10.1016/j.jnha.2023.100015.</w:t>
      </w:r>
    </w:p>
    <w:p>
      <w:pPr>
        <w:pStyle w:val="Compact"/>
        <w:numPr>
          <w:ilvl w:val="0"/>
          <w:numId w:val="1021"/>
        </w:numPr>
      </w:pPr>
      <w:r>
        <w:t xml:space="preserve">[н] Trinca V., Chaudhury H., Slaughter S. E. et al. Making the Most of Mealtimes (M3): Association Between Relationship-Centered Care Practices, and Number of Staff and Residents at Mealtimes in Canadian Long-Term Care Homes // Journal of the American Medical Directors Association. 2021. Vol. 22, № 9. P. 1927–1932.e1. DOI: 10.1016/j.jamda.2020.11.020.</w:t>
      </w:r>
    </w:p>
    <w:p>
      <w:pPr>
        <w:pStyle w:val="Compact"/>
        <w:numPr>
          <w:ilvl w:val="0"/>
          <w:numId w:val="1021"/>
        </w:numPr>
      </w:pPr>
      <w:r>
        <w:t xml:space="preserve">[н] Keller H. H., Wu S. A., Iraniparast M. et al. Relationship-Centered Mealtime Training Program Demonstrates Efficacy to Improve the Dining Environment in Long-Term Care // Journal of the American Medical Directors Association. 2021. Vol. 22, № 9. P. 1933–1938.e2. DOI: 10.1016/j.jamda.2020.11.008.</w:t>
      </w:r>
    </w:p>
    <w:p>
      <w:pPr>
        <w:pStyle w:val="Compact"/>
        <w:numPr>
          <w:ilvl w:val="0"/>
          <w:numId w:val="1021"/>
        </w:numPr>
      </w:pPr>
      <w:r>
        <w:t xml:space="preserve">[о] Федеральный закон от 30.03.1999 № 52-ФЗ «О санитарно-эпидемиологическом благополучии населения». — URL: https://www.consultant.ru/document/cons_doc_LAW_22481/ (дата обращения: 05.10.2026).</w:t>
      </w:r>
    </w:p>
    <w:p>
      <w:pPr>
        <w:pStyle w:val="Compact"/>
        <w:numPr>
          <w:ilvl w:val="0"/>
          <w:numId w:val="1021"/>
        </w:numPr>
      </w:pPr>
      <w:r>
        <w:t xml:space="preserve">[о] Федеральный закон от 02.01.2000 № 29-ФЗ «О качестве и безопасности пищевых продуктов». — URL: https://base.garant.ru/12117866/ (дата обращения: 05.10.2026).</w:t>
      </w:r>
    </w:p>
    <w:p>
      <w:pPr>
        <w:pStyle w:val="Compact"/>
        <w:numPr>
          <w:ilvl w:val="0"/>
          <w:numId w:val="1021"/>
        </w:numPr>
      </w:pPr>
      <w:r>
        <w:t xml:space="preserve">[о] Федеральный закон от 21.11.2011 № 323-ФЗ «Об основах охраны здоровья граждан в Российской Федерации». — URL: https://www.consultant.ru/document/cons_doc_LAW_121895/ (дата обращения: 05.10.2026).</w:t>
      </w:r>
    </w:p>
    <w:bookmarkEnd w:id="151"/>
    <w:bookmarkStart w:id="152" w:name="Xb35b60ca42e1fb0a8817bb56218638990a6c82f"/>
    <w:p>
      <w:pPr>
        <w:pStyle w:val="Heading1"/>
      </w:pPr>
      <w:r>
        <w:t xml:space="preserve">Приложение А. Реестр нормативных и иных актов</w:t>
      </w:r>
    </w:p>
    <w:p>
      <w:pPr>
        <w:pStyle w:val="FirstParagraph"/>
      </w:pPr>
      <w:r>
        <w:t xml:space="preserve">Классы: Н — норма (обязательна); Р — рекомендация (рекомендательный акт); МР — методический документ; Л — локальная форма; И — иностранный акт (в России не действует). Статус — на 05.10.2026.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[31]</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[32]</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[21]</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[23]</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[120]</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[121]</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w:t>
            </w:r>
          </w:p>
        </w:tc>
        <w:tc>
          <w:tcPr/>
          <w:p>
            <w:pPr>
              <w:pStyle w:val="Compact"/>
            </w:pPr>
            <w:r>
              <w:t xml:space="preserve">[122]</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[48]</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[49]</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[54]</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[24]</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[22]</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[29]</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[28]</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[35]</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w:t>
            </w:r>
          </w:p>
        </w:tc>
        <w:tc>
          <w:tcPr/>
          <w:p>
            <w:pPr>
              <w:pStyle w:val="Compact"/>
            </w:pPr>
            <w:r>
              <w:t xml:space="preserve">[2]</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[37]</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[43]</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[44]</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[45]</w:t>
            </w:r>
          </w:p>
        </w:tc>
      </w:tr>
      <w:tr>
        <w:tc>
          <w:tcPr/>
          <w:p>
            <w:pPr>
              <w:pStyle w:val="Compact"/>
            </w:pPr>
            <w:r>
              <w:t xml:space="preserve">22</w:t>
            </w:r>
          </w:p>
        </w:tc>
        <w:tc>
          <w:tcPr/>
          <w:p>
            <w:pPr>
              <w:pStyle w:val="Compact"/>
            </w:pPr>
            <w:r>
              <w:t xml:space="preserve">Пост. Правительства СПб от 29.12.2014 № 1284 (ред. 27.06.2022 № 561)</w:t>
            </w:r>
          </w:p>
        </w:tc>
        <w:tc>
          <w:tcPr/>
          <w:p>
            <w:pPr>
              <w:pStyle w:val="Compact"/>
            </w:pPr>
            <w:r>
              <w:t xml:space="preserve">Н</w:t>
            </w:r>
          </w:p>
        </w:tc>
        <w:tc>
          <w:tcPr/>
          <w:p>
            <w:pPr>
              <w:pStyle w:val="Compact"/>
            </w:pPr>
            <w:r>
              <w:t xml:space="preserve">Нормы питания СПб; две нормы для ПНИ</w:t>
            </w:r>
          </w:p>
        </w:tc>
        <w:tc>
          <w:tcPr/>
          <w:p>
            <w:pPr>
              <w:pStyle w:val="Compact"/>
            </w:pPr>
            <w:r>
              <w:t xml:space="preserve">[30]</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[62]</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w:t>
            </w:r>
          </w:p>
        </w:tc>
        <w:tc>
          <w:tcPr/>
          <w:p>
            <w:pPr>
              <w:pStyle w:val="Compact"/>
            </w:pPr>
            <w:r>
              <w:t xml:space="preserve">[63]</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[61]</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[59]</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[38]</w:t>
            </w:r>
          </w:p>
        </w:tc>
      </w:tr>
      <w:tr>
        <w:tc>
          <w:tcPr/>
          <w:p>
            <w:pPr>
              <w:pStyle w:val="Compact"/>
            </w:pPr>
            <w:r>
              <w:t xml:space="preserve">28</w:t>
            </w:r>
          </w:p>
        </w:tc>
        <w:tc>
          <w:tcPr/>
          <w:p>
            <w:pPr>
              <w:pStyle w:val="Compact"/>
            </w:pPr>
            <w:r>
              <w:t xml:space="preserve">Пост. Правительства Нижегородской обл. от 20.10.2014 № 709</w:t>
            </w:r>
          </w:p>
        </w:tc>
        <w:tc>
          <w:tcPr/>
          <w:p>
            <w:pPr>
              <w:pStyle w:val="Compact"/>
            </w:pPr>
            <w:r>
              <w:t xml:space="preserve">Н</w:t>
            </w:r>
          </w:p>
        </w:tc>
        <w:tc>
          <w:tcPr/>
          <w:p>
            <w:pPr>
              <w:pStyle w:val="Compact"/>
            </w:pPr>
            <w:r>
              <w:t xml:space="preserve">Нормы питания</w:t>
            </w:r>
          </w:p>
        </w:tc>
        <w:tc>
          <w:tcPr/>
          <w:p>
            <w:pPr>
              <w:pStyle w:val="Compact"/>
            </w:pPr>
            <w:r>
              <w:t xml:space="preserve">[67]</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[68]</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w:t>
            </w:r>
          </w:p>
        </w:tc>
        <w:tc>
          <w:tcPr/>
          <w:p>
            <w:pPr>
              <w:pStyle w:val="Compact"/>
            </w:pPr>
            <w:r>
              <w:t xml:space="preserve">[69]</w:t>
            </w:r>
          </w:p>
        </w:tc>
      </w:tr>
      <w:tr>
        <w:tc>
          <w:tcPr/>
          <w:p>
            <w:pPr>
              <w:pStyle w:val="Compact"/>
            </w:pPr>
            <w:r>
              <w:t xml:space="preserve">31</w:t>
            </w:r>
          </w:p>
        </w:tc>
        <w:tc>
          <w:tcPr/>
          <w:p>
            <w:pPr>
              <w:pStyle w:val="Compact"/>
            </w:pPr>
            <w:r>
              <w:t xml:space="preserve">Пост. Правительства Красноярского края от 17.12.2014 № 607-п</w:t>
            </w:r>
          </w:p>
        </w:tc>
        <w:tc>
          <w:tcPr/>
          <w:p>
            <w:pPr>
              <w:pStyle w:val="Compact"/>
            </w:pPr>
            <w:r>
              <w:t xml:space="preserve">Н</w:t>
            </w:r>
          </w:p>
        </w:tc>
        <w:tc>
          <w:tcPr/>
          <w:p>
            <w:pPr>
              <w:pStyle w:val="Compact"/>
            </w:pPr>
            <w:r>
              <w:t xml:space="preserve">Нормы питания (не анализировалось)</w:t>
            </w:r>
          </w:p>
        </w:tc>
        <w:tc>
          <w:tcPr/>
          <w:p>
            <w:pPr>
              <w:pStyle w:val="Compact"/>
            </w:pPr>
            <w:r>
              <w:t xml:space="preserve">[39]</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[26])</w:t>
            </w:r>
          </w:p>
        </w:tc>
        <w:tc>
          <w:tcPr/>
          <w:p>
            <w:pPr>
              <w:pStyle w:val="Compact"/>
            </w:pPr>
            <w:r>
              <w:t xml:space="preserve">[26]</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[15]</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заказное питание</w:t>
            </w:r>
          </w:p>
        </w:tc>
        <w:tc>
          <w:tcPr/>
          <w:p>
            <w:pPr>
              <w:pStyle w:val="Compact"/>
            </w:pPr>
            <w:r>
              <w:t xml:space="preserve">[25]</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[103]</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[104]</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[105]</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[106]</w:t>
            </w:r>
          </w:p>
        </w:tc>
      </w:tr>
    </w:tbl>
    <w:bookmarkEnd w:id="152"/>
    <w:bookmarkStart w:id="153"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Нетто, граммы на человека в сутки, если не указано иное [30]. Столбцы: (1) учреждения, кроме ПНИ; (2) ПНИ, норма с СБКС; (3) лица с сахарным диабетом; (4) лица с заболеваниями ЖКТ; (5) ПНИ, норма без СБКС; (6) рекомендуемая норма приказа № 520н для лиц 18 лет и старше [29].</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100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150</w:t>
            </w:r>
          </w:p>
        </w:tc>
      </w:tr>
      <w:tr>
        <w:tc>
          <w:tcPr/>
          <w:p>
            <w:pPr>
              <w:pStyle w:val="Compact"/>
            </w:pPr>
            <w:r>
              <w:t xml:space="preserve">Мука пшеничная</w:t>
            </w:r>
          </w:p>
        </w:tc>
        <w:tc>
          <w:tcPr/>
          <w:p>
            <w:pPr>
              <w:pStyle w:val="Compact"/>
            </w:pPr>
            <w:r>
              <w:t xml:space="preserve">45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r>
      <w:tr>
        <w:tc>
          <w:tcPr/>
          <w:p>
            <w:pPr>
              <w:pStyle w:val="Compact"/>
            </w:pPr>
            <w:r>
              <w:t xml:space="preserve">Мука картофельная (крахмал)</w:t>
            </w:r>
          </w:p>
        </w:tc>
        <w:tc>
          <w:tcPr/>
          <w:p>
            <w:pPr>
              <w:pStyle w:val="Compact"/>
            </w:pPr>
            <w:r>
              <w:t xml:space="preserve">2,5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80</w:t>
            </w:r>
          </w:p>
        </w:tc>
      </w:tr>
      <w:tr>
        <w:tc>
          <w:tcPr/>
          <w:p>
            <w:pPr>
              <w:pStyle w:val="Compact"/>
            </w:pPr>
            <w:r>
              <w:t xml:space="preserve">Овощи (все группы)</w:t>
            </w:r>
          </w:p>
        </w:tc>
        <w:tc>
          <w:tcPr/>
          <w:p>
            <w:pPr>
              <w:pStyle w:val="Compact"/>
            </w:pPr>
            <w:r>
              <w:t xml:space="preserve">318</w:t>
            </w:r>
          </w:p>
        </w:tc>
        <w:tc>
          <w:tcPr/>
          <w:p>
            <w:pPr>
              <w:pStyle w:val="Compact"/>
            </w:pPr>
            <w:r>
              <w:t xml:space="preserve">380</w:t>
            </w:r>
          </w:p>
        </w:tc>
        <w:tc>
          <w:tcPr/>
          <w:p>
            <w:pPr>
              <w:pStyle w:val="Compact"/>
            </w:pPr>
            <w:r>
              <w:t xml:space="preserve">402</w:t>
            </w:r>
          </w:p>
        </w:tc>
        <w:tc>
          <w:tcPr/>
          <w:p>
            <w:pPr>
              <w:pStyle w:val="Compact"/>
            </w:pPr>
            <w:r>
              <w:t xml:space="preserve">233,6</w:t>
            </w:r>
          </w:p>
        </w:tc>
        <w:tc>
          <w:tcPr/>
          <w:p>
            <w:pPr>
              <w:pStyle w:val="Compact"/>
            </w:pPr>
            <w:r>
              <w:t xml:space="preserve">380</w:t>
            </w:r>
          </w:p>
        </w:tc>
        <w:tc>
          <w:tcPr/>
          <w:p>
            <w:pPr>
              <w:pStyle w:val="Compact"/>
            </w:pPr>
            <w:r>
              <w:t xml:space="preserve">394,5¹</w:t>
            </w:r>
          </w:p>
        </w:tc>
      </w:tr>
      <w:tr>
        <w:tc>
          <w:tcPr/>
          <w:p>
            <w:pPr>
              <w:pStyle w:val="Compact"/>
            </w:pPr>
            <w:r>
              <w:t xml:space="preserve">Картофель</w:t>
            </w:r>
          </w:p>
        </w:tc>
        <w:tc>
          <w:tcPr/>
          <w:p>
            <w:pPr>
              <w:pStyle w:val="Compact"/>
            </w:pPr>
            <w:r>
              <w:t xml:space="preserve">168</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r>
      <w:tr>
        <w:tc>
          <w:tcPr/>
          <w:p>
            <w:pPr>
              <w:pStyle w:val="Compact"/>
            </w:pPr>
            <w:r>
              <w:t xml:space="preserve">Фрукты и ягоды свежие</w:t>
            </w:r>
          </w:p>
        </w:tc>
        <w:tc>
          <w:tcPr/>
          <w:p>
            <w:pPr>
              <w:pStyle w:val="Compact"/>
            </w:pPr>
            <w:r>
              <w:t xml:space="preserve">200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r>
      <w:tr>
        <w:tc>
          <w:tcPr/>
          <w:p>
            <w:pPr>
              <w:pStyle w:val="Compact"/>
            </w:pPr>
            <w:r>
              <w:t xml:space="preserve">Сухофрукты, шиповник</w:t>
            </w:r>
          </w:p>
        </w:tc>
        <w:tc>
          <w:tcPr/>
          <w:p>
            <w:pPr>
              <w:pStyle w:val="Compact"/>
            </w:pPr>
            <w:r>
              <w:t xml:space="preserve">10</w:t>
            </w:r>
          </w:p>
        </w:tc>
        <w:tc>
          <w:tcPr/>
          <w:p>
            <w:pPr>
              <w:pStyle w:val="Compact"/>
            </w:pPr>
            <w:r>
              <w:t xml:space="preserve">16</w:t>
            </w:r>
          </w:p>
        </w:tc>
        <w:tc>
          <w:tcPr/>
          <w:p>
            <w:pPr>
              <w:pStyle w:val="Compact"/>
            </w:pPr>
            <w:r>
              <w:t xml:space="preserve">81</w:t>
            </w:r>
          </w:p>
        </w:tc>
        <w:tc>
          <w:tcPr/>
          <w:p>
            <w:pPr>
              <w:pStyle w:val="Compact"/>
            </w:pPr>
            <w:r>
              <w:t xml:space="preserve">10</w:t>
            </w:r>
          </w:p>
        </w:tc>
        <w:tc>
          <w:tcPr/>
          <w:p>
            <w:pPr>
              <w:pStyle w:val="Compact"/>
            </w:pPr>
            <w:r>
              <w:t xml:space="preserve">16</w:t>
            </w:r>
          </w:p>
        </w:tc>
        <w:tc>
          <w:tcPr/>
          <w:p>
            <w:pPr>
              <w:pStyle w:val="Compact"/>
            </w:pPr>
            <w:r>
              <w:t xml:space="preserve">20 + 15²</w:t>
            </w:r>
          </w:p>
        </w:tc>
      </w:tr>
      <w:tr>
        <w:tc>
          <w:tcPr/>
          <w:p>
            <w:pPr>
              <w:pStyle w:val="Compact"/>
            </w:pPr>
            <w:r>
              <w:t xml:space="preserve">Соки</w:t>
            </w:r>
          </w:p>
        </w:tc>
        <w:tc>
          <w:tcPr/>
          <w:p>
            <w:pPr>
              <w:pStyle w:val="Compact"/>
            </w:pPr>
            <w:r>
              <w:t xml:space="preserve">60</w:t>
            </w:r>
          </w:p>
        </w:tc>
        <w:tc>
          <w:tcPr/>
          <w:p>
            <w:pPr>
              <w:pStyle w:val="Compact"/>
            </w:pPr>
            <w:r>
              <w:t xml:space="preserve">60</w:t>
            </w:r>
          </w:p>
        </w:tc>
        <w:tc>
          <w:tcPr/>
          <w:p>
            <w:pPr>
              <w:pStyle w:val="Compact"/>
            </w:pPr>
            <w:r>
              <w:t xml:space="preserve">66³</w:t>
            </w:r>
          </w:p>
        </w:tc>
        <w:tc>
          <w:tcPr/>
          <w:p>
            <w:pPr>
              <w:pStyle w:val="Compact"/>
            </w:pPr>
            <w:r>
              <w:t xml:space="preserve">74</w:t>
            </w:r>
          </w:p>
        </w:tc>
        <w:tc>
          <w:tcPr/>
          <w:p>
            <w:pPr>
              <w:pStyle w:val="Compact"/>
            </w:pPr>
            <w:r>
              <w:t xml:space="preserve">60</w:t>
            </w:r>
          </w:p>
        </w:tc>
        <w:tc>
          <w:tcPr/>
          <w:p>
            <w:pPr>
              <w:pStyle w:val="Compact"/>
            </w:pPr>
            <w:r>
              <w:t xml:space="preserve">100 мл</w:t>
            </w:r>
          </w:p>
        </w:tc>
      </w:tr>
      <w:tr>
        <w:tc>
          <w:tcPr/>
          <w:p>
            <w:pPr>
              <w:pStyle w:val="Compact"/>
            </w:pPr>
            <w:r>
              <w:t xml:space="preserve">Мясо (говядина, свинина)</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90</w:t>
            </w:r>
          </w:p>
        </w:tc>
      </w:tr>
      <w:tr>
        <w:tc>
          <w:tcPr/>
          <w:p>
            <w:pPr>
              <w:pStyle w:val="Compact"/>
            </w:pPr>
            <w:r>
              <w:t xml:space="preserve">Птица</w:t>
            </w:r>
          </w:p>
        </w:tc>
        <w:tc>
          <w:tcPr/>
          <w:p>
            <w:pPr>
              <w:pStyle w:val="Compact"/>
            </w:pPr>
            <w:r>
              <w:t xml:space="preserve">40</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r>
      <w:tr>
        <w:tc>
          <w:tcPr/>
          <w:p>
            <w:pPr>
              <w:pStyle w:val="Compact"/>
            </w:pPr>
            <w:r>
              <w:t xml:space="preserve">Колбаса, колбасные изделия</w:t>
            </w:r>
          </w:p>
        </w:tc>
        <w:tc>
          <w:tcPr/>
          <w:p>
            <w:pPr>
              <w:pStyle w:val="Compact"/>
            </w:pPr>
            <w:r>
              <w:t xml:space="preserve">25</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r>
      <w:tr>
        <w:tc>
          <w:tcPr/>
          <w:p>
            <w:pPr>
              <w:pStyle w:val="Compact"/>
            </w:pPr>
            <w:r>
              <w:t xml:space="preserve">Рыба, рыбопродукты</w:t>
            </w:r>
          </w:p>
        </w:tc>
        <w:tc>
          <w:tcPr/>
          <w:p>
            <w:pPr>
              <w:pStyle w:val="Compact"/>
            </w:pPr>
            <w:r>
              <w:t xml:space="preserve">41,8</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r>
      <w:tr>
        <w:tc>
          <w:tcPr/>
          <w:p>
            <w:pPr>
              <w:pStyle w:val="Compact"/>
            </w:pPr>
            <w:r>
              <w:t xml:space="preserve">Сыр</w:t>
            </w:r>
          </w:p>
        </w:tc>
        <w:tc>
          <w:tcPr/>
          <w:p>
            <w:pPr>
              <w:pStyle w:val="Compact"/>
            </w:pPr>
            <w:r>
              <w:t xml:space="preserve">14</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r>
      <w:tr>
        <w:tc>
          <w:tcPr/>
          <w:p>
            <w:pPr>
              <w:pStyle w:val="Compact"/>
            </w:pPr>
            <w:r>
              <w:t xml:space="preserve">Яйцо</w:t>
            </w:r>
          </w:p>
        </w:tc>
        <w:tc>
          <w:tcPr/>
          <w:p>
            <w:pPr>
              <w:pStyle w:val="Compact"/>
            </w:pPr>
            <w:r>
              <w:t xml:space="preserve">4 шт./нед</w:t>
            </w:r>
          </w:p>
        </w:tc>
        <w:tc>
          <w:tcPr/>
          <w:p>
            <w:pPr>
              <w:pStyle w:val="Compact"/>
            </w:pPr>
            <w:r>
              <w:t xml:space="preserve">4 шт./нед</w:t>
            </w:r>
          </w:p>
        </w:tc>
        <w:tc>
          <w:tcPr/>
          <w:p>
            <w:pPr>
              <w:pStyle w:val="Compact"/>
            </w:pPr>
            <w:r>
              <w:t xml:space="preserve">3,5 шт./нед</w:t>
            </w:r>
          </w:p>
        </w:tc>
        <w:tc>
          <w:tcPr/>
          <w:p>
            <w:pPr>
              <w:pStyle w:val="Compact"/>
            </w:pPr>
            <w:r>
              <w:t xml:space="preserve">4 шт./нед</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продукты</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 мл</w:t>
            </w:r>
          </w:p>
        </w:tc>
      </w:tr>
      <w:tr>
        <w:tc>
          <w:tcPr/>
          <w:p>
            <w:pPr>
              <w:pStyle w:val="Compact"/>
            </w:pPr>
            <w:r>
              <w:t xml:space="preserve">Творог</w:t>
            </w:r>
          </w:p>
        </w:tc>
        <w:tc>
          <w:tcPr/>
          <w:p>
            <w:pPr>
              <w:pStyle w:val="Compact"/>
            </w:pPr>
            <w:r>
              <w:t xml:space="preserve">40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20 мл</w:t>
            </w:r>
          </w:p>
        </w:tc>
      </w:tr>
      <w:tr>
        <w:tc>
          <w:tcPr/>
          <w:p>
            <w:pPr>
              <w:pStyle w:val="Compact"/>
            </w:pPr>
            <w:r>
              <w:t xml:space="preserve">Маргарин</w:t>
            </w:r>
          </w:p>
        </w:tc>
        <w:tc>
          <w:tcPr/>
          <w:p>
            <w:pPr>
              <w:pStyle w:val="Compact"/>
            </w:pPr>
            <w:r>
              <w:t xml:space="preserve">10</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r>
      <w:tr>
        <w:tc>
          <w:tcPr/>
          <w:p>
            <w:pPr>
              <w:pStyle w:val="Compact"/>
            </w:pPr>
            <w:r>
              <w:t xml:space="preserve">Сметана</w:t>
            </w:r>
          </w:p>
        </w:tc>
        <w:tc>
          <w:tcPr/>
          <w:p>
            <w:pPr>
              <w:pStyle w:val="Compact"/>
            </w:pPr>
            <w:r>
              <w:t xml:space="preserve">10</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50⁴</w:t>
            </w:r>
          </w:p>
        </w:tc>
      </w:tr>
      <w:tr>
        <w:tc>
          <w:tcPr/>
          <w:p>
            <w:pPr>
              <w:pStyle w:val="Compact"/>
            </w:pPr>
            <w:r>
              <w:t xml:space="preserve">Сахар</w:t>
            </w:r>
          </w:p>
        </w:tc>
        <w:tc>
          <w:tcPr/>
          <w:p>
            <w:pPr>
              <w:pStyle w:val="Compact"/>
            </w:pPr>
            <w:r>
              <w:t xml:space="preserve">57</w:t>
            </w:r>
          </w:p>
        </w:tc>
        <w:tc>
          <w:tcPr/>
          <w:p>
            <w:pPr>
              <w:pStyle w:val="Compact"/>
            </w:pPr>
            <w:r>
              <w:t xml:space="preserve">57</w:t>
            </w:r>
          </w:p>
        </w:tc>
        <w:tc>
          <w:tcPr/>
          <w:p>
            <w:pPr>
              <w:pStyle w:val="Compact"/>
            </w:pPr>
            <w:r>
              <w:t xml:space="preserve">15⁵</w:t>
            </w:r>
          </w:p>
        </w:tc>
        <w:tc>
          <w:tcPr/>
          <w:p>
            <w:pPr>
              <w:pStyle w:val="Compact"/>
            </w:pPr>
            <w:r>
              <w:t xml:space="preserve">53</w:t>
            </w:r>
          </w:p>
        </w:tc>
        <w:tc>
          <w:tcPr/>
          <w:p>
            <w:pPr>
              <w:pStyle w:val="Compact"/>
            </w:pPr>
            <w:r>
              <w:t xml:space="preserve">57</w:t>
            </w:r>
          </w:p>
        </w:tc>
        <w:tc>
          <w:tcPr/>
          <w:p>
            <w:pPr>
              <w:pStyle w:val="Compact"/>
            </w:pPr>
            <w:r>
              <w:t xml:space="preserve">(в составе 50⁴)</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кофейный напиток, какао</w:t>
            </w:r>
          </w:p>
        </w:tc>
        <w:tc>
          <w:tcPr/>
          <w:p>
            <w:pPr>
              <w:pStyle w:val="Compact"/>
            </w:pPr>
            <w:r>
              <w:t xml:space="preserve">1,5</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r>
      <w:tr>
        <w:tc>
          <w:tcPr/>
          <w:p>
            <w:pPr>
              <w:pStyle w:val="Compact"/>
            </w:pPr>
            <w:r>
              <w:t xml:space="preserve">Соль</w:t>
            </w:r>
          </w:p>
        </w:tc>
        <w:tc>
          <w:tcPr/>
          <w:p>
            <w:pPr>
              <w:pStyle w:val="Compact"/>
            </w:pPr>
            <w:r>
              <w:t xml:space="preserve">10</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r>
      <w:tr>
        <w:tc>
          <w:tcPr/>
          <w:p>
            <w:pPr>
              <w:pStyle w:val="Compact"/>
            </w:pPr>
            <w:r>
              <w:t xml:space="preserve">СБКС</w:t>
            </w:r>
          </w:p>
        </w:tc>
        <w:tc>
          <w:tcPr/>
          <w:p>
            <w:pPr>
              <w:pStyle w:val="Compact"/>
            </w:pPr>
            <w:r>
              <w:t xml:space="preserve">27</w:t>
            </w:r>
          </w:p>
        </w:tc>
        <w:tc>
          <w:tcPr/>
          <w:p>
            <w:pPr>
              <w:pStyle w:val="Compact"/>
            </w:pPr>
            <w:r>
              <w:t xml:space="preserve">27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1 драже 3 раза в неделю</w:t>
            </w:r>
          </w:p>
        </w:tc>
        <w:tc>
          <w:tcPr/>
          <w:p>
            <w:pPr>
              <w:pStyle w:val="Compact"/>
            </w:pPr>
            <w:r>
              <w:t xml:space="preserve">1 драже 3 раза в неделю</w:t>
            </w:r>
          </w:p>
        </w:tc>
        <w:tc>
          <w:tcPr/>
          <w:p>
            <w:pPr>
              <w:pStyle w:val="Compact"/>
            </w:pPr>
            <w:r>
              <w:t xml:space="preserve">—</w:t>
            </w:r>
          </w:p>
        </w:tc>
        <w:tc>
          <w:tcPr/>
          <w:p>
            <w:pPr>
              <w:pStyle w:val="Compact"/>
            </w:pPr>
            <w:r>
              <w:t xml:space="preserve">—</w:t>
            </w:r>
          </w:p>
        </w:tc>
        <w:tc>
          <w:tcPr/>
          <w:p>
            <w:pPr>
              <w:pStyle w:val="Compact"/>
            </w:pPr>
            <w:r>
              <w:t xml:space="preserve">1 драже 3 раза в неделю</w:t>
            </w:r>
          </w:p>
        </w:tc>
        <w:tc>
          <w:tcPr/>
          <w:p>
            <w:pPr>
              <w:pStyle w:val="Compact"/>
            </w:pPr>
            <w:r>
              <w:t xml:space="preserve">50–100 % физиол. нормы по мед. показаниям</w:t>
            </w:r>
          </w:p>
        </w:tc>
      </w:tr>
    </w:tbl>
    <w:p>
      <w:pPr>
        <w:pStyle w:val="BodyText"/>
      </w:pPr>
      <w:r>
        <w:t xml:space="preserve">¹ Сумма: свежие 340 + солёные и маринованные 15 + зелень 14,8 + консервированные 24,7. ² Сухофрукты 20 и шиповник 15 указаны в приказе № 520н раздельно. ³ Для лиц с сахарным диабетом — «сок без сахара». ⁴ В приказе № 520н — единая позиция «сахар, варенье, печенье, кондитерские изделия». ⁵ Для лиц с сахарным диабетом сахар не входит в рецептуру блюд и выдаётся отдельно (примечание к постановлению № 1284).</w:t>
      </w:r>
    </w:p>
    <w:bookmarkEnd w:id="153"/>
    <w:bookmarkStart w:id="154"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[20]</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[23, 28, 29, 54]</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[30, 62, 63, 65]</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[5–18, 25, 26]</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[103–112]</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[27, 36, 46, 71–76, 80, 81, 83, 84, 89–92, 94–96, 102]</w:t>
            </w:r>
          </w:p>
        </w:tc>
      </w:tr>
      <w:tr>
        <w:tc>
          <w:tcPr/>
          <w:p>
            <w:pPr>
              <w:pStyle w:val="Compact"/>
            </w:pPr>
            <w:r>
              <w:t xml:space="preserve">Модели и рекомендации</w:t>
            </w:r>
          </w:p>
        </w:tc>
        <w:tc>
          <w:tcPr/>
          <w:p>
            <w:pPr>
              <w:pStyle w:val="Compact"/>
            </w:pPr>
            <w:r>
              <w:t xml:space="preserve">Модели внедрения заменены десятью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[18, 63, 71, 102]</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2026-10-05T13:12:03Z</dcterms:created>
  <dcterms:modified xsi:type="dcterms:W3CDTF">2026-10-05T13:12:03Z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5 октября 2026 г.</vt:lpwstr>
  </property>
  <property fmtid="{D5CDD505-2E9C-101B-9397-08002B2CF9AE}" pid="3" name="subtitle">
    <vt:lpwstr>Аналитический доклад. Вторая, расширенная и переработанная редакция</vt:lpwstr>
  </property>
  <property fmtid="{D5CDD505-2E9C-101B-9397-08002B2CF9AE}" pid="4" name="toc-title">
    <vt:lpwstr>Содержание</vt:lpwstr>
  </property>
</Properties>
</file>