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7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восьми российских учреждений и сообщение министра Иркутской области,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Распоряжение о таких нормативах на 2027 г. в открытых официальных источниках найти не удалось (повторный поиск — 06.10.2026),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78].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[79]. Текст приказа № 1068 обнаружен в выгрузке справочной системы, сохранённой 03.05.2015 [80].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[80].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[81].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[82].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[83].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[84].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[85].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[86].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[86].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[86]. На вопрос, меняли ли поправки граммы, отвечают их официальные тексты на Официальном интернет-портале правовой информации [86].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86].</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w:t>
      </w:r>
    </w:p>
    <w:bookmarkEnd w:id="69"/>
    <w:bookmarkStart w:id="70"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87].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[87].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[88]. Приложение 1 (нормы в стационарной форме) затронуто лишь изменениями от 06.09.2014 и 09.06.2017: постановлением № 231-п оно изложено в новой редакции, действующей поныне [88].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[88].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88].</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88].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1"/>
    <w:bookmarkStart w:id="72"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88].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[80],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89].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[85]</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[86]</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87]</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88]</w:t>
            </w:r>
          </w:p>
        </w:tc>
      </w:tr>
    </w:tbl>
    <w:bookmarkEnd w:id="74"/>
    <w:bookmarkStart w:id="75"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rPr>
          <w:rStyle w:val="SectionNumber"/>
        </w:rPr>
        <w:t xml:space="preserve">3.16</w:t>
      </w:r>
      <w:r>
        <w:tab/>
      </w: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89"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8"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[90].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[90].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[91] (конфликт интересов раскрыт выше). Учреждение закупает услугу по 223-ФЗ («оказание услуг по организации питания», ОКПД2 56.29.19.000). По данным закупочных реестров [92, 93],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[93].</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[92].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[92].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[93];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вариативного меню (заказ накануне, М1) при аутсорсинге питания. Оговорка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[94].</w:t>
      </w:r>
    </w:p>
    <w:bookmarkEnd w:id="85"/>
    <w:bookmarkStart w:id="86"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[91]</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7"/>
    <w:bookmarkStart w:id="88" w:name="X7f6c4da8ae6c9e43bf0f74d7d5577f15f7ccc21"/>
    <w:p>
      <w:pPr>
        <w:pStyle w:val="Heading2"/>
      </w:pPr>
      <w:r>
        <w:rPr>
          <w:rStyle w:val="SectionNumber"/>
        </w:rPr>
        <w:t xml:space="preserve">4.11</w:t>
      </w:r>
      <w:r>
        <w:tab/>
      </w: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Кейс вариативного меню при аутсорсинге питания обнаружен один — ДСО «Серафимовский», учреждение автора доклада: аутсорсинг подтверждён автором [91] и карточками закупок по 223-ФЗ [92], но условия договора о выборе не проверены.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которые российская практика пока не подтверждает опубликованными договорами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88"/>
    <w:bookmarkEnd w:id="89"/>
    <w:bookmarkStart w:id="106" w:name="научные-данные"/>
    <w:p>
      <w:pPr>
        <w:pStyle w:val="Heading1"/>
      </w:pPr>
      <w:r>
        <w:rPr>
          <w:rStyle w:val="SectionNumber"/>
        </w:rPr>
        <w:t xml:space="preserve">5</w:t>
      </w:r>
      <w:r>
        <w:tab/>
      </w:r>
      <w:r>
        <w:t xml:space="preserve">Научные данные</w:t>
      </w:r>
    </w:p>
    <w:bookmarkStart w:id="90"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0"/>
    <w:bookmarkStart w:id="91"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[95].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1"/>
    <w:bookmarkStart w:id="92"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[96].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[96].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[97].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[94].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[98].</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[99].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2"/>
    <w:bookmarkStart w:id="93"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[100];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[101].</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[102].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[102].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3"/>
    <w:bookmarkStart w:id="94"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[103].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[104].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[105].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[105].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[106].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[107].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4"/>
    <w:bookmarkStart w:id="95"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[108].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[108].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5"/>
    <w:bookmarkStart w:id="96"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[109].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[110].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[111].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96"/>
    <w:bookmarkStart w:id="97"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[112].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[113].</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7"/>
    <w:bookmarkStart w:id="98"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[114]. Для сравнения обзор приводит больничные данные: по нарративному обзору Williams и Walton (2011), медиана отходов с тарелки в 32 исследованиях составила 30 % [115],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[114].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[116].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[116].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98"/>
    <w:bookmarkStart w:id="99"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[117].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[97]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99"/>
    <w:bookmarkStart w:id="100"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[118].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[119].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[120].</w:t>
      </w:r>
    </w:p>
    <w:bookmarkEnd w:id="100"/>
    <w:bookmarkStart w:id="101"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[121]</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[122]</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[123]</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[124]</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[123];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[121, 122, 124].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[122, 124];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1"/>
    <w:bookmarkStart w:id="102"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[125].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[94]). Российских опубликованных расчётов стоимости вариативного меню не обнаружено.</w:t>
      </w:r>
    </w:p>
    <w:bookmarkEnd w:id="102"/>
    <w:bookmarkStart w:id="103"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[102].</w:t>
      </w:r>
    </w:p>
    <w:bookmarkEnd w:id="103"/>
    <w:bookmarkStart w:id="104"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[95]</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[96]</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[97]</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[103]</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[104]</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[106]</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[107]</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[94]</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[114]</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[119]</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[109]</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[99]</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[105]</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[100]</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[101]</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[102]</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[108]</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[116]</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[121–124]</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4"/>
    <w:bookmarkStart w:id="105" w:name="выводы-по-главе-5"/>
    <w:p>
      <w:pPr>
        <w:pStyle w:val="Heading2"/>
      </w:pPr>
      <w:r>
        <w:rPr>
          <w:rStyle w:val="SectionNumber"/>
        </w:rPr>
        <w:t xml:space="preserve">5.16</w:t>
      </w:r>
      <w:r>
        <w:tab/>
      </w: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5"/>
    <w:bookmarkEnd w:id="106"/>
    <w:bookmarkStart w:id="120" w:name="зарубежное-регулирование"/>
    <w:p>
      <w:pPr>
        <w:pStyle w:val="Heading1"/>
      </w:pPr>
      <w:r>
        <w:rPr>
          <w:rStyle w:val="SectionNumber"/>
        </w:rPr>
        <w:t xml:space="preserve">6</w:t>
      </w:r>
      <w:r>
        <w:tab/>
      </w:r>
      <w:r>
        <w:t xml:space="preserve">Зарубежное регулирование</w:t>
      </w:r>
    </w:p>
    <w:bookmarkStart w:id="107"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07"/>
    <w:bookmarkStart w:id="108"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[126].</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[126].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[127].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[127].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[127].</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08"/>
    <w:bookmarkStart w:id="109"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[128].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[128].</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9"/>
    <w:bookmarkStart w:id="110"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[129].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[129].</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[130].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[130].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[130].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[130].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[131].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[131].</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0"/>
    <w:bookmarkStart w:id="111"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[132].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[132].</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[133].</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1"/>
    <w:bookmarkStart w:id="112"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[134].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[134]. Выбор в питании стал в Австралии предметом государственного стандарта после серии исследований, показавших, насколько мало его в действительности [97].</w:t>
      </w:r>
    </w:p>
    <w:bookmarkEnd w:id="112"/>
    <w:bookmarkStart w:id="113"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[135].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4"/>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[135]. На плане меню несколько линий должны быть представлены наглядно, а рекомендуемая — выделена (первой строкой, цветом или символом) [135];</w:t>
      </w:r>
    </w:p>
    <w:p>
      <w:pPr>
        <w:pStyle w:val="Compact"/>
        <w:numPr>
          <w:ilvl w:val="0"/>
          <w:numId w:val="1004"/>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[135];</w:t>
      </w:r>
    </w:p>
    <w:p>
      <w:pPr>
        <w:pStyle w:val="Compact"/>
        <w:numPr>
          <w:ilvl w:val="0"/>
          <w:numId w:val="1004"/>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[135].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4"/>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[135];</w:t>
      </w:r>
    </w:p>
    <w:p>
      <w:pPr>
        <w:pStyle w:val="Compact"/>
        <w:numPr>
          <w:ilvl w:val="0"/>
          <w:numId w:val="1004"/>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[135];</w:t>
      </w:r>
    </w:p>
    <w:p>
      <w:pPr>
        <w:pStyle w:val="Compact"/>
        <w:numPr>
          <w:ilvl w:val="0"/>
          <w:numId w:val="1004"/>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[135];</w:t>
      </w:r>
    </w:p>
    <w:p>
      <w:pPr>
        <w:pStyle w:val="Compact"/>
        <w:numPr>
          <w:ilvl w:val="0"/>
          <w:numId w:val="1004"/>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[135];</w:t>
      </w:r>
    </w:p>
    <w:p>
      <w:pPr>
        <w:pStyle w:val="Compact"/>
        <w:numPr>
          <w:ilvl w:val="0"/>
          <w:numId w:val="1004"/>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[135];</w:t>
      </w:r>
    </w:p>
    <w:p>
      <w:pPr>
        <w:pStyle w:val="Compact"/>
        <w:numPr>
          <w:ilvl w:val="0"/>
          <w:numId w:val="1004"/>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[135];</w:t>
      </w:r>
    </w:p>
    <w:p>
      <w:pPr>
        <w:pStyle w:val="Compact"/>
        <w:numPr>
          <w:ilvl w:val="0"/>
          <w:numId w:val="1004"/>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[135],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[135].</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[136].</w:t>
      </w:r>
    </w:p>
    <w:bookmarkEnd w:id="113"/>
    <w:bookmarkStart w:id="114"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[137].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[137].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[137].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[137].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[137].</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[137]. Базовое меню служит одновременно для расчёта пищевой ценности на уровне группы, для учёта потребления, для внутренних расчётов и для закупки [137]. Второй шаг — готовить в объёме, который реально съедается, и строить систему заказа так, чтобы минимизировать отходы [137].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[137].</w:t>
      </w:r>
    </w:p>
    <w:bookmarkEnd w:id="114"/>
    <w:bookmarkStart w:id="115"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[138].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[138].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[138].</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5"/>
    <w:bookmarkStart w:id="116"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[139].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[140]. Критерии такого питания установлены приказом-уведомлением № 123 [141]:</w:t>
      </w:r>
    </w:p>
    <w:p>
      <w:pPr>
        <w:pStyle w:val="Compact"/>
        <w:numPr>
          <w:ilvl w:val="0"/>
          <w:numId w:val="1005"/>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5"/>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5"/>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5"/>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5"/>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5"/>
        </w:numPr>
      </w:pPr>
      <w:r>
        <w:t xml:space="preserve">договор заключается после ясного объяснения, что это дополнительная плата сверх обычной [141].</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6"/>
    <w:bookmarkStart w:id="117"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[142]</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[142]</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[126]</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[126]</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7"/>
    <w:bookmarkStart w:id="118"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[126]</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[128]</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[129]</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[132]</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[134]</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[135]</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[137]</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[138]</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[139]; приказы-уведомления № 419 и № 123 [140, 141]</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8"/>
    <w:bookmarkStart w:id="119" w:name="выводы-по-главе-6"/>
    <w:p>
      <w:pPr>
        <w:pStyle w:val="Heading2"/>
      </w:pPr>
      <w:r>
        <w:rPr>
          <w:rStyle w:val="SectionNumber"/>
        </w:rPr>
        <w:t xml:space="preserve">6.13</w:t>
      </w:r>
      <w:r>
        <w:tab/>
      </w: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19"/>
    <w:bookmarkEnd w:id="120"/>
    <w:bookmarkStart w:id="140"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1"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1"/>
    <w:bookmarkStart w:id="122"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6"/>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6"/>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6"/>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2"/>
    <w:bookmarkStart w:id="123"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3"/>
    <w:bookmarkStart w:id="124"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[96]. По Wheeler и соавт., переход к выбору в момент еды увеличил производственные отходы с 55 до 90 г на жителя в день [94].</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4"/>
    <w:bookmarkStart w:id="125"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5"/>
    <w:bookmarkStart w:id="126"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7"/>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7"/>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7"/>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7"/>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6"/>
    <w:bookmarkStart w:id="127"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7"/>
    <w:bookmarkStart w:id="128"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8"/>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8"/>
        </w:numPr>
      </w:pPr>
      <w:r>
        <w:t xml:space="preserve">Утверждённое цикличное меню с указанием вариантов.</w:t>
      </w:r>
    </w:p>
    <w:p>
      <w:pPr>
        <w:pStyle w:val="Compact"/>
        <w:numPr>
          <w:ilvl w:val="0"/>
          <w:numId w:val="1008"/>
        </w:numPr>
      </w:pPr>
      <w:r>
        <w:t xml:space="preserve">Таблица замен с указанием источника и расчёт выполнения норм за период с учётом замен.</w:t>
      </w:r>
    </w:p>
    <w:p>
      <w:pPr>
        <w:pStyle w:val="Compact"/>
        <w:numPr>
          <w:ilvl w:val="0"/>
          <w:numId w:val="1008"/>
        </w:numPr>
      </w:pPr>
      <w:r>
        <w:t xml:space="preserve">Технологические документы на каждый вариант.</w:t>
      </w:r>
    </w:p>
    <w:p>
      <w:pPr>
        <w:pStyle w:val="Compact"/>
        <w:numPr>
          <w:ilvl w:val="0"/>
          <w:numId w:val="1008"/>
        </w:numPr>
      </w:pPr>
      <w:r>
        <w:t xml:space="preserve">Журналы бракеража и суточных проб с записями по каждому варианту.</w:t>
      </w:r>
    </w:p>
    <w:p>
      <w:pPr>
        <w:pStyle w:val="Compact"/>
        <w:numPr>
          <w:ilvl w:val="0"/>
          <w:numId w:val="1008"/>
        </w:numPr>
      </w:pPr>
      <w:r>
        <w:t xml:space="preserve">Учёт выбора: лист заказа (при заказе накануне) или ежедневная статистика распределения выбора.</w:t>
      </w:r>
    </w:p>
    <w:p>
      <w:pPr>
        <w:pStyle w:val="Compact"/>
        <w:numPr>
          <w:ilvl w:val="0"/>
          <w:numId w:val="1008"/>
        </w:numPr>
      </w:pPr>
      <w:r>
        <w:t xml:space="preserve">Протоколы совета (комиссии) по питанию, если такой создан.</w:t>
      </w:r>
    </w:p>
    <w:p>
      <w:pPr>
        <w:pStyle w:val="Compact"/>
        <w:numPr>
          <w:ilvl w:val="0"/>
          <w:numId w:val="1008"/>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8"/>
    <w:bookmarkStart w:id="129"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[94]. Средняя стоимость кейтеринга в австралийских учреждениях составляет 8,00 доллара в день, из них на сырьё приходится 6,08 доллара [125].</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[94].</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[94]),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[91];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[92, 93]; п. 4.8). Цикличное меню, приложенное к закупочной документации, расписано по вариантам диеты (ОВД, ИП, ОВД2, летний вариант) с одним блюдом на позицию [92],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[92, 93].</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[93].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29"/>
    <w:bookmarkStart w:id="130"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0"/>
    <w:bookmarkStart w:id="131"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[97].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[143]</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09"/>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09"/>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09"/>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09"/>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09"/>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09"/>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[129] и не более 11 часов в шведских рекомендациях [137].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1"/>
    <w:bookmarkStart w:id="132"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2"/>
    <w:bookmarkStart w:id="133"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[137].</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3"/>
    <w:bookmarkStart w:id="134"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4"/>
    <w:bookmarkStart w:id="135"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[135].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[121–124].</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[121–124]).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[121–124].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[122, 124].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5"/>
    <w:bookmarkStart w:id="136"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[102], в австралийских выбор был особенно низок у жителей на протёртой пище [97].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[135]; лондонские дома — сбор предпочтений при поступлении [102];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[135]</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[137]</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[141].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[144];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0"/>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0"/>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0"/>
        </w:numPr>
      </w:pPr>
      <w:r>
        <w:rPr>
          <w:i/>
          <w:iCs/>
        </w:rPr>
        <w:t xml:space="preserve">Текстура по шкале IDDSI</w:t>
      </w:r>
      <w:r>
        <w:t xml:space="preserve"> </w:t>
      </w:r>
      <w:r>
        <w:t xml:space="preserve">(уровни 0–7, п. 6.11) [142]: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6"/>
    <w:bookmarkStart w:id="137"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1"/>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1"/>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1"/>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7"/>
    <w:bookmarkStart w:id="138"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4.11)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[114].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[114].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[145].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[94].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[146]. Wright и соавт. использовали Resident Foodservice Satisfaction Questionnaire и связали удовлетворённость с числом вариантов и временем между выбором и подачей [96]. Wheeler и соавт. ограничились пятибалльной шкалой Лайкерта [94].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[147]. Опросник дополняет анкеты для жителей и персонала, разработанные той же университетской группой [147].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[137].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[135].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[116].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[148].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[149].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38"/>
    <w:bookmarkStart w:id="139" w:name="выводы-по-главе-7"/>
    <w:p>
      <w:pPr>
        <w:pStyle w:val="Heading2"/>
      </w:pPr>
      <w:r>
        <w:rPr>
          <w:rStyle w:val="SectionNumber"/>
        </w:rPr>
        <w:t xml:space="preserve">7.19</w:t>
      </w:r>
      <w:r>
        <w:tab/>
      </w: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39"/>
    <w:bookmarkEnd w:id="140"/>
    <w:bookmarkStart w:id="158" w:name="контроль-кто-и-что-проверяет"/>
    <w:p>
      <w:pPr>
        <w:pStyle w:val="Heading1"/>
      </w:pPr>
      <w:r>
        <w:rPr>
          <w:rStyle w:val="SectionNumber"/>
        </w:rPr>
        <w:t xml:space="preserve">8</w:t>
      </w:r>
      <w:r>
        <w:tab/>
      </w:r>
      <w:r>
        <w:t xml:space="preserve">Контроль: кто и что проверяет</w:t>
      </w:r>
    </w:p>
    <w:bookmarkStart w:id="141"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1"/>
    <w:bookmarkStart w:id="142"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2"/>
    <w:bookmarkStart w:id="143"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[150].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150].</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[151].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3"/>
    <w:bookmarkStart w:id="144"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151].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4"/>
    <w:bookmarkStart w:id="145"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[151].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5"/>
    <w:bookmarkStart w:id="146"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[151]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[152].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[152]. Учреждению присваивается категория: высшая (100 баллов), 1-я (85–99), 2-я (60–84), 3-я (30–59), 4-я (менее 30) [152].</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[152].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[152]. Учреждения по итогам претензионной работы выставили поставщикам штрафы на 1 754 034,89 руб. за полугодие [152].</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[152].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46"/>
    <w:bookmarkStart w:id="147"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47"/>
    <w:bookmarkStart w:id="149"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48"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[144].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[143],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8"/>
    <w:bookmarkEnd w:id="149"/>
    <w:bookmarkStart w:id="150"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0"/>
    <w:bookmarkStart w:id="151"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[78], а не в организациях социального обслуживания взрослых (п. 3.2).</w:t>
      </w:r>
    </w:p>
    <w:bookmarkEnd w:id="151"/>
    <w:bookmarkStart w:id="152"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[135].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[116]; поэтому низкие возвраты не доказывают достаточности питания конкретного жителя (п. 5.9).</w:t>
      </w:r>
    </w:p>
    <w:bookmarkEnd w:id="152"/>
    <w:bookmarkStart w:id="153"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[130, 131].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[133].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[127].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[137].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[138].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[141].</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3"/>
    <w:bookmarkStart w:id="154"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[131, 133]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[133]</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[131, 133]</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[130, 131]</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[131, 133]</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[133]</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[131]</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[133]</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[130]</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4"/>
    <w:bookmarkStart w:id="155"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[135]</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5"/>
    <w:bookmarkStart w:id="156"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6"/>
    <w:bookmarkStart w:id="157" w:name="выводы-по-главе-8"/>
    <w:p>
      <w:pPr>
        <w:pStyle w:val="Heading2"/>
      </w:pPr>
      <w:r>
        <w:rPr>
          <w:rStyle w:val="SectionNumber"/>
        </w:rPr>
        <w:t xml:space="preserve">8.16</w:t>
      </w:r>
      <w:r>
        <w:tab/>
      </w: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7"/>
    <w:bookmarkEnd w:id="158"/>
    <w:bookmarkStart w:id="162"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59"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59"/>
    <w:bookmarkStart w:id="160"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[94];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[78]</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[125]</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[144]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[143];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[79];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[80]. Оба приказа — акты одного ведомства, иерархии между ними нет; № 228 утверждает нормы для тех же адресатов позднее [70, 80]</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[84]; вид, дата и номер акта подтверждены справочной отметкой о признании утратившим силу прежнего приказа № 340 [85]</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150]; в Санкт-Петербурге полномочие Управления социального питания по контролю норм питания отменено с 01.01.2022 [151]</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[135]</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[88]</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[152]</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88];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[91]; закупки по 223-ФЗ — по карточкам агрегатора [92, 93]; цикличные меню из закупочной документации — по вариантам диеты, без выбора блюд; исполнитель сменился в середине 2026 г. [93].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[92]</w:t>
            </w:r>
          </w:p>
        </w:tc>
        <w:tc>
          <w:tcPr/>
          <w:p>
            <w:pPr>
              <w:pStyle w:val="Compact"/>
            </w:pPr>
            <w:r>
              <w:t xml:space="preserve">Снято: кейс внесён (п. 4.8) с оговоркой о непроверенных условиях договора</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126, 142]</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0"/>
    <w:bookmarkStart w:id="161" w:name="выводы-по-главе-9"/>
    <w:p>
      <w:pPr>
        <w:pStyle w:val="Heading2"/>
      </w:pPr>
      <w:r>
        <w:rPr>
          <w:rStyle w:val="SectionNumber"/>
        </w:rPr>
        <w:t xml:space="preserve">9.3</w:t>
      </w:r>
      <w:r>
        <w:tab/>
      </w: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[85],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1"/>
    <w:bookmarkEnd w:id="162"/>
    <w:bookmarkStart w:id="167"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3"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2"/>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2"/>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2"/>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2"/>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2"/>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[129], и из онтарийской модели цикла меню с выбором, утверждаемого диетологом при участии совета жителей [132].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[130].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2"/>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2"/>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2"/>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[94, 114]; пределы отходов как меры съеденного выявило исследование CLEVER [116].</w:t>
      </w:r>
    </w:p>
    <w:p>
      <w:pPr>
        <w:pStyle w:val="Compact"/>
        <w:numPr>
          <w:ilvl w:val="0"/>
          <w:numId w:val="1012"/>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[130, 133].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2"/>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[137] и онтарийского требования о рассмотрении времени приёмов пищи советом жителей [133].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[152].</w:t>
      </w:r>
    </w:p>
    <w:bookmarkEnd w:id="163"/>
    <w:bookmarkStart w:id="164"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3"/>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3"/>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3"/>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3"/>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[152]),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3"/>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4"/>
    <w:bookmarkStart w:id="165"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4"/>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4"/>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4"/>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4"/>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4"/>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[135] и опроса семьи у Yaxley и соавт. [147]; эти сведения составляют основу решений за тех, кто не может выразить выбор (сценарий 15).</w:t>
      </w:r>
    </w:p>
    <w:p>
      <w:pPr>
        <w:pStyle w:val="Compact"/>
        <w:numPr>
          <w:ilvl w:val="0"/>
          <w:numId w:val="1014"/>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[116].</w:t>
      </w:r>
    </w:p>
    <w:p>
      <w:pPr>
        <w:pStyle w:val="Compact"/>
        <w:numPr>
          <w:ilvl w:val="0"/>
          <w:numId w:val="1014"/>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[131, 133].</w:t>
      </w:r>
    </w:p>
    <w:p>
      <w:pPr>
        <w:pStyle w:val="Compact"/>
        <w:numPr>
          <w:ilvl w:val="0"/>
          <w:numId w:val="1014"/>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4"/>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4.11), спор о пользе и вреде выбора будет спором мнений.</w:t>
      </w:r>
    </w:p>
    <w:bookmarkEnd w:id="165"/>
    <w:bookmarkStart w:id="166" w:name="выводы-по-главе-10"/>
    <w:p>
      <w:pPr>
        <w:pStyle w:val="Heading2"/>
      </w:pPr>
      <w:r>
        <w:rPr>
          <w:rStyle w:val="SectionNumber"/>
        </w:rPr>
        <w:t xml:space="preserve">10.4</w:t>
      </w:r>
      <w:r>
        <w:tab/>
      </w: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66"/>
    <w:bookmarkEnd w:id="167"/>
    <w:bookmarkStart w:id="168" w:name="заключение"/>
    <w:p>
      <w:pPr>
        <w:pStyle w:val="Heading1"/>
      </w:pPr>
      <w:r>
        <w:rPr>
          <w:rStyle w:val="SectionNumber"/>
        </w:rPr>
        <w:t xml:space="preserve">11</w:t>
      </w:r>
      <w:r>
        <w:tab/>
      </w: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5"/>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150].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5"/>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5"/>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5"/>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5"/>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выбора при аутсорсинге питания; условия договора о выборе не проверены).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5"/>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[94]. Те же данные обнаруживают цену выбора в момент еды: рост производственных отходов и стоимости примерно на 9–20 % [94]. Систематические обзоры оценивают эффект вмешательств в организацию питания на пищевой статус как небольшой и плохо измеренный [106, 107].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[109] и в условиях нормированного набора не проверено.</w:t>
      </w:r>
    </w:p>
    <w:p>
      <w:pPr>
        <w:numPr>
          <w:ilvl w:val="0"/>
          <w:numId w:val="1015"/>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[126, 129, 132];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[135, 137, 141].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5"/>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[97], и канадские данные о том, что пища изменённой консистенции назначена 47 % жителей [117],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5"/>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150].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[130, 131, 133].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5"/>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68"/>
    <w:bookmarkStart w:id="169"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6"/>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6"/>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6"/>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6"/>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6"/>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6"/>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6"/>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6"/>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6"/>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6"/>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6"/>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6"/>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6"/>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6"/>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6"/>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6"/>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6"/>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6"/>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6"/>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6"/>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6"/>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6"/>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6"/>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6"/>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6"/>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6"/>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6"/>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6"/>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6"/>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6"/>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6"/>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6"/>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6"/>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6"/>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6"/>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6"/>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6"/>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6"/>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6"/>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6"/>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6"/>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6"/>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6"/>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6"/>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6"/>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6"/>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6"/>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6"/>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6"/>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6"/>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6"/>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6"/>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6"/>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6"/>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6"/>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6"/>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6"/>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6"/>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6"/>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6"/>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6"/>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6"/>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6"/>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6"/>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6"/>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6"/>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6"/>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6"/>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6"/>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6"/>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6"/>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6"/>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6"/>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6"/>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6"/>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6"/>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6"/>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6"/>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6"/>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6"/>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6"/>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6"/>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6"/>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6"/>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6"/>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6"/>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6"/>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6"/>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6"/>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6"/>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6"/>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6"/>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6"/>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6"/>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6"/>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6"/>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6"/>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6"/>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6"/>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6"/>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6"/>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6"/>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6"/>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6"/>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6"/>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6"/>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6"/>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6"/>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6"/>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6"/>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6"/>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6"/>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6"/>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6"/>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6"/>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6"/>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6"/>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6"/>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6"/>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6"/>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6"/>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6"/>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6"/>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6"/>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6"/>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6"/>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6"/>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6"/>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6"/>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6"/>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6"/>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6"/>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6"/>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6"/>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6"/>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6"/>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6"/>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6"/>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6"/>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6"/>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6"/>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6"/>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6"/>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6"/>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6"/>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6"/>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6"/>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6"/>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6"/>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6"/>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6"/>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6"/>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6"/>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6"/>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69"/>
    <w:bookmarkStart w:id="170"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[153]</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[154]</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[143]</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81]</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[83]</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[84, 85]</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86]</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[126]</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[128]</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[129]</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[132]</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[150]</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[151]</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[79, 80]</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87]</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88]</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82]</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[127]</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[130, 131]</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[133]</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[135]</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[137]</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[138]</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[140, 141]</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[144]</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[142]</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[91–93]</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[77]</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[90]</w:t>
            </w:r>
          </w:p>
        </w:tc>
      </w:tr>
    </w:tbl>
    <w:bookmarkEnd w:id="170"/>
    <w:bookmarkStart w:id="171"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1"/>
    <w:bookmarkStart w:id="179"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78]</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90]</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[126–139, 142]</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94–99, 103, 104, 106, 107, 112–115, 117–119, 125]</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94, 125]</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2"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2"/>
    <w:bookmarkStart w:id="173"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[86]; изменение ленинградского приказа от 04.08.2025 № 04-81 [87]</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[133]</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121–124]</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3"/>
    <w:bookmarkStart w:id="174"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80];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[82];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[86];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[87];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[88];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[96];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[94]</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4"/>
    <w:bookmarkStart w:id="175"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144]</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[142]</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[92]. Автор как руководитель учреждения 05.10.2026 подтвердил аутсорсинг питания [91];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5"/>
    <w:bookmarkStart w:id="176"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[92, 93];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[92];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90]</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6"/>
    <w:bookmarkStart w:id="177"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[85];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77"/>
    <w:bookmarkStart w:id="178"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[92, 93];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78"/>
    <w:bookmarkEnd w:id="179"/>
    <w:bookmarkStart w:id="180"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[90]; положения о питании и журналов там нет; цикличные меню ТЗ 2026 г. перечислены в документации закупки [92]</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2026-10-07T05:22:00Z</dcterms:created>
  <dcterms:modified xsi:type="dcterms:W3CDTF">2026-10-07T05:22:00Z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7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