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w:t>
      </w:r>
    </w:p>
    <w:p>
      <w:pPr>
        <w:pStyle w:val="Author"/>
      </w:pPr>
      <w:r>
        <w:t xml:space="preserve">Е. В. Чистяков, директор СПб ГАСУСОН «ДСО „Серафимовский“»</w:t>
      </w:r>
    </w:p>
    <w:p>
      <w:pPr>
        <w:pStyle w:val="Date"/>
      </w:pPr>
      <w:r>
        <w:t xml:space="preserve">5 октября 2026 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Это аналитический доклад автора. Он не служит официальным толкованием законодательства и не выражает позиции Министерства труда и социальной защиты Российской Федерации, его рабочей группы по вариативному меню или Правительства Санкт-Петербурга. Предложения раздела 10 — рекомендации автора, а не пересказ действующих норм.</w:t>
      </w:r>
    </w:p>
    <w:p>
      <w:pPr>
        <w:pStyle w:val="BodyText"/>
      </w:pPr>
      <w:r>
        <w:rPr>
          <w:b/>
          <w:bCs/>
        </w:rPr>
        <w:t xml:space="preserve">Отношение к первой редакции.</w:t>
      </w:r>
      <w:r>
        <w:t xml:space="preserve"> </w:t>
      </w:r>
      <w:r>
        <w:t xml:space="preserve">Доклад вырос из правового обзора «Вариативное меню: НПА» (литературная редакция 29.08.2026, данные на 16.07.2026; папка</w:t>
      </w:r>
      <w:r>
        <w:t xml:space="preserve"> </w:t>
      </w:r>
      <w:r>
        <w:rPr>
          <w:rStyle w:val="VerbatimChar"/>
        </w:rPr>
        <w:t xml:space="preserve">raw/sources/variativnoe-menu-npa-2026/</w:t>
      </w:r>
      <w:r>
        <w:t xml:space="preserve"> </w:t>
      </w:r>
      <w:r>
        <w:t xml:space="preserve">репозитория) [1]. Из обзора взяты региональный анализ и часть источников; найденные в нём ошибки исправлены и перечислены в приложении В; разделы о научных данных, зарубежных нормах, российских кейсах и практических сценариях написаны заново. Там, где новая редакция расходится с первой, расхождение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Санитарные требования даны в двух слоях: СанПиН 2.3/2.4.3590-20 — для периода до 31.08.2026 включительно (в том числе для материалов семинара 25–27.08.2026); СанПиН 2.3/2.4.4282-26 — с 01.09.2026 [2, 3].</w:t>
      </w:r>
    </w:p>
    <w:p>
      <w:pPr>
        <w:pStyle w:val="BodyText"/>
      </w:pPr>
      <w:r>
        <w:rPr>
          <w:b/>
          <w:bCs/>
        </w:rPr>
        <w:t xml:space="preserve">Классы утверждений.</w:t>
      </w:r>
      <w:r>
        <w:t xml:space="preserve"> </w:t>
      </w:r>
      <w:r>
        <w:t xml:space="preserve">Каждое существенное утверждение принадлежит одному из четырёх классов; если класс не ясен из контекста, он назван в тексте.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Что означает</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указаны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может оспариваться</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Методический документ, научное руководство или предложение автора; не обязательно</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обязателен только в нём</w:t>
            </w:r>
          </w:p>
        </w:tc>
        <w:tc>
          <w:tcPr/>
          <w:p>
            <w:pPr>
              <w:pStyle w:val="Compact"/>
            </w:pPr>
            <w:r>
              <w:t xml:space="preserve">Приказ ДСО «Серафимовский» от 10.03.2026 № 124</w:t>
            </w:r>
          </w:p>
        </w:tc>
      </w:tr>
    </w:tbl>
    <w:p>
      <w:pPr>
        <w:pStyle w:val="BodyText"/>
      </w:pPr>
      <w:r>
        <w:rPr>
          <w:b/>
          <w:bCs/>
        </w:rPr>
        <w:t xml:space="preserve">Источники</w:t>
      </w:r>
      <w:r>
        <w:t xml:space="preserve"> </w:t>
      </w:r>
      <w:r>
        <w:t xml:space="preserve">указаны номерами в квадратных скобках; список помещён в конце доклада. Расчёты, помеченные словами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такому порядку питания, при котором житель стационарной организации социального обслуживания в момент еды видит перед собой не меньше двух вариантов блюда и сам влияет на то, какой получит. Речь идёт о правовых, организационных и доказательных основаниях этого порядка. Объект — дома социального обслуживания (бывшие дома-интернаты для престарелых и инвалидов) и психоневрологические интернаты России; предмет — нормы, которые решают, что, сколько и как подаётся на стол, и тот зазор, который они оставляют выбору.</w:t>
      </w:r>
    </w:p>
    <w:p>
      <w:pPr>
        <w:pStyle w:val="BodyText"/>
      </w:pPr>
      <w:r>
        <w:t xml:space="preserve">Проанализированы федеральные законы и подзаконные акты (среди них не учтённые в первой редакции приказ Минтруда России от 13.09.2022 № 520н и Правила организации деятельности организаций социального обслуживания, утверждённые приказом Минтруда России от 14.05.2025 № 305н, а также СанПиН 2.3/2.4.4282-26, вступивший в силу 01.09.2026), региональные нормы питания десяти субъектов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с подробным разбором постановления Правительства Санкт-Петербурга от 29.12.2014 № 1284, практики восьми российских учреждений, описанные в открытых источниках, и сообщение министра Иркутской области, нормы и процедуры проверки десяти зарубежных систем и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Основные выводы. 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называть правовой основой выбора, для взрослых закреплена лишь в методических рекомендациях 2002 г., а те ссылаются на приказ Минторга СССР 1980 г.; таблица замен санитарных правил формально стоит в разделе о питании детей. Научные данные о выборе блюд в домах ухода за пожилыми получены в основном в пилотных и наблюдательных исследованиях; они согласно показывают рост удовлетворённости и неоднозначное влияние на потребление и затраты. Рандомизированных исследований вариативного меню в психиатрических учреждениях социального обслуживания не найдено. Российские учреждения сообщают о том, что выбор введён, но не о том, к чему он привёл. Практическая часть разбирает сценарии: два горячих блюда в пределах норм № 1284, санитарный контур второго варианта по СанПиН 4282-26, закупка по 44-ФЗ и 223-ФЗ, раздача лежачим,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и что его проверочный лист 2026 г. спрашивает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названием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w:t>
            </w:r>
          </w:p>
        </w:tc>
      </w:tr>
    </w:tbl>
    <w:bookmarkEnd w:id="22"/>
    <w:bookmarkStart w:id="23" w:name="введение"/>
    <w:p>
      <w:pPr>
        <w:pStyle w:val="Heading1"/>
      </w:pPr>
      <w:r>
        <w:t xml:space="preserve">Введение</w:t>
      </w:r>
    </w:p>
    <w:p>
      <w:pPr>
        <w:pStyle w:val="FirstParagraph"/>
      </w:pPr>
      <w:r>
        <w:rPr>
          <w:b/>
          <w:bCs/>
        </w:rPr>
        <w:t xml:space="preserve">Проблема.</w:t>
      </w:r>
      <w:r>
        <w:t xml:space="preserve"> </w:t>
      </w:r>
      <w:r>
        <w:t xml:space="preserve">Только в психоневрологических интернатах России, по подсчёту проекта «Если быть точным», на 2024 г. было 466 учреждений и около 139 тыс. жителей, из которых 74 % признаны недееспособными [4]; к ним добавляются жители домов-интернатов общего типа, общее число которых в использованных источниках с проверяемыми реквизитами не найдено. Еда повторяется в их жизни несколько раз в день, и это та её часть, где выбор технически возможен. Тем не менее питание в таких учреждениях устроено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и не предусмотрен. Он появляется там, где его вводит само учреждение, и исчезает вместе с тем, кто его ввёл.</w:t>
      </w:r>
    </w:p>
    <w:p>
      <w:pPr>
        <w:pStyle w:val="BodyText"/>
      </w:pPr>
      <w:r>
        <w:t xml:space="preserve">С 2024 г. в открытых источниках стали появляться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Вопрос директора прост: можно ли подавать два вторых блюда, не нарушив норм питания, санитарных правил и закупочного законодательства, и что держать в папке на случай проверки. Простого ответа нет, потому что три слоя права — социальный, санитарный и закупочный — писались независимо друг от друга и о выборе молчат все три.</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собрать, что известно о последствиях выбора из исследований и практики; предложить организационные решения, которые можно проверить, не выдавая их за нормы.</w:t>
      </w:r>
    </w:p>
    <w:p>
      <w:pPr>
        <w:pStyle w:val="BodyText"/>
      </w:pPr>
      <w:r>
        <w:rPr>
          <w:b/>
          <w:bCs/>
        </w:rPr>
        <w:t xml:space="preserve">Задачи:</w:t>
      </w:r>
    </w:p>
    <w:p>
      <w:pPr>
        <w:pStyle w:val="Compact"/>
        <w:numPr>
          <w:ilvl w:val="0"/>
          <w:numId w:val="1001"/>
        </w:numPr>
      </w:pPr>
      <w:r>
        <w:t xml:space="preserve">развести понятия, которые в отраслевой речи смешиваются (цикличное меню, вариативное меню, таблица замен, персонализация питания), и шкалы, которыми описывают внедрение;</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w:t>
      </w:r>
    </w:p>
    <w:p>
      <w:pPr>
        <w:pStyle w:val="Compact"/>
        <w:numPr>
          <w:ilvl w:val="0"/>
          <w:numId w:val="1001"/>
        </w:numPr>
      </w:pPr>
      <w:r>
        <w:t xml:space="preserve">описать российские практики с указанием того, что источник сообщает и чего не сообщает;</w:t>
      </w:r>
    </w:p>
    <w:p>
      <w:pPr>
        <w:pStyle w:val="Compact"/>
        <w:numPr>
          <w:ilvl w:val="0"/>
          <w:numId w:val="1001"/>
        </w:numPr>
      </w:pPr>
      <w:r>
        <w:t xml:space="preserve">обобщить научные данные и зарубежные нормы о выборе блюд в учреждениях долговременного ухода;</w:t>
      </w:r>
    </w:p>
    <w:p>
      <w:pPr>
        <w:pStyle w:val="Compact"/>
        <w:numPr>
          <w:ilvl w:val="0"/>
          <w:numId w:val="1001"/>
        </w:numPr>
      </w:pPr>
      <w:r>
        <w:t xml:space="preserve">разобрать практические сценарии внедрения с опорой на действующие нормы;</w:t>
      </w:r>
    </w:p>
    <w:p>
      <w:pPr>
        <w:pStyle w:val="Compact"/>
        <w:numPr>
          <w:ilvl w:val="0"/>
          <w:numId w:val="1001"/>
        </w:numPr>
      </w:pPr>
      <w:r>
        <w:t xml:space="preserve">перечислить противоречия и пробелы и сформулировать предложения с явной пометкой их статуса.</w:t>
      </w:r>
    </w:p>
    <w:p>
      <w:pPr>
        <w:pStyle w:val="FirstParagraph"/>
      </w:pPr>
      <w:r>
        <w:rPr>
          <w:b/>
          <w:bCs/>
        </w:rPr>
        <w:t xml:space="preserve">Методы и источники.</w:t>
      </w:r>
      <w:r>
        <w:t xml:space="preserve"> </w:t>
      </w:r>
      <w:r>
        <w:t xml:space="preserve">Применены формально-юридический анализ текстов нормативных актов в действующих редакциях (официальные публикации, справочные системы «Гарант», «КонсультантПлюс», ведомственные сайты);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это целевой, а не систематический обзор); анализ публичных сообщений учреждений и органов власти.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где проверить не удалось,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это решения врача, и подменять их доклад не берётся. Сведения о практике учреждений взяты из их публичных сообщений и аудитом не являются. Стоимость питания приводится только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при их изложении это сказано.</w:t>
      </w:r>
    </w:p>
    <w:p>
      <w:pPr>
        <w:pStyle w:val="BodyText"/>
      </w:pPr>
      <w:r>
        <w:rPr>
          <w:b/>
          <w:bCs/>
        </w:rPr>
        <w:t xml:space="preserve">Что нового во второй редакции.</w:t>
      </w:r>
      <w:r>
        <w:t xml:space="preserve"> </w:t>
      </w:r>
      <w:r>
        <w:t xml:space="preserve">По сравнению с первой редакцией [1]: (а) введён в анализ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для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позиций, включая две ошибки самой второй редакции, исправленные при дополнении. Полный перечень изменений — в приложении В.</w:t>
      </w:r>
    </w:p>
    <w:bookmarkEnd w:id="23"/>
    <w:bookmarkStart w:id="30" w:name="понятия-и-разграничения"/>
    <w:p>
      <w:pPr>
        <w:pStyle w:val="Heading1"/>
      </w:pPr>
      <w:r>
        <w:rPr>
          <w:rStyle w:val="SectionNumber"/>
        </w:rPr>
        <w:t xml:space="preserve">1</w:t>
      </w:r>
      <w:r>
        <w:tab/>
      </w:r>
      <w:r>
        <w:t xml:space="preserve">Понятия и разграничения</w:t>
      </w:r>
    </w:p>
    <w:bookmarkStart w:id="24"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Внутри неё живут учреждения двух типов, и для нашей темы разница между ними существенна.</w:t>
      </w:r>
    </w:p>
    <w:p>
      <w:pPr>
        <w:pStyle w:val="BodyText"/>
      </w:pPr>
      <w:r>
        <w:t xml:space="preserve">Дома-интернаты для престарелых и инвалидов действуют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подчиняются тому же закону, но к ним применяется ещё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относит к ст. 39 и законодательству о социальном обслуживании [26]. Среди прав ч. 2 ст. 37 — право «исполнять религиозные обряды, соблюдать религиозные каноны, в том числе пост», если это не нарушает внутренний распорядок [26]. Это единственная найденная норма федерального закона, которая прямо касается того, что лежит у жителя на тарелке: пост для жителя ПНИ — его право, а не милость кухни.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заметный пропуск.</w:t>
      </w:r>
    </w:p>
    <w:p>
      <w:pPr>
        <w:pStyle w:val="BodyText"/>
      </w:pPr>
      <w:r>
        <w:t xml:space="preserve">Переименование ПНИ в дома социального обслуживания, к концу 2025 г. проведённое, по данным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меняет. В Санкт-Петербурге, по сообщению Комитета по социальной политике от 22.07.2025, психоневрологических интернатов больше нет: все они переименованы в дома социального обслуживания, а их уставы обновляются [21]. Сайт ДСО «Серафимовский» до прекращения работы располагался на домене pni9.ru [28]. Для ст. 43 Закона № 3185-1 важно назначение организации, а не вывеска. В ДСО, где живут люди без психиатрического диагноза, опорой остаётся 442-ФЗ. Поэтому решения раздела 7 для бывшего ПНИ проверяются по двум законам, для дома-интерната общего типа — по одному.</w:t>
      </w:r>
    </w:p>
    <w:bookmarkEnd w:id="24"/>
    <w:bookmarkStart w:id="25" w:name="четыре-словаря"/>
    <w:p>
      <w:pPr>
        <w:pStyle w:val="Heading2"/>
      </w:pPr>
      <w:r>
        <w:rPr>
          <w:rStyle w:val="SectionNumber"/>
        </w:rPr>
        <w:t xml:space="preserve">1.2</w:t>
      </w:r>
      <w:r>
        <w:tab/>
      </w:r>
      <w:r>
        <w:t xml:space="preserve">Четыре словаря</w:t>
      </w:r>
    </w:p>
    <w:p>
      <w:pPr>
        <w:pStyle w:val="FirstParagraph"/>
      </w:pPr>
      <w:r>
        <w:t xml:space="preserve">Словами «вариативное меню» в отрасли называют по меньшей мере четыре разных явления. Из их смешения и вырастает большая часть споров — с проверяющими и с самими собой.</w:t>
      </w:r>
    </w:p>
    <w:p>
      <w:pPr>
        <w:pStyle w:val="BodyText"/>
      </w:pPr>
      <w:r>
        <w:rPr>
          <w:b/>
          <w:bCs/>
        </w:rPr>
        <w:t xml:space="preserve">Цикличное меню</w:t>
      </w:r>
      <w:r>
        <w:t xml:space="preserve"> </w:t>
      </w:r>
      <w:r>
        <w:t xml:space="preserve">— разнообразие во времени: набор блюд повторяется через 7, 10, 14 или 21 день. Цикличное меню обязательно в силу санитарных правил для детских организаций (не менее двух недель, п. 59 подп. 4 СанПиН 4282-26 [3]) а во взрослых учреждениях сложилось как привычка. Жителю оно ничего не предлагает выбрать: «четырнадцать дней без повторов» описывает меню, а не свободу человека.</w:t>
      </w:r>
    </w:p>
    <w:p>
      <w:pPr>
        <w:pStyle w:val="BodyText"/>
      </w:pPr>
      <w:r>
        <w:rPr>
          <w:b/>
          <w:bCs/>
        </w:rPr>
        <w:t xml:space="preserve">Таблица замен</w:t>
      </w:r>
      <w:r>
        <w:t xml:space="preserve"> </w:t>
      </w:r>
      <w:r>
        <w:t xml:space="preserve">(нормы взаимозаменяемости) — инструмент склада и раскладки: при отсутствии продукта он заменяется другим в эквивалентном по пищевой ценности количестве. Таблица защищает норму, а не выбор. Гречка, заменённая рисом «по остаткам», — замена, а не вариант. Где таблица замен для взрослых находится в праве, разобрано в п. 2.6.</w:t>
      </w:r>
    </w:p>
    <w:p>
      <w:pPr>
        <w:pStyle w:val="BodyText"/>
      </w:pPr>
      <w:r>
        <w:rPr>
          <w:b/>
          <w:bCs/>
        </w:rPr>
        <w:t xml:space="preserve">Персонализация питания</w:t>
      </w:r>
      <w:r>
        <w:t xml:space="preserve"> </w:t>
      </w:r>
      <w:r>
        <w:t xml:space="preserve">— индивидуальные решения по медицинским показаниям: диета, консистенция, обогащение, режим. Её основание — назначение врача, кухня его исполняет. Выбором в смысле доклада персонализация не является и подменять его не должна: житель с назначенной протёртой пищей имеет право на выбор среди протёртых блюд, но не на отмену назначения через «выбор».</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различает один вопрос: что изменилось в тарелке конкретного жителя сегодня и кто это решил? Если решили регион и кухня — это цикл или замена. Если решил врач — персонализация. Если решил сам житель (или, при невозможности сказать, по наблюдаемым признакам его воли) — выбор.</w:t>
      </w:r>
    </w:p>
    <w:bookmarkEnd w:id="25"/>
    <w:bookmarkStart w:id="26"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по-разному, и это расхождение нужно держать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проверять: его исполнение видно в журнале и на линии раздачи. Широкое удобно для отчёта: под него подходит почти любая перемена. Доклад пользуется узким определением и отдельно оговаривает случаи предварительного заказа. Заказ накануне (так устроена практика ДСО «Серафимовский» [21]) по узкому определению является выбором при условии, что заказанное блюдо фактически подаётся заказавшему; заказ на неделю вперёд — выбор с отсрочкой, при котором право изменить решение в день подачи становится отдельным вопросом.</w:t>
      </w:r>
    </w:p>
    <w:bookmarkEnd w:id="26"/>
    <w:bookmarkStart w:id="27"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материалы семинара описывают тремя независимыми шкалами.</w:t>
      </w:r>
    </w:p>
    <w:p>
      <w:pPr>
        <w:pStyle w:val="BodyText"/>
      </w:pPr>
      <w:r>
        <w:rPr>
          <w:b/>
          <w:bCs/>
        </w:rPr>
        <w:t xml:space="preserve">Модели раздачи М0–М5</w:t>
      </w:r>
      <w:r>
        <w:t xml:space="preserve"> </w:t>
      </w:r>
      <w:r>
        <w:t xml:space="preserve">—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сообщение по Иркутской области [14]</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 ось жителя: насколько контроль над едой возвращён человеку (0 — еду определили регион, кухня и смена; 1 — спросили, тарелка та же; 2 — выбор дошёл до тарелки; 3 — добавились время и место; 4 — житель влияет на меню через совет; 5 — еда снова часть жизни, а не процедуры) [22, 23].</w:t>
      </w:r>
    </w:p>
    <w:p>
      <w:pPr>
        <w:pStyle w:val="BodyText"/>
      </w:pPr>
      <w:r>
        <w:rPr>
          <w:b/>
          <w:bCs/>
        </w:rPr>
        <w:t xml:space="preserve">Пять моделей обзора НПА</w:t>
      </w:r>
      <w:r>
        <w:t xml:space="preserve"> </w:t>
      </w:r>
      <w:r>
        <w:t xml:space="preserve">(§ 4.2) — организационные формы: двухвариантное меню; меню-заказ на неделю; шведский стол; смешанная модель (выбор несколько раз в неделю); событийная (праздничные меню) [1].</w:t>
      </w:r>
    </w:p>
    <w:p>
      <w:pPr>
        <w:pStyle w:val="BodyText"/>
      </w:pPr>
      <w:r>
        <w:t xml:space="preserve">Шкалы меряют разное. Дом может работать по М2 (два вторых ежедневно), а жители отделения милосердия при этом остаются на ступени 0, если выбор существует только в столовой, куда они не спускаются. Нумерации не совпадают: «модель 1» обзора НПА не равна М1, «ступень 2» не равна М2. В первой редакции обзора Болотнинский ПНИ одновременно отнесён к модели 1 и модели 4 [1]; по шкале М0–М5 это М1, а по пятичленной шкале обзора — смешанная модель (выбор несколько раз в неделю). Шкалу моделей обзора НПА доклад приводит только в цитатах.</w:t>
      </w:r>
    </w:p>
    <w:bookmarkEnd w:id="27"/>
    <w:bookmarkStart w:id="28"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ст.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w:t>
      </w:r>
    </w:p>
    <w:p>
      <w:pPr>
        <w:pStyle w:val="Compact"/>
        <w:numPr>
          <w:ilvl w:val="0"/>
          <w:numId w:val="1002"/>
        </w:numPr>
      </w:pPr>
      <w:r>
        <w:t xml:space="preserve">при расчёте объёма услуг учитываются нормы и нормативы, в том числе нормы питания, установленные в соответствии с 442-ФЗ;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w:t>
      </w:r>
    </w:p>
    <w:p>
      <w:pPr>
        <w:pStyle w:val="Compact"/>
        <w:numPr>
          <w:ilvl w:val="0"/>
          <w:numId w:val="1002"/>
        </w:numPr>
      </w:pPr>
      <w:r>
        <w:t xml:space="preserve">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FirstParagraph"/>
      </w:pPr>
      <w:r>
        <w:t xml:space="preserve">В том же п. 19 есть красноречивое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для одежды, но не для еды: питание оценивают по доброкачественности, калорийности и соответствию нормам. Запрета учитывать вкус отсюда не следует. Следует лишь, что критерий качества этого не требует, и учреждение, вводящее выбор блюд, опирается не на п. 19, а на общие права получателя (ст. 9 442-ФЗ) и на свои локальные акты (толкование).</w:t>
      </w:r>
    </w:p>
    <w:bookmarkEnd w:id="28"/>
    <w:bookmarkStart w:id="29"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нужна потому, что в сегодняшней практике одновременно работают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назвав его «действующим, но морально устаревшим»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[34].</w:t>
      </w:r>
    </w:p>
    <w:bookmarkEnd w:id="29"/>
    <w:bookmarkEnd w:id="30"/>
    <w:bookmarkStart w:id="50" w:name="федеральное-право"/>
    <w:p>
      <w:pPr>
        <w:pStyle w:val="Heading1"/>
      </w:pPr>
      <w:r>
        <w:rPr>
          <w:rStyle w:val="SectionNumber"/>
        </w:rPr>
        <w:t xml:space="preserve">2</w:t>
      </w:r>
      <w:r>
        <w:tab/>
      </w:r>
      <w:r>
        <w:t xml:space="preserve">Федеральное право</w:t>
      </w:r>
    </w:p>
    <w:bookmarkStart w:id="31"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говорит. Для темы важны три её положения: охрана достоинства личности, которое ничто не может умалять (ст. 21), социальное государство, гарантирующее государственную поддержку пожилых граждан и инвалидов (ст. 7, 39), и право на охрану здоровья (ст. 41) [35]. Права на два вторых блюда из них не вывести; выводится другое — ограничения в повседневной жизни жителя должны иметь основание, а не вырастать из удобства организации (толкование).</w:t>
      </w:r>
    </w:p>
    <w:p>
      <w:pPr>
        <w:pStyle w:val="BodyText"/>
      </w:pPr>
      <w:r>
        <w:t xml:space="preserve">В Конвенции ООН о правах инвалидов, ратифицированной Россией в 2012 г., к делу относятся три нормы: право на самостоятельный образ жизни и вовлечённость в местное сообщество (ст. 19), на здоровье (ст. 25) и на достаточный жизненный уровень, «включающий достаточное питание» (ст. 28) [36]. Комитет ООН по правам инвалидов в Замечании общего порядка № 1 (2014) к ст. 12 разъяснил, что замещающее принятие решений должно уступать место поддерживаемому [37]. Для ПНИ, где большинство жителей признаны недееспособными [4], это значит, что вопрос «может ли этот человек выбрать» надо ставить как вопрос «какая поддержка ему нужна, чтобы выбор был его», а не закрывать ссылкой на недееспособность (толкование; правовые последствия Замечания для российских судов не исследуются).</w:t>
      </w:r>
    </w:p>
    <w:bookmarkEnd w:id="31"/>
    <w:bookmarkStart w:id="32"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но регион не обязан их повторять (толкование, основанное на рекомендательном характере обоих актов).</w:t>
      </w:r>
    </w:p>
    <w:p>
      <w:pPr>
        <w:pStyle w:val="BodyText"/>
      </w:pPr>
      <w:r>
        <w:t xml:space="preserve">Для выбора блюд важны следующие положения закона [24] —</w:t>
      </w:r>
      <w:r>
        <w:t xml:space="preserve"> </w:t>
      </w:r>
      <w:r>
        <w:rPr>
          <w:b/>
          <w:bCs/>
        </w:rPr>
        <w:t xml:space="preserve">нормы</w:t>
      </w:r>
      <w:r>
        <w:t xml:space="preserve">:</w:t>
      </w:r>
    </w:p>
    <w:p>
      <w:pPr>
        <w:pStyle w:val="Compact"/>
        <w:numPr>
          <w:ilvl w:val="0"/>
          <w:numId w:val="1003"/>
        </w:numPr>
      </w:pPr>
      <w:r>
        <w:t xml:space="preserve">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w:t>
      </w:r>
    </w:p>
    <w:p>
      <w:pPr>
        <w:pStyle w:val="Compact"/>
        <w:numPr>
          <w:ilvl w:val="0"/>
          <w:numId w:val="1003"/>
        </w:numPr>
      </w:pPr>
      <w:r>
        <w:t xml:space="preserve">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w:t>
      </w:r>
    </w:p>
    <w:p>
      <w:pPr>
        <w:pStyle w:val="Compact"/>
        <w:numPr>
          <w:ilvl w:val="0"/>
          <w:numId w:val="1003"/>
        </w:numPr>
      </w:pPr>
      <w:r>
        <w:t xml:space="preserve">индивидуальная программа определяет форму, вид, объём, периодичность и условия предоставления услуг (ст. 16), договор — их состав и стоимость (ст. 17);</w:t>
      </w:r>
    </w:p>
    <w:p>
      <w:pPr>
        <w:pStyle w:val="Compact"/>
        <w:numPr>
          <w:ilvl w:val="0"/>
          <w:numId w:val="1003"/>
        </w:numPr>
      </w:pPr>
      <w:r>
        <w:t xml:space="preserve">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FirstParagraph"/>
      </w:pPr>
      <w:r>
        <w:t xml:space="preserve">К последнему положению материалы семинара дают две разные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 нормы — закон, приказ её воспроизводит. Противоречия нет; есть разная глубина ссылки.</w:t>
      </w:r>
    </w:p>
    <w:p>
      <w:pPr>
        <w:pStyle w:val="BodyText"/>
      </w:pPr>
      <w:r>
        <w:t xml:space="preserve">Для вариативного меню существеннее другое. Право на отказ от услуги (ст. 9) охватывает отказ от конкретного блюда (толкование), но закон не говорит, что учреждение должно предложить взамен. Право на участие в составлении ИППСУ позволяет внести в программу пищевые предпочтения, но федеральная форма программы для этого не предназначена; прямого права на ежедневный выбор блюда закон не содержит [23]. В 442-ФЗ выбор возможен, но не гарантирован.</w:t>
      </w:r>
    </w:p>
    <w:bookmarkEnd w:id="32"/>
    <w:bookmarkStart w:id="33"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Он устанавливает,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Со статусом приказа нужна точность: Примерный порядок — ориентир для субъектов, а не прямой регулятор учреждения. Порядок предоставления услуг утверждает субъект (ст. 8 442-ФЗ) [24]. Поэтому ссылка «по п. 19 приказа № 935н питание должно быть разнообразным» неверна дважды: пункт этого не говорит, и учреждение подчиняется региональному порядку (толкование).</w:t>
      </w:r>
    </w:p>
    <w:bookmarkEnd w:id="33"/>
    <w:bookmarkStart w:id="34"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весит больше Примерного порядка: в отличие от приказа № 935н, Правила обращены прямо к организациям, а не к субъектам как образец.</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w:t>
      </w:r>
    </w:p>
    <w:p>
      <w:pPr>
        <w:pStyle w:val="Compact"/>
        <w:numPr>
          <w:ilvl w:val="0"/>
          <w:numId w:val="1004"/>
        </w:numPr>
      </w:pPr>
      <w:r>
        <w:t xml:space="preserve">нормы питания в организациях, находящихся в ведении субъекта, устанавливаются актами субъекта в рамках полномочий по ст. 8 442-ФЗ (п. 15) — федеральный акт подтверждает распределение компетенции, а не вводит собственных норм;</w:t>
      </w:r>
    </w:p>
    <w:p>
      <w:pPr>
        <w:pStyle w:val="Compact"/>
        <w:numPr>
          <w:ilvl w:val="0"/>
          <w:numId w:val="1004"/>
        </w:numPr>
      </w:pPr>
      <w:r>
        <w:t xml:space="preserve">организация обязана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w:t>
      </w:r>
    </w:p>
    <w:p>
      <w:pPr>
        <w:pStyle w:val="Compact"/>
        <w:numPr>
          <w:ilvl w:val="0"/>
          <w:numId w:val="1004"/>
        </w:numPr>
      </w:pPr>
      <w:r>
        <w:t xml:space="preserve">организация обязана «обеспечивать условия для исполнения религиозных обрядов, соблюдения религиозных канонов, в том числе постов» (подп. 15 п. 20) — для всех организаций социального обслуживания, а не только для ПНИ, как по ст. 43 Закона № 3185-1;</w:t>
      </w:r>
    </w:p>
    <w:p>
      <w:pPr>
        <w:pStyle w:val="Compact"/>
        <w:numPr>
          <w:ilvl w:val="0"/>
          <w:numId w:val="1004"/>
        </w:numPr>
      </w:pPr>
      <w:r>
        <w:t xml:space="preserve">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FirstParagraph"/>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найденное в федеральном акте признание того, что житель стационара может сам готовить себе еду; модель М5 шкалы раздачи (п. 1.4) — жители готовят сами —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 последнем случае она относится к подготовке к сопровождаемому проживанию, а не к организации основного питания.</w:t>
      </w:r>
    </w:p>
    <w:p>
      <w:pPr>
        <w:pStyle w:val="BodyText"/>
      </w:pPr>
      <w:r>
        <w:t xml:space="preserve">Последствия для вариативного меню (толкование). Во-первых,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[38]: учреждение должно уметь показать, как житель, соблюдающий пост, получает питание в пределах норм. Самый простой способ — постный вариант в составе вариативного меню; альтернативы — индивидуальная замена по заявлению или отдельный постный рацион. Юрист проекта «Регион заботы» А. Гаганов в комментарии к приказу сделал тот же вывод: норма «склоняет интернаты к необходимости обеспечивать вариативное питание хотя бы во время религиозных постов» [39]. Во-вторых, выбора блюд как такового Правила не требуют; обосновывать приказом № 305н ежедневный выбор из двух вторых значило бы толковать его расширительно. В-третьих, предпочтения получателя упоминаются в Правилах применительно к размещению по спальням, но не к питанию — та же асимметрия, что в критериях качества приказа № 935н (п. 1.5).</w:t>
      </w:r>
    </w:p>
    <w:bookmarkEnd w:id="34"/>
    <w:bookmarkStart w:id="38"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5"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федеральной опорой норм там названо постановление № 12 от 2002 г. [1]. С 2022 г. федеральный ориентир по продуктовому набору для взрослых — № 520н, а не таблицы 2002 г.</w:t>
      </w:r>
    </w:p>
    <w:p>
      <w:pPr>
        <w:pStyle w:val="BodyText"/>
      </w:pPr>
      <w:r>
        <w:t xml:space="preserve">Два свойства приказа № 520н важны для выбора блюд.</w:t>
      </w:r>
    </w:p>
    <w:p>
      <w:pPr>
        <w:pStyle w:val="BodyText"/>
      </w:pPr>
      <w:r>
        <w:t xml:space="preserve">Во-первых,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видно из п. 3.2, устроена иначе.</w:t>
      </w:r>
    </w:p>
    <w:p>
      <w:pPr>
        <w:pStyle w:val="BodyText"/>
      </w:pPr>
      <w:r>
        <w:t xml:space="preserve">Во-вторых, приказ задаёт продукты группами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говорит. Отсюда и берётся главное законное пространство для вариантов: две каши из одной группы круп не требуют пересчёта нормы (толкование).</w:t>
      </w:r>
    </w:p>
    <w:bookmarkEnd w:id="35"/>
    <w:bookmarkStart w:id="36"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В действующей редакции есть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а таблица по белку и углеводам позволяет сопоставить разные блюда.</w:t>
      </w:r>
    </w:p>
    <w:p>
      <w:pPr>
        <w:pStyle w:val="BodyText"/>
      </w:pPr>
      <w:r>
        <w:t xml:space="preserve">Пункт 3 рекомендаций формулирует требования, которые прямо касаются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коррекция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задаёт рамку выбора: житель может выбрать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[40]; их содержание для доклада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[41]. Если это положение подтвердится по первоисточнику, оно — единственное найденное федеральное упоминание индивидуального объёма порции в социальном обслуживании (текст рекомендаций целиком в ходе подготовки доклада не получен; положение приведено по цитате в научной статье).</w:t>
      </w:r>
    </w:p>
    <w:p>
      <w:pPr>
        <w:pStyle w:val="BodyText"/>
      </w:pPr>
      <w:r>
        <w:t xml:space="preserve">Как соотносятся два федеральных документа, формально не урегулировано: № 520н не отменяет № 12, и оба носят рекомендательный характер. Разумно читать их так (толкование): продуктовый набор — по № 520н как более позднему и специальному;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36"/>
    <w:bookmarkStart w:id="37"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[42]. Они не устанавливают продуктовых наборов и не регулируют порядок подачи —</w:t>
      </w:r>
      <w:r>
        <w:t xml:space="preserve"> </w:t>
      </w:r>
      <w:r>
        <w:rPr>
          <w:b/>
          <w:bCs/>
        </w:rPr>
        <w:t xml:space="preserve">рекомендация</w:t>
      </w:r>
      <w:r>
        <w:t xml:space="preserve">.</w:t>
      </w:r>
    </w:p>
    <w:bookmarkEnd w:id="37"/>
    <w:bookmarkEnd w:id="38"/>
    <w:bookmarkStart w:id="39"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по смыслу это верно, но адрес нужно уточнить.</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 приложение № 11 к СанПиН 4282-26 (как и ранее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 норма для детских организованных коллективов, а для взрослых — допустимый ориентир, применяемый по аналогии (толкование). Свердловская область сделала эту аналогию нормой регионального уровня, указав в своём акте о нормах питания замену по приложению № 11 [1, 43].</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найденный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в действующей редакции положений о замене продуктов не содержит (проверено по тексту редакции от 27.06.2022 [33]).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этой редакции, положений о взаимозаменяемости продуктов для совершеннолетних также не найдено [44–46]. Там, где региональный акт молчит, таблицу замен вводит локальный акт: например,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[47]. Это локальная форма, а не норма, но она показывает: механизм, нужный вариативному меню, во многих учреждениях уже есть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но этот подпункт адресован медицинским организациям [3].</w:t>
      </w:r>
    </w:p>
    <w:p>
      <w:pPr>
        <w:pStyle w:val="BodyText"/>
      </w:pPr>
      <w:r>
        <w:t xml:space="preserve">Вывод (толкование): механизм эквивалентной замены для взрослых в социальном обслуживании существует, но держится на документах рекомендательного характера, на аналогии с детским разделом санитарных правил и на региональных актах там, где они это предусмотрели. Директору отсюда следует практическое правило: таблица замен, которой пользуется учреждение, должна быть утверждена его локальным актом со ссылкой на источник — приложение № 7 к рекомендациям 2002 г., приложение № 11 к СанПиН 4282-26 или региональный акт. Голая ссылка «по СанПиН» во взрослом учреждении уязвима.</w:t>
      </w:r>
    </w:p>
    <w:bookmarkEnd w:id="39"/>
    <w:bookmarkStart w:id="44"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0"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Отсюда два правила (толкование по общему принципу действия акта во времени). Журналы, технологическая документация и программа производственного контроля, оформленные до 31.08.2026 по формам СанПиН 3590-20, законны в том виде, в каком они составлены; переоформлять их задним числом не требуется и вредно. С 01.09.2026 действуют формы и требования СанПиН 4282-26; документы, ссылающиеся на пункты утратившего силу акта, должны быть перепривязаны.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0"/>
    <w:bookmarkStart w:id="41"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r>
      <w:tr>
        <w:tc>
          <w:tcPr/>
          <w:p>
            <w:pPr>
              <w:pStyle w:val="Compact"/>
            </w:pPr>
            <w:r>
              <w:t xml:space="preserve">Кратность и диетическое питание</w:t>
            </w:r>
          </w:p>
        </w:tc>
        <w:tc>
          <w:tcPr/>
          <w:p>
            <w:pPr>
              <w:pStyle w:val="Compact"/>
            </w:pPr>
            <w:r>
              <w:t xml:space="preserve">Не менее 3 раз в день, в том числе диетическое (лечебное) по медицинским показаниям (раздел VII, п. 7.1.11 по нумерации, приводимой в [1, 23])</w:t>
            </w:r>
          </w:p>
        </w:tc>
        <w:tc>
          <w:tcPr/>
          <w:p>
            <w:pPr>
              <w:pStyle w:val="Compact"/>
            </w:pPr>
            <w:r>
              <w:t xml:space="preserve">То же: подп. 11 п. 56 [3]</w:t>
            </w:r>
          </w:p>
        </w:tc>
      </w:tr>
      <w:tr>
        <w:tc>
          <w:tcPr/>
          <w:p>
            <w:pPr>
              <w:pStyle w:val="Compact"/>
            </w:pPr>
            <w:r>
              <w:t xml:space="preserve">Привлечение стороннего организатора питания</w:t>
            </w:r>
          </w:p>
        </w:tc>
        <w:tc>
          <w:tcPr/>
          <w:p>
            <w:pPr>
              <w:pStyle w:val="Compact"/>
            </w:pPr>
            <w:r>
              <w:t xml:space="preserve">Требования к суточным пробам и помещению (п. 7.1.12–7.1.14 по [23])</w:t>
            </w:r>
          </w:p>
        </w:tc>
        <w:tc>
          <w:tcPr/>
          <w:p>
            <w:pPr>
              <w:pStyle w:val="Compact"/>
            </w:pPr>
            <w:r>
              <w:t xml:space="preserve">При использовании готовых блюд выделяется помещение для приёма и отбора суточных проб; пробы отбирает ответственный работник пищеблока по подп. 4 (подп. 12 п. 56)</w:t>
            </w:r>
          </w:p>
        </w:tc>
      </w:tr>
      <w:tr>
        <w:tc>
          <w:tcPr/>
          <w:p>
            <w:pPr>
              <w:pStyle w:val="Compact"/>
            </w:pPr>
            <w:r>
              <w:t xml:space="preserve">Бракераж</w:t>
            </w:r>
          </w:p>
        </w:tc>
        <w:tc>
          <w:tcPr/>
          <w:p>
            <w:pPr>
              <w:pStyle w:val="Compact"/>
            </w:pPr>
            <w:r>
              <w:t xml:space="preserve">—</w:t>
            </w:r>
          </w:p>
        </w:tc>
        <w:tc>
          <w:tcPr/>
          <w:p>
            <w:pPr>
              <w:pStyle w:val="Compact"/>
            </w:pPr>
            <w:r>
              <w:t xml:space="preserve">Блюдо при нарушении технологии или неготовности не выдаётся до устранения; результат — в журнале бракеража по приложениям № 4 и 5 (подп. 13 п. 56)</w:t>
            </w:r>
          </w:p>
        </w:tc>
      </w:tr>
      <w:tr>
        <w:tc>
          <w:tcPr/>
          <w:p>
            <w:pPr>
              <w:pStyle w:val="Compact"/>
            </w:pPr>
            <w:r>
              <w:t xml:space="preserve">Распространение на сторонние предприятия</w:t>
            </w:r>
          </w:p>
        </w:tc>
        <w:tc>
          <w:tcPr/>
          <w:p>
            <w:pPr>
              <w:pStyle w:val="Compact"/>
            </w:pPr>
            <w:r>
              <w:t xml:space="preserve">—</w:t>
            </w:r>
          </w:p>
        </w:tc>
        <w:tc>
          <w:tcPr/>
          <w:p>
            <w:pPr>
              <w:pStyle w:val="Compact"/>
            </w:pPr>
            <w:r>
              <w:t xml:space="preserve">Требования п. 56 распространяются на привлекаемые предприятия общественного питания (подп. 14 п. 56)</w:t>
            </w:r>
          </w:p>
        </w:tc>
      </w:tr>
      <w:tr>
        <w:tc>
          <w:tcPr/>
          <w:p>
            <w:pPr>
              <w:pStyle w:val="Compact"/>
            </w:pPr>
            <w:r>
              <w:t xml:space="preserve">Рекомендательные нормы</w:t>
            </w:r>
          </w:p>
        </w:tc>
        <w:tc>
          <w:tcPr/>
          <w:p>
            <w:pPr>
              <w:pStyle w:val="Compact"/>
            </w:pPr>
            <w:r>
              <w:t xml:space="preserve">—</w:t>
            </w:r>
          </w:p>
        </w:tc>
        <w:tc>
          <w:tcPr/>
          <w:p>
            <w:pPr>
              <w:pStyle w:val="Compact"/>
            </w:pPr>
            <w:r>
              <w:t xml:space="preserve">Оценка соблюдения рекомендательных норм не может быть предметом федерального санитарного надзора (п. 3)</w:t>
            </w:r>
          </w:p>
        </w:tc>
      </w:tr>
      <w:tr>
        <w:tc>
          <w:tcPr/>
          <w:p>
            <w:pPr>
              <w:pStyle w:val="Compact"/>
            </w:pPr>
            <w:r>
              <w:t xml:space="preserve">Технологические документы</w:t>
            </w:r>
          </w:p>
        </w:tc>
        <w:tc>
          <w:tcPr/>
          <w:p>
            <w:pPr>
              <w:pStyle w:val="Compact"/>
            </w:pPr>
            <w:r>
              <w:t xml:space="preserve">Требование существовало</w:t>
            </w:r>
          </w:p>
        </w:tc>
        <w:tc>
          <w:tcPr/>
          <w:p>
            <w:pPr>
              <w:pStyle w:val="Compact"/>
            </w:pPr>
            <w:r>
              <w:t xml:space="preserve">Изготовление — по технологическим документам, утверждённым руководителем; наименования блюд в меню должны соответствовать технологическим документам (п. 11)</w:t>
            </w:r>
          </w:p>
        </w:tc>
      </w:tr>
      <w:tr>
        <w:tc>
          <w:tcPr/>
          <w:p>
            <w:pPr>
              <w:pStyle w:val="Compact"/>
            </w:pPr>
            <w:r>
              <w:t xml:space="preserve">Время на раздаче</w:t>
            </w:r>
          </w:p>
        </w:tc>
        <w:tc>
          <w:tcPr/>
          <w:p>
            <w:pPr>
              <w:pStyle w:val="Compact"/>
            </w:pPr>
            <w:r>
              <w:t xml:space="preserve">—</w:t>
            </w:r>
          </w:p>
        </w:tc>
        <w:tc>
          <w:tcPr/>
          <w:p>
            <w:pPr>
              <w:pStyle w:val="Compact"/>
            </w:pPr>
            <w:r>
              <w:t xml:space="preserve">Не более 3 часов с момента изготовления для блюд, требующих разогревания; запрет реализации готовых блюд на следующий день и замораживания нереализованных блюд (п. 32)</w:t>
            </w:r>
          </w:p>
        </w:tc>
      </w:tr>
    </w:tbl>
    <w:p>
      <w:pPr>
        <w:pStyle w:val="BodyText"/>
      </w:pPr>
      <w:r>
        <w:t xml:space="preserve">Левый столбец заполнен по нумерации, приводимой в материалах семинара, и не сверялся с текстом СанПиН 3590-20 по каждой строке; правый — по тексту СанПиН 4282-26 [3]. Прочерк в левом столбце означает, что сопоставимое требование в материалах семинара не приводилось, а не то, что его не было.</w:t>
      </w:r>
    </w:p>
    <w:bookmarkEnd w:id="41"/>
    <w:bookmarkStart w:id="42" w:name="что-новый-санпин-говорит-о-выборе"/>
    <w:p>
      <w:pPr>
        <w:pStyle w:val="Heading3"/>
      </w:pPr>
      <w:r>
        <w:rPr>
          <w:rStyle w:val="SectionNumber"/>
        </w:rPr>
        <w:t xml:space="preserve">2.7.3</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Для вариативного меню существенны четыре положения нового СанПиН.</w:t>
      </w:r>
    </w:p>
    <w:p>
      <w:pPr>
        <w:pStyle w:val="Compact"/>
        <w:numPr>
          <w:ilvl w:val="0"/>
          <w:numId w:val="1005"/>
        </w:numPr>
      </w:pP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 нарушение, как бы хорош он ни был.</w:t>
      </w:r>
    </w:p>
    <w:p>
      <w:pPr>
        <w:pStyle w:val="Compact"/>
        <w:numPr>
          <w:ilvl w:val="0"/>
          <w:numId w:val="1005"/>
        </w:numPr>
      </w:pPr>
      <w:r>
        <w:rPr>
          <w:b/>
          <w:bCs/>
        </w:rPr>
        <w:t xml:space="preserve">Три часа на раздаче</w:t>
      </w:r>
      <w:r>
        <w:t xml:space="preserve"> </w:t>
      </w:r>
      <w:r>
        <w:t xml:space="preserve">(п. 32). Ограничение касается блюд, требующих разогревания перед употреблением, и считается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w:t>
      </w:r>
    </w:p>
    <w:p>
      <w:pPr>
        <w:pStyle w:val="Compact"/>
        <w:numPr>
          <w:ilvl w:val="0"/>
          <w:numId w:val="1005"/>
        </w:numPr>
      </w:pP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Compact"/>
        <w:numPr>
          <w:ilvl w:val="0"/>
          <w:numId w:val="1005"/>
        </w:numPr>
      </w:pP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 для случая готовых блюд от стороннего предприятия.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которое проверяющий будет ожидать (толкование; вопрос стоит уточнить у территориального органа Роспотребнадзора).</w:t>
      </w:r>
    </w:p>
    <w:p>
      <w:pPr>
        <w:pStyle w:val="FirstParagraph"/>
      </w:pPr>
      <w:r>
        <w:t xml:space="preserve">Отдельно 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 нет, но их соблюдение проверяет не Роспотребнадзор, а государственный контроль в сфере социального обслуживания: для организаций субъекта — Роструд, для негосударственных поставщиков — орган субъекта (п. 8.3–8.4; толкование). Вопрос «почему сегодня два вторых» поэтому не относится к предмету санитарного надзора; вопросы «где ТТК на второе Б», «где проба» и «сколько часов оно стоит на линии» — относятся.</w:t>
      </w:r>
    </w:p>
    <w:bookmarkEnd w:id="42"/>
    <w:bookmarkStart w:id="43" w:name="подп.-5-п.-56-кто-раздаёт-пищу"/>
    <w:p>
      <w:pPr>
        <w:pStyle w:val="Heading3"/>
      </w:pPr>
      <w:r>
        <w:rPr>
          <w:rStyle w:val="SectionNumber"/>
        </w:rPr>
        <w:t xml:space="preserve">2.7.4</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Для организаций социального обслуживания прямого аналога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разобрано в п. 7.5).</w:t>
      </w:r>
    </w:p>
    <w:bookmarkEnd w:id="43"/>
    <w:bookmarkEnd w:id="44"/>
    <w:bookmarkStart w:id="45"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Как это сделать, санитарные правила не говорят. Номенклатура стандартных диет и порядок лечебного питания установлены актами Минздрава России для медицинских организаций: приказ от 05.08.2003 № 330 (с изменениями, последнее — приказ от 19.02.2024 № 70н), приказ от 21.06.2013 № 395н «Об утверждении норм лечебного питания», приказ от 23.09.2020 № 1008н «Об утверждении порядка обеспечения пациентов лечебным питанием» [3, сноски 13 и 23; 48–50].</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назвала это «недостаточной связностью социального и медицинского регулирования» [1], и формулировка точна. Правило для вариативного меню (толкование): кухня не назначает и не отменяет диету, житель с назначенной диетой выбирает внутри неё. Какие диеты и консистенции кому назначать, доклад не рассматривает —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[51]. Для социального учреждения это ориентир организации медицинской части, а не норма кухни.</w:t>
      </w:r>
    </w:p>
    <w:bookmarkEnd w:id="45"/>
    <w:bookmarkStart w:id="46"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перечисленному добавляется Закон № 3185-1 [26]:</w:t>
      </w:r>
    </w:p>
    <w:p>
      <w:pPr>
        <w:pStyle w:val="Compact"/>
        <w:numPr>
          <w:ilvl w:val="0"/>
          <w:numId w:val="1006"/>
        </w:numPr>
      </w:pPr>
      <w:r>
        <w:t xml:space="preserve">ст. 5 ч. 2 —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(общая гарантия; материалы семинара выводят из неё недопустимость лишения еды как меры воздействия [23] —</w:t>
      </w:r>
      <w:r>
        <w:t xml:space="preserve"> </w:t>
      </w:r>
      <w:r>
        <w:rPr>
          <w:b/>
          <w:bCs/>
        </w:rPr>
        <w:t xml:space="preserve">толкование</w:t>
      </w:r>
      <w:r>
        <w:t xml:space="preserve">);</w:t>
      </w:r>
    </w:p>
    <w:p>
      <w:pPr>
        <w:pStyle w:val="Compact"/>
        <w:numPr>
          <w:ilvl w:val="0"/>
          <w:numId w:val="1006"/>
        </w:numPr>
      </w:pPr>
      <w:r>
        <w:t xml:space="preserve">ст. 37 ч. 2 в силу ст. 43 — право исполнять религиозные обряды и соблюдать религиозные каноны, в том числе пост, если это не нарушает внутренний распорядок —</w:t>
      </w:r>
      <w:r>
        <w:t xml:space="preserve"> </w:t>
      </w:r>
      <w:r>
        <w:rPr>
          <w:b/>
          <w:bCs/>
        </w:rPr>
        <w:t xml:space="preserve">норма</w:t>
      </w:r>
      <w:r>
        <w:t xml:space="preserve">;</w:t>
      </w:r>
    </w:p>
    <w:p>
      <w:pPr>
        <w:pStyle w:val="Compact"/>
        <w:numPr>
          <w:ilvl w:val="0"/>
          <w:numId w:val="1006"/>
        </w:numPr>
      </w:pPr>
      <w:r>
        <w:t xml:space="preserve">ст. 37 ч. 3 — временные ограничения прав, в том числе на получение посылок и на приобретение предметов первой необходимости, допускаются решением заведующего отделением или главного врача по рекомендации лечащего врача; порядок устанавливается Правительством РФ —</w:t>
      </w:r>
      <w:r>
        <w:t xml:space="preserve"> </w:t>
      </w:r>
      <w:r>
        <w:rPr>
          <w:b/>
          <w:bCs/>
        </w:rPr>
        <w:t xml:space="preserve">норма</w:t>
      </w:r>
      <w:r>
        <w:t xml:space="preserve"> </w:t>
      </w:r>
      <w:r>
        <w:t xml:space="preserve">(применимость ч. 3 к жителям ПНИ сомнительна, поскольку ст. 43 отсылает только к ч. 2 и 4 ст. 37; это</w:t>
      </w:r>
      <w:r>
        <w:t xml:space="preserve"> </w:t>
      </w:r>
      <w:r>
        <w:rPr>
          <w:b/>
          <w:bCs/>
        </w:rPr>
        <w:t xml:space="preserve">толкование</w:t>
      </w:r>
      <w:r>
        <w:t xml:space="preserve">).</w:t>
      </w:r>
    </w:p>
    <w:p>
      <w:pPr>
        <w:pStyle w:val="FirstParagraph"/>
      </w:pPr>
      <w:r>
        <w:t xml:space="preserve">Последний пункт касается продуктовых передач. Перечни продуктов, «запрещённых к передаче» в ПНИ, которые публикуют учреждения [52], — локальные формы.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 не «вариативность по желанию кухни», а условие осуществления права, закреплённого законом. Если житель имеет медицинские назначения, соблюдение поста согласуется с врачом; отказ от поста — такое же право в любой день.</w:t>
      </w:r>
    </w:p>
    <w:bookmarkEnd w:id="46"/>
    <w:bookmarkStart w:id="47"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спецификация решает, окажется ли на складе второй продукт группы. Государственное бюджетное учреждение закупает по 44-ФЗ [53]. Автономное учреждение относится к заказчикам по 223-ФЗ (п. 1 ч. 2 ст. 1 223-ФЗ) и закупает по своему положению о закупке; при неразмещении положения применяется 44-ФЗ [54]. Положения 44-ФЗ распространяются на закупки автономного учреждения за счёт субсидий на капитальные вложения (ч. 4 ст. 15 44-ФЗ) [53]. Применимость 44-ФЗ к закупкам автономного учреждения за счёт субсидии на выполнение государственного задания — предмет многолетнего спора; Минфин России разъяснял порядок использования автономными учреждениями бюджетных средств в письме от 29.12.2014 № 02-02-08/68298 [55].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[56]. Мотив суда —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223-ФЗ применим, «когда закупка осуществляется для нужд самих поименованных в данном законе юридических лиц, в том числе автономных учреждений» [56]. Ход дела по тексту постановления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[56].</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и подаёт это как «окончательную точку» в споре, называя ключевым критерием источник финансирования [57].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[56, 57]. Под тем же номером 303-ЭС25-15393 в открытой базе судебных актов найдено только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[58]; определения по существу жалобы в открытых источниках найти не удалось, и цитата из него в блоге не проверяема. Факт и дату отказа подтверждает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[59]. Обзор пересказывает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[59]. Это пересказ обозревателя, а не текст определения; попытки найти само определение в октябре 2026 г. (база судебных актов, сайт Верховного Суда, веб-архив) результата не дали.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44-ФЗ обязателен, когда учреждению поручена реализация полномочий органа власти в интересах неограниченного круга лиц [60].</w:t>
      </w:r>
    </w:p>
    <w:p>
      <w:pPr>
        <w:pStyle w:val="BodyText"/>
      </w:pPr>
      <w:r>
        <w:t xml:space="preserve">Для стационарной организации социального обслуживания это различие решает дело (толкование). Продукты для жителей закупаются, чтобы оказать социальную услугу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оно не заменяет правовой экспертизы учредителя и не опирается на определение Верховного Суда по существу жалобы, текст которого не найден; известный по вторичному пересказу итог (отказ в передаче жалобы) [59] этому толкованию не противоречит.</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 последнего — извещение № 0372200070825000244 от 24.11.2025 об открытом конкурсе на поставку продуктов питания [61]. Сравнение закупочных решений для вариативного меню — в п. 7.7.</w:t>
      </w:r>
    </w:p>
    <w:bookmarkEnd w:id="47"/>
    <w:bookmarkStart w:id="48"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[62]. Первая редакция обзора называет ст. 6.3 [1], доклад «Не просто накормить» — ст. 6.6 [22]. Противоречия здесь нет — это соотношение общей и специальной нормы: для нарушений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[63]. Верховный Суд РФ в постановлении от 21.02.2019 № 11-АД19-4 переквалифицировал нарушение с ст. 6.6 на ст. 6.7 КоАП применительно к организации, где специальной была норма об условиях воспитания и обучения [64]; выбор состава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[65]; УФАС по Челябинской области в 2025 г. — о картеле на 27 тендерах школьного питания со штрафом 5,1 млн руб. [66]. Вывод для вариативного меню узок: избыточно детализированная спецификация, написанная «под второе блюдо», сама может ограничить конкуренцию; спецификация строится по группам продуктов, а не по поставщику (толкование).</w:t>
      </w:r>
    </w:p>
    <w:bookmarkEnd w:id="48"/>
    <w:bookmarkStart w:id="49" w:name="итог-по-федеральному-уровню"/>
    <w:p>
      <w:pPr>
        <w:pStyle w:val="Heading2"/>
      </w:pPr>
      <w:r>
        <w:rPr>
          <w:rStyle w:val="SectionNumber"/>
        </w:rPr>
        <w:t xml:space="preserve">2.12</w:t>
      </w:r>
      <w:r>
        <w:tab/>
      </w:r>
      <w:r>
        <w:t xml:space="preserve">Итог по федеральному уровню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49"/>
    <w:bookmarkEnd w:id="50"/>
    <w:bookmarkStart w:id="71" w:name="региональные-нормы-питания"/>
    <w:p>
      <w:pPr>
        <w:pStyle w:val="Heading1"/>
      </w:pPr>
      <w:r>
        <w:rPr>
          <w:rStyle w:val="SectionNumber"/>
        </w:rPr>
        <w:t xml:space="preserve">3</w:t>
      </w:r>
      <w:r>
        <w:tab/>
      </w:r>
      <w:r>
        <w:t xml:space="preserve">Региональные нормы питания</w:t>
      </w:r>
    </w:p>
    <w:bookmarkStart w:id="51"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живёт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нашей темы главный уровень — нормы питания: они определяют, из чего кухня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44–46, 67–69]; для остальных субъектов он взят из первой редакции. Вариативное меню в России, следовательно, везде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классификацию норм по степени дифференциации: «многовариантная» (наборы различаются по типу учреждения и по состоянию здоровья, пример — Санкт-Петербург), «типовая» (только по типу учреждения, пример — Псковская область) и «укрупнённая» (единый набор с оговорками о замене по медицинским показаниям) [1]. Классификация полезна, но вывод, который из неё делали, — «чем богаче нормативный ассортимент, тем шире легальное пространство выбора» — требует поправки. Дифференциация по диагнозам расширяет пространство персонализации, а не выбора: житель с диабетом получает другой набор, но не получает права выбирать между наборами. Пространство выбора создаёт другое свойство нормы: позиции сформулированы группами продуктов, а не конкретными продуктами (толкование, см. п. 2.5).</w:t>
      </w:r>
    </w:p>
    <w:bookmarkEnd w:id="51"/>
    <w:bookmarkStart w:id="57"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2"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и от 27.06.2022 № 561 [33, 70]. Постановлением № 929 приложение изложено в новой редакции с 01.01.2020 [70]; постановлением № 561 изменены, в частности, нормы по крупам и мясу (отметки «в ред. Постановления… от 27.06.2022 N 561» у соответствующих строк) [33].</w:t>
      </w:r>
    </w:p>
    <w:p>
      <w:pPr>
        <w:pStyle w:val="BodyText"/>
      </w:pPr>
      <w:r>
        <w:t xml:space="preserve">Приложение состоит из нескольких самостоятельных норм [33]:</w:t>
      </w:r>
    </w:p>
    <w:p>
      <w:pPr>
        <w:pStyle w:val="Compact"/>
        <w:numPr>
          <w:ilvl w:val="0"/>
          <w:numId w:val="1007"/>
        </w:numPr>
      </w:pPr>
      <w:r>
        <w:t xml:space="preserve">нормы питания граждан пожилого возраста и инвалидов в стационарной форме — в четырёх столбцах: учреждения, кроме ПНИ; ПНИ; лица с сахарным диабетом; лица с заболеваниями желудочно-кишечного тракта;</w:t>
      </w:r>
    </w:p>
    <w:p>
      <w:pPr>
        <w:pStyle w:val="Compact"/>
        <w:numPr>
          <w:ilvl w:val="0"/>
          <w:numId w:val="1007"/>
        </w:numPr>
      </w:pPr>
      <w:r>
        <w:t xml:space="preserve">нормы питания граждан пожилого возраста и инвалидов в ПНИ</w:t>
      </w:r>
      <w:r>
        <w:t xml:space="preserve"> </w:t>
      </w:r>
      <w:r>
        <w:rPr>
          <w:b/>
          <w:bCs/>
        </w:rPr>
        <w:t xml:space="preserve">без смеси белковой композитной сухой</w:t>
      </w:r>
      <w:r>
        <w:t xml:space="preserve"> </w:t>
      </w:r>
      <w:r>
        <w:t xml:space="preserve">— отдельная таблица;</w:t>
      </w:r>
    </w:p>
    <w:p>
      <w:pPr>
        <w:pStyle w:val="Compact"/>
        <w:numPr>
          <w:ilvl w:val="0"/>
          <w:numId w:val="1007"/>
        </w:numPr>
      </w:pPr>
      <w:r>
        <w:t xml:space="preserve">нормы питания беременных женщин и кормящих матерей;</w:t>
      </w:r>
    </w:p>
    <w:p>
      <w:pPr>
        <w:pStyle w:val="Compact"/>
        <w:numPr>
          <w:ilvl w:val="0"/>
          <w:numId w:val="1007"/>
        </w:numPr>
      </w:pPr>
      <w:r>
        <w:t xml:space="preserve">нормы питания детей первого года жизни, проживающих с матерями;</w:t>
      </w:r>
    </w:p>
    <w:p>
      <w:pPr>
        <w:pStyle w:val="Compact"/>
        <w:numPr>
          <w:ilvl w:val="0"/>
          <w:numId w:val="1007"/>
        </w:numPr>
      </w:pPr>
      <w:r>
        <w:t xml:space="preserve">нормы питания детей от 1 года до 18 лет;</w:t>
      </w:r>
    </w:p>
    <w:p>
      <w:pPr>
        <w:pStyle w:val="Compact"/>
        <w:numPr>
          <w:ilvl w:val="0"/>
          <w:numId w:val="1007"/>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FirstParagraph"/>
      </w:pPr>
      <w:r>
        <w:t xml:space="preserve">Для полустационарной формы установлена структура рациона в процентах от стационарной нормы: завтрак — 30 %, обед — 40 %, полдник — 10 %, ужин — 20 % [33].</w:t>
      </w:r>
    </w:p>
    <w:bookmarkEnd w:id="52"/>
    <w:bookmarkStart w:id="53" w:name="две-нормы-для-пни"/>
    <w:p>
      <w:pPr>
        <w:pStyle w:val="Heading3"/>
      </w:pPr>
      <w:r>
        <w:rPr>
          <w:rStyle w:val="SectionNumber"/>
        </w:rPr>
        <w:t xml:space="preserve">3.2.2</w:t>
      </w:r>
      <w:r>
        <w:tab/>
      </w:r>
      <w:r>
        <w:t xml:space="preserve">Две нормы для ПНИ</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Это верно, но неполно: в постановлении есть вторая, самостоятельная норма для ПНИ — без СБКС (таблица 2). Сравнение двух ПНИ-норм показывает, чем региональный нормотворец «заменил» 27 г белковой смеси [33]: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w:t>
            </w:r>
          </w:p>
        </w:tc>
        <w:tc>
          <w:tcPr/>
          <w:p>
            <w:pPr>
              <w:pStyle w:val="Compact"/>
            </w:pPr>
            <w:r>
              <w:t xml:space="preserve">ПНИ, табл. 1 (с СБКС 27 г)</w:t>
            </w:r>
          </w:p>
        </w:tc>
        <w:tc>
          <w:tcPr/>
          <w:p>
            <w:pPr>
              <w:pStyle w:val="Compact"/>
            </w:pPr>
            <w:r>
              <w:t xml:space="preserve">ПНИ, табл. 2 (без СБКС)</w:t>
            </w:r>
          </w:p>
        </w:tc>
        <w:tc>
          <w:tcPr/>
          <w:p>
            <w:pPr>
              <w:pStyle w:val="Compact"/>
            </w:pPr>
            <w:r>
              <w:t xml:space="preserve">Разница</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r>
      <w:tr>
        <w:tc>
          <w:tcPr/>
          <w:p>
            <w:pPr>
              <w:pStyle w:val="Compact"/>
            </w:pPr>
            <w:r>
              <w:t xml:space="preserve">Мясо (говядина, свинина)</w:t>
            </w:r>
          </w:p>
        </w:tc>
        <w:tc>
          <w:tcPr/>
          <w:p>
            <w:pPr>
              <w:pStyle w:val="Compact"/>
            </w:pPr>
            <w:r>
              <w:t xml:space="preserve">70,5</w:t>
            </w:r>
          </w:p>
        </w:tc>
        <w:tc>
          <w:tcPr/>
          <w:p>
            <w:pPr>
              <w:pStyle w:val="Compact"/>
            </w:pPr>
            <w:r>
              <w:t xml:space="preserve">85,2</w:t>
            </w:r>
          </w:p>
        </w:tc>
        <w:tc>
          <w:tcPr/>
          <w:p>
            <w:pPr>
              <w:pStyle w:val="Compact"/>
            </w:pPr>
            <w:r>
              <w:t xml:space="preserve">+14,7</w:t>
            </w:r>
          </w:p>
        </w:tc>
      </w:tr>
      <w:tr>
        <w:tc>
          <w:tcPr/>
          <w:p>
            <w:pPr>
              <w:pStyle w:val="Compact"/>
            </w:pPr>
            <w:r>
              <w:t xml:space="preserve">Птица потрошёная</w:t>
            </w:r>
          </w:p>
        </w:tc>
        <w:tc>
          <w:tcPr/>
          <w:p>
            <w:pPr>
              <w:pStyle w:val="Compact"/>
            </w:pPr>
            <w:r>
              <w:t xml:space="preserve">36,5</w:t>
            </w:r>
          </w:p>
        </w:tc>
        <w:tc>
          <w:tcPr/>
          <w:p>
            <w:pPr>
              <w:pStyle w:val="Compact"/>
            </w:pPr>
            <w:r>
              <w:t xml:space="preserve">35</w:t>
            </w:r>
          </w:p>
        </w:tc>
        <w:tc>
          <w:tcPr/>
          <w:p>
            <w:pPr>
              <w:pStyle w:val="Compact"/>
            </w:pPr>
            <w:r>
              <w:t xml:space="preserve">−1,5</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r>
    </w:tbl>
    <w:p>
      <w:pPr>
        <w:pStyle w:val="BodyText"/>
      </w:pPr>
      <w:r>
        <w:t xml:space="preserve">Постановление не указывает, в каких случаях применяется каждая из двух норм (проверено по тексту [33]). Наиболее естественное прочтение (толкование): учреждение вправе обеспечивать жителей ПНИ либо по норме с СБКС, либо по норме без неё, компенсируя белковую смесь хлебом, крупами и мясом. Для вариативного меню это прецедент: региональный акт сам содержит пару эквивалентных наборов. Выбирает между ними учреждение, а не житель, но логика «два пути к одной пищевой ценности» заложена в саму норму.</w:t>
      </w:r>
    </w:p>
    <w:bookmarkEnd w:id="53"/>
    <w:bookmarkStart w:id="54" w:name="X744872d13e97ab876f532ded5c34d5c603028b3"/>
    <w:p>
      <w:pPr>
        <w:pStyle w:val="Heading3"/>
      </w:pPr>
      <w:r>
        <w:rPr>
          <w:rStyle w:val="SectionNumber"/>
        </w:rPr>
        <w:t xml:space="preserve">3.2.3</w:t>
      </w:r>
      <w:r>
        <w:tab/>
      </w:r>
      <w:r>
        <w:t xml:space="preserve">Петербургская норма и федеральная рекомендация</w:t>
      </w:r>
    </w:p>
    <w:p>
      <w:pPr>
        <w:pStyle w:val="FirstParagraph"/>
      </w:pPr>
      <w:r>
        <w:t xml:space="preserve">Если положить общую норму Санкт-Петербурга (столбец «учреждения, кроме ПНИ») рядом с рекомендуемыми нормами приказа № 520н, видно, что петербургская норма не выведена из федеральной: она старше (принята в 2014 г., последняя редакция — от 27.06.2022; приказ № 520н издан 13.09.2022) и устроена иначе [32, 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 1284, кроме ПНИ [33]</w:t>
            </w:r>
          </w:p>
        </w:tc>
        <w:tc>
          <w:tcPr/>
          <w:p>
            <w:pPr>
              <w:pStyle w:val="Compact"/>
            </w:pPr>
            <w:r>
              <w:t xml:space="preserve">СПб № 1284, ПНИ (табл. 1) [33]</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(все группы, включая зелень, солёные и консервированные)</w:t>
            </w:r>
          </w:p>
        </w:tc>
        <w:tc>
          <w:tcPr/>
          <w:p>
            <w:pPr>
              <w:pStyle w:val="Compact"/>
            </w:pPr>
            <w:r>
              <w:t xml:space="preserve">394,5¹</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 рыбопродукты</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 (3,5 шт./нед)</w:t>
            </w:r>
          </w:p>
        </w:tc>
        <w:tc>
          <w:tcPr/>
          <w:p>
            <w:pPr>
              <w:pStyle w:val="Compact"/>
            </w:pPr>
            <w:r>
              <w:t xml:space="preserve">4 шт./нед</w:t>
            </w:r>
          </w:p>
        </w:tc>
        <w:tc>
          <w:tcPr/>
          <w:p>
            <w:pPr>
              <w:pStyle w:val="Compact"/>
            </w:pPr>
            <w:r>
              <w:t xml:space="preserve">4 шт./нед</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57 + 15 = 72</w:t>
            </w:r>
          </w:p>
        </w:tc>
        <w:tc>
          <w:tcPr/>
          <w:p>
            <w:pPr>
              <w:pStyle w:val="Compact"/>
            </w:pPr>
            <w:r>
              <w:t xml:space="preserve">57 + 15 = 72</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медицинским показаниям</w:t>
            </w:r>
          </w:p>
        </w:tc>
        <w:tc>
          <w:tcPr/>
          <w:p>
            <w:pPr>
              <w:pStyle w:val="Compact"/>
            </w:pPr>
            <w:r>
              <w:t xml:space="preserve">27 — в общей норме</w:t>
            </w:r>
          </w:p>
        </w:tc>
        <w:tc>
          <w:tcPr/>
          <w:p>
            <w:pPr>
              <w:pStyle w:val="Compact"/>
            </w:pPr>
            <w:r>
              <w:t xml:space="preserve">27 — в общей норме</w:t>
            </w:r>
          </w:p>
        </w:tc>
      </w:tr>
      <w:tr>
        <w:tc>
          <w:tcPr/>
          <w:p>
            <w:pPr>
              <w:pStyle w:val="Compact"/>
            </w:pPr>
            <w:r>
              <w:t xml:space="preserve">Витаминно-минеральные комплексы</w:t>
            </w:r>
          </w:p>
        </w:tc>
        <w:tc>
          <w:tcPr/>
          <w:p>
            <w:pPr>
              <w:pStyle w:val="Compact"/>
            </w:pPr>
            <w:r>
              <w:t xml:space="preserve">50–100 % физиол. нормы — по медицинским показаниям</w:t>
            </w:r>
          </w:p>
        </w:tc>
        <w:tc>
          <w:tcPr/>
          <w:p>
            <w:pPr>
              <w:pStyle w:val="Compact"/>
            </w:pPr>
            <w:r>
              <w:t xml:space="preserve">1 драже 3 раза в неделю</w:t>
            </w:r>
          </w:p>
        </w:tc>
        <w:tc>
          <w:tcPr/>
          <w:p>
            <w:pPr>
              <w:pStyle w:val="Compact"/>
            </w:pPr>
            <w:r>
              <w:t xml:space="preserve">1 драже 3 раза в неделю</w:t>
            </w:r>
          </w:p>
        </w:tc>
      </w:tr>
    </w:tbl>
    <w:p>
      <w:pPr>
        <w:pStyle w:val="BodyText"/>
      </w:pPr>
      <w:r>
        <w:t xml:space="preserve">¹ Сумма строк приказа № 520н: овощи свежие 340 + солёные и маринованные 15 + зелень 14,8 + консервированные 24,7 (иллюстративная арифметика автора; в приказе группы приведены раздельно).</w:t>
      </w:r>
    </w:p>
    <w:p>
      <w:pPr>
        <w:pStyle w:val="BodyText"/>
      </w:pPr>
      <w:r>
        <w:t xml:space="preserve">Сопоставление даёт три наблюдения.</w:t>
      </w:r>
    </w:p>
    <w:p>
      <w:pPr>
        <w:pStyle w:val="BodyText"/>
      </w:pPr>
      <w:r>
        <w:t xml:space="preserve">Первое. По ряду позиций петербургская норма щедрее федеральной рекомендации: птица (40 против 22,2 г), творог (40 против 20 г), кисломолочные продукты (200 против 121), рыба (41,8 против 32,5), фрукты (200 против 150). По другим — скромнее: картофель (168 против 200), овощи (318 против 394,5), соки (60 против 100). Запас у выбора, построенного на петербургской норме, — именно в белковых позициях, и это облегчает пары «мясо — птица — рыба» (толкование) [32, 33].</w:t>
      </w:r>
    </w:p>
    <w:p>
      <w:pPr>
        <w:pStyle w:val="BodyText"/>
      </w:pPr>
      <w:r>
        <w:t xml:space="preserve">Второе. Специализированные продукты (СБКС и витаминно-минеральные комплексы) в Санкт-Петербурге входят в общую норму каждого проживающего, а в федеральной рекомендации — только по медицинским показаниям [32, 33]. Это решение регионального нормотворца, а не противоречие: регион вправе установить набор шире федерального. Но оно рождает практический вопрос, который решает врач, а не кухня: вводить ли смесь в блюда всем или выдавать по назначению.</w:t>
      </w:r>
    </w:p>
    <w:p>
      <w:pPr>
        <w:pStyle w:val="BodyText"/>
      </w:pPr>
      <w:r>
        <w:t xml:space="preserve">Третье. Пункты, сформулированные группами («крупы, бобовые» 80 г; «овощи свежие, овощи солёные и маринованные, овощи консервированные, зелень» 318 г; «говядина, свинина» 90 г), оставляют внутри группы свободу выбора конкретного продукта. Две каши из одной группы, два салата из одной группы овощей, котлета из говядины и тефтели из свинины — варианты, не требующие пересчёта нормы. Пары между группами (мясо — рыба, картофель — крупа) требуют таблицы замен, которой в постановлении № 1284 нет (п. 2.6) [33].</w:t>
      </w:r>
    </w:p>
    <w:bookmarkEnd w:id="54"/>
    <w:bookmarkStart w:id="55"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работают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[71]. Тарифы на социальные услуги ежегодно утверждает Комитет по социальной политике: на 2025 г. — распоряжением от 13.12.2024 № 1366-р, на 2026 г. — распоряжением от 15.12.2025 № 1155-р [72, 73].</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зеркальны нормам постановления № 1284 и разбиты по тем же категориям [72, 73].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[73]. Распоряжение опубликовано в виде графического образа; значения ниже прочитаны распознаванием текста и сверены визуально по изображению страницы.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[72]</w:t>
            </w:r>
          </w:p>
        </w:tc>
        <w:tc>
          <w:tcPr/>
          <w:p>
            <w:pPr>
              <w:pStyle w:val="Compact"/>
            </w:pPr>
            <w:r>
              <w:t xml:space="preserve">2026 г., руб. в день [73]</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в таблице важны четыре обстоятельства.</w:t>
      </w:r>
    </w:p>
    <w:p>
      <w:pPr>
        <w:pStyle w:val="BodyText"/>
      </w:pPr>
      <w:r>
        <w:t xml:space="preserve">Первая. Тариф рассчитан на норму, а не на меню; он не содержит составляющей на организацию выбора ни в 2025, ни в 2026 г. [72, 73].</w:t>
      </w:r>
    </w:p>
    <w:p>
      <w:pPr>
        <w:pStyle w:val="BodyText"/>
      </w:pPr>
      <w:r>
        <w:t xml:space="preserve">Вторая. Цена решения «27 г белковой смеси или компенсация хлебом, крупами и мясом» за год изменилась почти вдвое: разница между двумя ПНИ-тарифами составляла 90,77 руб. в день в 2025 г. и 43,21 руб. в 2026 г.; для учреждений, кроме ПНИ, в 2026 г. появилась собственная пара тарифов с разницей 41,59 руб. (иллюстративная арифметика: 571,63 − 480,86; 574,43 − 531,22; 581,33 − 539,74) [72, 73]. Сами нормы постановления № 1284 за этот период не менялись (последняя редакция — 27.06.2022 [33]). Значит, изменился расчёт стоимости набора (цены продуктов, методика подушевого норматива), а не содержание нормы; документы, по которым это можно проверить, не опубликованы.</w:t>
      </w:r>
    </w:p>
    <w:p>
      <w:pPr>
        <w:pStyle w:val="BodyText"/>
      </w:pPr>
      <w:r>
        <w:t xml:space="preserve">Третья. В 2025 г. тариф для ПНИ был выше общего (571,63 против 560,87), в 2026 г. соотношение обратное (574,43 против 581,33) [72, 73]. При том что ПНИ-норма по ряду позиций больше общей (хлеб пшеничный 200 против 100 г, картофель 268 против 168 г, творог 50 против 40 г [33]), а по другим меньше (мясо 70,5 против 90 г, фрукты 100 против 200 г), смена знака разницы при неизменных нормах может отражать изменение цен отдельных групп продуктов или методики расчёта; различить эти причины по опубликованным документам нельзя.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Четвёртая. Рост тарифа ПНИ на 0,5 % за год — ориентир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только как перераспределение внутри нормы (сценарии 1, 2 и 11 гл. 7) (толкование).</w:t>
      </w:r>
    </w:p>
    <w:bookmarkEnd w:id="55"/>
    <w:bookmarkStart w:id="56"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называла практику петербургских учреждений «цикличными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74].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56"/>
    <w:bookmarkEnd w:id="57"/>
    <w:bookmarkStart w:id="58"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[67].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[67].</w:t>
      </w:r>
    </w:p>
    <w:p>
      <w:pPr>
        <w:pStyle w:val="BodyText"/>
      </w:pPr>
      <w:r>
        <w:t xml:space="preserve">Для нашей темы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[67]. Это единственная найденная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важна дважды: подтверждает, что исходная модель регионального нормотворца — цикличное меню, и даёт законную опору недельному контролю, без которого выбор между блюдами разной калорийности не учесть (толкование). Формулировка касается калорийности по приёмам пищи, а не групп продуктов, поэтому вопрос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[75]. Текст приказа № 1068 найден в выгрузке справочной системы, сохранённой 03.05.2015 [76].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 это графа психоневрологических организаций [76]. Приказ № 228 издан тем же ведомством (Департамент социальной защиты населения, ныне Департамент труда и социальной защиты населения), то есть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[67].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а официальной отметки о статусе приказа № 1068 найти не удалось; есть ли в приказе № 228 отдельная графа для психоневрологических организаций, по открытой части текста не видно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у этой характеристики в обзоре нет, и вторая редакция не повторяет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этой редакции результата не дал.</w:t>
      </w:r>
    </w:p>
    <w:bookmarkEnd w:id="58"/>
    <w:bookmarkStart w:id="59"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[43].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59"/>
    <w:bookmarkStart w:id="60"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[77]. По описанию первой редакции, наборы дифференцированы по видам учреждений; диетическое питание —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не воспроизводится как факт.</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[68].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[68]. Положений о выборе блюд и о замене продуктов текст не содержит (проверено по тексту); брутто приводится только в наборах для детей, с пояснением, что масса брутто рассчитана на норму отходов 25 % [68].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Нашёлся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[47]. Он подробно описывает, как устроено единое меню в типичном доме-интернате, — ту исходную точку, от которой отсчитывается любой выбор:</w:t>
      </w:r>
    </w:p>
    <w:p>
      <w:pPr>
        <w:pStyle w:val="Compact"/>
        <w:numPr>
          <w:ilvl w:val="0"/>
          <w:numId w:val="1008"/>
        </w:numPr>
      </w:pPr>
      <w:r>
        <w:t xml:space="preserve">сводное 14-дневное меню и картотека блюд утверждаются директором на основе среднесуточного набора продуктов; замена продуктов при их отсутствии — по таблицам взаимозаменяемости и замены по белкам и углеводам, утверждённым самим положением [47];</w:t>
      </w:r>
    </w:p>
    <w:p>
      <w:pPr>
        <w:pStyle w:val="Compact"/>
        <w:numPr>
          <w:ilvl w:val="0"/>
          <w:numId w:val="1008"/>
        </w:numPr>
      </w:pPr>
      <w:r>
        <w:t xml:space="preserve">ответственный за организацию питания — медицинская диетическая сестра; суточный расход продуктов ведётся «строго в соответствии со среднесуточными наборами» [47];</w:t>
      </w:r>
    </w:p>
    <w:p>
      <w:pPr>
        <w:pStyle w:val="Compact"/>
        <w:numPr>
          <w:ilvl w:val="0"/>
          <w:numId w:val="1008"/>
        </w:numPr>
      </w:pPr>
      <w:r>
        <w:t xml:space="preserve">документальная цепочка: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[47];</w:t>
      </w:r>
    </w:p>
    <w:p>
      <w:pPr>
        <w:pStyle w:val="Compact"/>
        <w:numPr>
          <w:ilvl w:val="0"/>
          <w:numId w:val="1008"/>
        </w:numPr>
      </w:pPr>
      <w:r>
        <w:t xml:space="preserve">режим: четырёхразовое питание и второй ужин, по две смены на каждый приём пищи (завтрак 8:30 и 9:00, обед 12:30 и 13:00, полдник 15:00 и 15:30, ужин 18:00 и 18:30, второй ужин 20:00) [47];</w:t>
      </w:r>
    </w:p>
    <w:p>
      <w:pPr>
        <w:pStyle w:val="Compact"/>
        <w:numPr>
          <w:ilvl w:val="0"/>
          <w:numId w:val="1008"/>
        </w:numPr>
      </w:pPr>
      <w:r>
        <w:t xml:space="preserve">контроль: проверка готовой пищи директором раз в месяц и ежедневно старшей и диетической сёстрами; порционные блюда взвешиваются по 10 порций, допустимое отклонение средней массы — не более 3 %; суточная проба — «от каждой партии приготовленных блюд», отдельно каждое блюдо, 48 часов при +2…+6 °C; раздача — не позднее двух часов после приготовления [47].</w:t>
      </w:r>
    </w:p>
    <w:p>
      <w:pPr>
        <w:pStyle w:val="FirstParagraph"/>
      </w:pPr>
      <w:r>
        <w:t xml:space="preserve">Второе опубликованное положение того же ведомства — ГБУ «Чкаловский дом-интернат для престарелых и инвалидов» — устроено так же: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[78]. О выборе блюд жителем в нём ничего нет.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в учреждении с такой документальной цепочкой выбор меняет не одну бумагу, а все звенья сразу. Порционник должен считать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 самостоятельная партия). Сценарий 13 гл. 7 разбирает эту цепочку как пакет документов.</w:t>
      </w:r>
    </w:p>
    <w:bookmarkEnd w:id="60"/>
    <w:bookmarkStart w:id="61"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[79].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[52]. Опубликованные меню и правила нужны вариативному меню в любом регионе: житель и семья должны знать, из чего выбирают.</w:t>
      </w:r>
    </w:p>
    <w:bookmarkEnd w:id="61"/>
    <w:bookmarkStart w:id="62"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[80].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показывает общую закономерность: диетологическую логику региональные нормы берут из здравоохранения.</w:t>
      </w:r>
    </w:p>
    <w:bookmarkEnd w:id="62"/>
    <w:bookmarkStart w:id="63"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норму стоит прочитать внимательно.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[46].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[46].</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[46]. СБКС (27 г) включена в нормы этих типов учреждений со сноской «по медицинским показаниям»; витаминно-минеральные комплексы — 50–100 % физиологической нормы [46]. Тем самым новосибирская норма воспроизводит федеральную конструкцию № 520н (смесь — по показаниям), а не петербургскую (смесь — в общей норме).</w:t>
      </w:r>
    </w:p>
    <w:p>
      <w:pPr>
        <w:pStyle w:val="BodyText"/>
      </w:pPr>
      <w:r>
        <w:t xml:space="preserve">Показательно: в регионе с самой развитой практикой выбора норма ни словом не упоминает ни выбор, ни варианты блюд, ни замену продуктов (проверено по тексту [46]). Новосибирские учреждения строили вариативное питание на той же нормативной основе, что и все остальные (толкование).</w:t>
      </w:r>
    </w:p>
    <w:bookmarkEnd w:id="63"/>
    <w:bookmarkStart w:id="64"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и двумя постановлениями 2021 г.) воспроизведён на сайте одного из краевых учреждений [44].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[44].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[44].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менялся ещё дважды [81]. Постановление от 06.02.2024 № 74-п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[81].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[81]. Официальные тексты обеих поправок на Официальном интернет-портале правовой информации отвечают на вопрос, меняли ли они граммы [81]. Постановление № 74-п граммов не касается. Постановление № 892-п, кроме наименований разделов 1, 2, 3, 5, 6, 7 и 10, меняет одно число — в таблице раздела 3 (нормы для детей) в графе 5 строки 34 «5» заменено на «3». Таблицы разделов 1 и 2 (нормы для взрослых) ни одна из поправок не затрагивает. Поэтому числа раздела 1 выше, данные по редакции 2021 г. и совпадающие с публичной редакцией 2016 г., действуют и в 2026 г., если после 892-п не было других изменений [44, 81].</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на пищеблоке четыре повара и четыре официанта, меню на день вывешивается на стенде у входа в столовую [44]. Так учреждение само раскрывает минимум сведений о питании; о выборе блюд в них ничего нет.</w:t>
      </w:r>
    </w:p>
    <w:bookmarkEnd w:id="64"/>
    <w:bookmarkStart w:id="65"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[45, 82]. Официальный текст приказа № 04-81 меняет три вещи: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Приложение 3 — нормы совершеннолетних, о которых идёт речь ниже, — приказ № 04-81 не затрагивает [82]. Расхождение реквизитов вынесено в гл. 9 (противоречие 31).</w:t>
      </w:r>
    </w:p>
    <w:p>
      <w:pPr>
        <w:pStyle w:val="BodyText"/>
      </w:pPr>
      <w:r>
        <w:t xml:space="preserve">Ленинградская норма даёт каждую позицию одновременно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[45]. СБКС (27 г) и витаминно-минеральные комплексы (50–100 %) включены в норму стационарного обслуживания без оговорки о медицинских показаниях [45]. Значения нетто почти совпадают с приказом № 520н (говядина 90, птица 22,2, рыба 32,5, творог 20, кисломолочные 121 г), хотя ленинградский приказ издан раньше, 30.12.2021, а № 520н — 13.09.2022 [32, 45]. Вероятное объяснение — общий источник обоих актов в более ранней федеральной рекомендации; это предположение, текст предшествующего федерального акта для доклада не сверялся.</w:t>
      </w:r>
    </w:p>
    <w:bookmarkEnd w:id="65"/>
    <w:bookmarkStart w:id="66"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была прочитана редакция постановления от 06.09.2014 № 327-п [69]. В ней нормы для совершеннолетних даны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[69]. После 2014 г. постановление № 306-п изменялось постановлениями от 27.03.2015 № 85-п, 30.12.2016 № 569-п, 09.06.2017 № 231-п, 01.10.2021 № 406-п и 12.08.2024 № 306-п [83]. Приложение 1 (нормы в стационарной форме) затронуто только изменениями от 06.09.2014 и 09.06.2017: постановлением № 231-п оно изложено в новой редакции, которая действует и сейчас [83].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[83]. Строки СБКС и витаминно-минеральных комплексов в приложении есть, но их значения в публичной версии справочной системы не отображаются; значения 27 г и 50–100 % выше подтверждены только для редакции 2014 г. [69, 83].</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[45, 83]. То,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Отличие — фрукты: 200 г в ХМАО против 150 г в Ленинградской области и в № 520н [32, 45, 69].</w:t>
      </w:r>
    </w:p>
    <w:bookmarkEnd w:id="66"/>
    <w:bookmarkStart w:id="67"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два (Санкт-Петербург, Нижегородская область) — в нетто, два (Ленинградская область, ХМАО — Югра в действующей редакции 2017 г.) — в обеих величинах [33, 44–46, 68, 83]. Московский приказ № 1068 выражен в брутто [76], но его действие после принятия приказа № 228 не установлено, и в этот подсчёт он не входит. Прямое сопоставление «говядина 110 г в Новосибирской области против 90 г по № 520н» ошибочно: первая цифра — масса закладки до очистки и обвалки, вторая — масса после. Ленинградская норма даёт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Коэффициент нетто/брутто по ЛО [45]</w:t>
            </w:r>
          </w:p>
        </w:tc>
        <w:tc>
          <w:tcPr/>
          <w:p>
            <w:pPr>
              <w:pStyle w:val="Compact"/>
            </w:pPr>
            <w:r>
              <w:t xml:space="preserve">НСО, брутто [46]</w:t>
            </w:r>
          </w:p>
        </w:tc>
        <w:tc>
          <w:tcPr/>
          <w:p>
            <w:pPr>
              <w:pStyle w:val="Compact"/>
            </w:pPr>
            <w:r>
              <w:t xml:space="preserve">НСО, ≈ нетто</w:t>
            </w:r>
          </w:p>
        </w:tc>
        <w:tc>
          <w:tcPr/>
          <w:p>
            <w:pPr>
              <w:pStyle w:val="Compact"/>
            </w:pPr>
            <w:r>
              <w:t xml:space="preserve">Красноярский край, брутто [44]</w:t>
            </w:r>
          </w:p>
        </w:tc>
        <w:tc>
          <w:tcPr/>
          <w:p>
            <w:pPr>
              <w:pStyle w:val="Compact"/>
            </w:pPr>
            <w:r>
              <w:t xml:space="preserve">Красноярский край, ≈ нетто</w:t>
            </w:r>
          </w:p>
        </w:tc>
        <w:tc>
          <w:tcPr/>
          <w:p>
            <w:pPr>
              <w:pStyle w:val="Compact"/>
            </w:pPr>
            <w:r>
              <w:t xml:space="preserve">СПб, кроме ПНИ, нетто [33]</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r>
    </w:tbl>
    <w:p>
      <w:pPr>
        <w:pStyle w:val="BodyText"/>
      </w:pPr>
      <w:r>
        <w:t xml:space="preserve">¹ В Санкт-Петербурге — все группы овощей вместе (п. 3.2.3).</w:t>
      </w:r>
    </w:p>
    <w:p>
      <w:pPr>
        <w:pStyle w:val="BodyText"/>
      </w:pPr>
      <w:r>
        <w:t xml:space="preserve">Пересчёт — иллюстративная арифметика автора: коэффициенты ленинградского приказа зависят от вида сырья и способа обработки, и другой нормотворец мог закладывать другие. С этой оговоркой таблица даёт три наблюдения. Во-первых, красноярская норма после пересчёта почти совпадает с петербургской по рыбе (41,8 г), птице (40 г), картофелю (≈167 и 168 г), творогу и кисломолочным продуктам, но существенно уступает ей по мясу (≈56 против 90 г). Во-вторых, новосибирская норма после пересчёта близка к № 520н по рыбе, картофелю и молочным продуктам, по мясу ниже (≈78 против 90 г), по птице выше. В-третьих, «запас в белковых позициях», который облегчает пары «мясо — птица — рыба» (п. 3.2.3), в разных регионах распределён по-разному: в Красноярском крае он в рыбе и птице, в Санкт-Петербурге — в птице, рыбе и твороге, в Новосибирской области — в птице. Учреждению, которое переносит чужой опыт выбора, отсюда простой совет: проверять пары по своей региональной норме и в тех же единицах (брутто или нетто), в которых она выражена.</w:t>
      </w:r>
    </w:p>
    <w:bookmarkEnd w:id="67"/>
    <w:bookmarkStart w:id="68"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были занижены против рекомендуемых норм [1, 84]. Это учреждение здравоохранения, и его цифры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68"/>
    <w:bookmarkStart w:id="69"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(ред. № 561 от 27.06.2022)</w:t>
            </w:r>
          </w:p>
        </w:tc>
        <w:tc>
          <w:tcPr/>
          <w:p>
            <w:pPr>
              <w:pStyle w:val="Compact"/>
            </w:pPr>
            <w:r>
              <w:t xml:space="preserve">Нетто</w:t>
            </w:r>
          </w:p>
        </w:tc>
        <w:tc>
          <w:tcPr/>
          <w:p>
            <w:pPr>
              <w:pStyle w:val="Compact"/>
            </w:pPr>
            <w:r>
              <w:t xml:space="preserve">По типу учреждения и состоянию здоровья; две нормы для ПНИ</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[67]</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[47]</w:t>
            </w:r>
          </w:p>
        </w:tc>
        <w:tc>
          <w:tcPr/>
          <w:p>
            <w:pPr>
              <w:pStyle w:val="Compact"/>
            </w:pPr>
            <w:r>
              <w:t xml:space="preserve">Нормы в ред. № 617 проверены по тексту [68];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[46]</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[44]; официальные тексты изменений 2024–2025 гг. прочитаны: граммы взрослых норм не менялись [81]</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[45, 82]</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[69, 83]</w:t>
            </w:r>
          </w:p>
        </w:tc>
      </w:tr>
    </w:tbl>
    <w:bookmarkEnd w:id="69"/>
    <w:bookmarkStart w:id="70"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и на практике его занимает привычка: одно меню на всех, потому что так проще считать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соответствует норме по каждой группе. Второе: варианты внутри группы продуктов норму не затрагивают, а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которая разрешала бы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[67].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нужен собственный порядок учёта замен.</w:t>
      </w:r>
    </w:p>
    <w:p>
      <w:pPr>
        <w:pStyle w:val="BodyText"/>
      </w:pPr>
      <w:r>
        <w:t xml:space="preserve">Четвёртое условие следует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сравнимую по величине с самим эффектом замены (иллюстративная оценка по коэффициентам ленинградского приказа: для мяса 0,705, для рыбы 0,550 [45]).</w:t>
      </w:r>
    </w:p>
    <w:bookmarkEnd w:id="70"/>
    <w:bookmarkEnd w:id="71"/>
    <w:bookmarkStart w:id="83"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2"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этом разделе собраны публичные сообщения о вариативном питании в российских стационарных организациях социального обслуживания, найденные к 05.10.2026. Каждое сообщение прочитано в два слоя: что источник говорит и о чём молчит. Новость учреждения или органа власти удостоверяет только то, что так было сказано на дату публикации; проверкой она не является. Ни к одному из кейсов ниже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По сравнению с первой редакцией, где был описан один российский кейс (Болотнинский ПНИ) [1], здесь рассмотрены восемь учреждений и одно региональное сообщение;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она уточняет и первую редакцию, и рабочую базу знаний проекта [23].</w:t>
      </w:r>
    </w:p>
    <w:p>
      <w:pPr>
        <w:pStyle w:val="BodyText"/>
      </w:pPr>
      <w:r>
        <w:t xml:space="preserve">Место каждого кейса на шкале раздачи (М0–М5, п. 1.4) определено автором по тексту сообщений; это толкование.</w:t>
      </w:r>
    </w:p>
    <w:bookmarkEnd w:id="72"/>
    <w:bookmarkStart w:id="73"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включены несколько вариантов блюд; на завтрак — чай, какао или кофейный напиток, молочная каша либо суп; в обед — «разнообразие салатов и вторых блюд, а также десерт, фрукты и творог»; перечень блюд определяет медицинская сестра диетическая; учреждение планирует расширить вечернее меню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Доли жителей, участвующих в выборе; способа выбора для неговорящих жителей; изменений в закупках и штате; данных о потреблении. Первая редакция обзора утверждала, что выбор в Болотнинском ПНИ делается накануне и «без изменения норм питания» [1]; в тексте сообщения 2024 г. ни того, ни другого нет.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диетсестрой, — М1 по шкале раздачи (несколько дней в неделю). Публикация 2026 г. показывает, что через два года практика жива.</w:t>
      </w:r>
    </w:p>
    <w:bookmarkEnd w:id="73"/>
    <w:bookmarkStart w:id="74"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в марте 2024 г. «все отделения перешли на вариативное меню»; жители выбирают из двух видов вторых блюд, салатов и напитков, «составляя свой обед или ужин»; например, два рыбных или два мясных блюда, салаты из свежих или отварных овощей (винегрет, салат из свёклы). Перед внедрением проведены опрос жителей и анкетирование, по результатам которого блюда «расставлены по балльной системе в зависимости от степени спроса». Сотрудники опасались, что части жителей трудно будет подойти к линии раздачи и выбрать блюдо; опасения не оправдались. Заодно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но его текст от 20.06.2025 с пометкой «Источник: Правительство Новосибирской области» перепечатан региональной лентой новостей [12]. По нему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среди основных особенностей названы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против падений, температура горячей пищи против ожогов,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найденное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салат из 5–6 ингредиентов, из которых житель берёт 2–3 в своих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Сведений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Как измеряли сокращение времени приёма пищи (что считали началом и концом, для скольких смен), не сказано; это остаётся утверждением учреждения. Стоимость названа только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не подкреплено данными измерений.</w:t>
      </w:r>
    </w:p>
    <w:p>
      <w:pPr>
        <w:pStyle w:val="BodyText"/>
      </w:pPr>
      <w:r>
        <w:rPr>
          <w:b/>
          <w:bCs/>
        </w:rPr>
        <w:t xml:space="preserve">Модель и противоречие слоёв.</w:t>
      </w:r>
      <w:r>
        <w:t xml:space="preserve"> </w:t>
      </w:r>
      <w:r>
        <w:t xml:space="preserve">В 2024 г. — М2 (два варианта нескольких блюд на линии раздачи во всех отделениях). В 2025 г. в части отделений — формат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друг другу не противоречат, если дату называть.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названы одновременно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как норматив нельзя, но порядок величин для сценария 14 гл. 7 они задают: самообслуживание может сокращать раздачу, а не удлинять её, если жители способны подойти к линии. Для тех, кто к линии не подходит, вопрос открыт (п. 7.16).</w:t>
      </w:r>
    </w:p>
    <w:bookmarkEnd w:id="74"/>
    <w:bookmarkStart w:id="75"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 М1 по шкале раздачи (толкование). Лучший аппетит — слова одного жителя, а не измерение. Каменский интернат — третье учреждение Новосибирской области, сообщившее о вариативном питании летом 2024 г. (вместе с Болотнинским и Успенским); близость дат публикаций (13, 16 и 19 августа 2024 г.) наводит на мысль об общем региональном импульсе, но документа регионального органа, который бы это подтверждал, найти не удалось [5, 7, 9]. Сообщение министерства 2025 г. о шведском столе в Успенском ПНИ [12] относится к следующему этапу и о 2024 г. не говорит.</w:t>
      </w:r>
    </w:p>
    <w:bookmarkEnd w:id="75"/>
    <w:bookmarkStart w:id="76"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[13]:</w:t>
      </w:r>
    </w:p>
    <w:p>
      <w:pPr>
        <w:pStyle w:val="Compact"/>
        <w:numPr>
          <w:ilvl w:val="0"/>
          <w:numId w:val="1009"/>
        </w:numPr>
      </w:pPr>
      <w:r>
        <w:t xml:space="preserve">27.09.2024: с сентября «постепенное введение вариативного меню»; на начальном этапе —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w:t>
      </w:r>
    </w:p>
    <w:p>
      <w:pPr>
        <w:pStyle w:val="Compact"/>
        <w:numPr>
          <w:ilvl w:val="0"/>
          <w:numId w:val="1009"/>
        </w:numPr>
      </w:pPr>
      <w:r>
        <w:t xml:space="preserve">17.12.2024: пример обеда — выбор гарнира (рис или гречка) и второго блюда (гуляш мясной или печень по-строгановски); в учреждении работает экспертная комиссия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w:t>
      </w:r>
    </w:p>
    <w:p>
      <w:pPr>
        <w:pStyle w:val="Compact"/>
        <w:numPr>
          <w:ilvl w:val="0"/>
          <w:numId w:val="1009"/>
        </w:numPr>
      </w:pPr>
      <w:r>
        <w:t xml:space="preserve">13.02.2025: пищеблок ежедневно готовит на 220 человек «по восьми видам меню с правом выбора в обед»; меню цикличное 14-дневное, питание шестиразовое;</w:t>
      </w:r>
    </w:p>
    <w:p>
      <w:pPr>
        <w:pStyle w:val="Compact"/>
        <w:numPr>
          <w:ilvl w:val="0"/>
          <w:numId w:val="1009"/>
        </w:numPr>
      </w:pPr>
      <w:r>
        <w:t xml:space="preserve">09.02.2026: заседание совета по питанию;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поставлена задача скорректировать меню для граждан 60+.</w:t>
      </w:r>
    </w:p>
    <w:p>
      <w:pPr>
        <w:pStyle w:val="FirstParagraph"/>
      </w:pPr>
      <w:r>
        <w:rPr>
          <w:b/>
          <w:bCs/>
        </w:rPr>
        <w:t xml:space="preserve">Чего источники не сообщают.</w:t>
      </w:r>
      <w:r>
        <w:t xml:space="preserve"> </w:t>
      </w:r>
      <w:r>
        <w:t xml:space="preserve">Как выбирают жители, не посещающие столовую; есть ли выбор вне обеда; затраты; данные о потреблении.</w:t>
      </w:r>
    </w:p>
    <w:p>
      <w:pPr>
        <w:pStyle w:val="BodyText"/>
      </w:pPr>
      <w:r>
        <w:rPr>
          <w:b/>
          <w:bCs/>
        </w:rPr>
        <w:t xml:space="preserve">Значение кейса.</w:t>
      </w:r>
      <w:r>
        <w:t xml:space="preserve"> </w:t>
      </w:r>
      <w:r>
        <w:t xml:space="preserve">Только здесь из найденных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который пересматривает меню, и внешняя экспертиза через полтора года. Сочетание «цикличного 14-дневного меню» и «права выбора в обед» наглядно показывает: цикличность и вариативность — разные свойства одного меню (п. 1.2). Совет нутрициолога о текстуре хлеба — пример клинического вопроса, который возникает при расширении выбора и решается не кухней, а специалистом (рекомендация учреждения, не норма).</w:t>
      </w:r>
    </w:p>
    <w:p>
      <w:pPr>
        <w:pStyle w:val="BodyText"/>
      </w:pPr>
      <w:r>
        <w:t xml:space="preserve">Учреждение — бывший дом-интернат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76"/>
    <w:bookmarkStart w:id="77"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найдено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 он держится только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о числе блюд на выбор в нём ничего нет. Повторный поиск оригинала сообщения министерства от 14.02.2025 в октябре 2026 г. (поисковые системы, веб-архив — с бокса недоступен, агрегатор — закрыт защитой от автоматического доступа) результата не дал;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говорят.</w:t>
      </w:r>
    </w:p>
    <w:p>
      <w:pPr>
        <w:pStyle w:val="BodyText"/>
      </w:pPr>
      <w:r>
        <w:rPr>
          <w:b/>
          <w:bCs/>
        </w:rPr>
        <w:t xml:space="preserve">Чего источники не сообщают.</w:t>
      </w:r>
      <w:r>
        <w:t xml:space="preserve"> </w:t>
      </w:r>
      <w:r>
        <w:t xml:space="preserve">Сколько из 50 стационарных учреждений перешло на выбор; закреплено ли это региональным актом; с какой периодичностью. В открытом доступе не найден региональный правовой акт Иркутской области, который предписывал бы вариативное питание;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77"/>
    <w:bookmarkStart w:id="78"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Сообщение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организатор —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Модели выбора, охвата, затрат.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показывает, что к 2026 г. практика вышла за стены отдельных учреждений и стала предметом методической работы региональных ведомств. Упоминание инфоматов для сбора предпочтений — первое в найденных российских источниках указание на технический канал выбора, кроме устного [17].</w:t>
      </w:r>
    </w:p>
    <w:bookmarkEnd w:id="78"/>
    <w:bookmarkStart w:id="79"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 директор этого учреждения; конфликт интересов раскрыт. Ниже —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Сообщение Комитета по социальной политике Санкт-Петербурга от 22.07.2025 о заседании рабочей группы по реформированию психоневрологических интернатов Санкт-Петербурга: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«крайне затруднителен с точки зрения соблюдения всех норм питания по сбалансированности и учёта особенностей здоровья проживающих»;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в которых закреплено заказное питание (вариативное меню), в том числе для маломобильных жителей с приёмом пищи в жилых комнатах [28]. Сайт учреждения прекратил работу; правила доступны в веб-архиве (копия от 15.04.2026). По данным архивной копии сайта (февраль 2026 г.), учреждение обслуживало 1 004 человека, питание шестиразовое, с поздним вторым ужином [23, 28].</w:t>
      </w:r>
    </w:p>
    <w:p>
      <w:pPr>
        <w:pStyle w:val="BodyText"/>
      </w:pPr>
      <w:r>
        <w:rPr>
          <w:b/>
          <w:bCs/>
        </w:rPr>
        <w:t xml:space="preserve">Чего источники не сообщают.</w:t>
      </w:r>
      <w:r>
        <w:t xml:space="preserve"> </w:t>
      </w:r>
      <w:r>
        <w:t xml:space="preserve">Доли жителей, пользующихся заказом; числа добавленных ставок и стоимости оборудования; данных о потреблении и отходах.</w:t>
      </w:r>
    </w:p>
    <w:p>
      <w:pPr>
        <w:pStyle w:val="BodyText"/>
      </w:pPr>
      <w:r>
        <w:t xml:space="preserve">Независимое упоминание петербургской практики есть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уделом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 М1 по шкале раздачи: выбор есть, но сделан не в момент еды (п. 1.4). Приказ № 124 —</w:t>
      </w:r>
      <w:r>
        <w:t xml:space="preserve"> </w:t>
      </w:r>
      <w:r>
        <w:rPr>
          <w:b/>
          <w:bCs/>
        </w:rPr>
        <w:t xml:space="preserve">локальная форма</w:t>
      </w:r>
      <w:r>
        <w:t xml:space="preserve">: он показывает, что учреждение может закрепить вариативное питание в правилах внутреннего распорядка, но нормой ни для других учреждений, ни для проверяющего не служит.</w:t>
      </w:r>
    </w:p>
    <w:p>
      <w:pPr>
        <w:pStyle w:val="BodyText"/>
      </w:pPr>
      <w:r>
        <w:t xml:space="preserve">В сообщении Комитета две оценки, которые часто цитируют порознь: жители приняли выбор с энтузиазмом, и полный переход затруднителен. Вторая оценка — суждение руководителя учреждения, а не результат измерения; данные о влиянии выбора на состав фактического потребления в сообщении не приводятся. Научные данные здесь противоречивы (п. 5.3): в исследовании Wheeler и соавт. переход к выбору в момент еды сопровождался чуть большим потреблением белковых продуктов и овощей и меньшим — углеводных в расчёте на приём пищи [85].</w:t>
      </w:r>
    </w:p>
    <w:bookmarkEnd w:id="79"/>
    <w:bookmarkStart w:id="80"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утверждены «зимнее» и «летнее» 14-дневное меню с пяти- и шестиразовым лечебным и профилактическим питанием; меню разработано с учётом норм питания в ПНИ, утверждённых распоряжением министерства социального развития Московской области от 13.04.2017 № 19РВ-32; работает совет по питанию со ссылкой на приказ Минздрава России № 330; «по желанию получателей социальных услуг и по согласованию с лечащим врачом» совет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Есть ли ежедневный выбор между блюдами при каждом приёме пищи;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 это персонализация меню, а не выбор в момент еды (п. 1.2). Самообслуживание на линии само по себе не означает выбора между вариантами: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0"/>
    <w:bookmarkStart w:id="81"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w:t>
            </w:r>
          </w:p>
        </w:tc>
        <w:tc>
          <w:tcPr/>
          <w:p>
            <w:pPr>
              <w:pStyle w:val="Compact"/>
            </w:pPr>
            <w:r>
              <w:t xml:space="preserve">Разные</w:t>
            </w:r>
          </w:p>
        </w:tc>
        <w:tc>
          <w:tcPr/>
          <w:p>
            <w:pPr>
              <w:pStyle w:val="Compact"/>
            </w:pPr>
            <w:r>
              <w:t xml:space="preserve">14.02.2025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1"/>
    <w:bookmarkStart w:id="82" w:name="что-следует-из-совокупности-кейсов"/>
    <w:p>
      <w:pPr>
        <w:pStyle w:val="Heading2"/>
      </w:pPr>
      <w:r>
        <w:rPr>
          <w:rStyle w:val="SectionNumber"/>
        </w:rPr>
        <w:t xml:space="preserve">4.11</w:t>
      </w:r>
      <w:r>
        <w:tab/>
      </w:r>
      <w:r>
        <w:t xml:space="preserve">Что следует из совокупности кейсов</w:t>
      </w:r>
    </w:p>
    <w:p>
      <w:pPr>
        <w:pStyle w:val="FirstParagraph"/>
      </w:pPr>
      <w:r>
        <w:t xml:space="preserve">В сообщениях разных учреждений повторяются четыре элемента. Первое: изучение предпочтений до запуска (опрос и балльное ранжирование в Успенском ПНИ, опрос и группировка по популярности в Усть-Илимске). Второе: ограниченный старт — по дням недели (Болотнинский, Каменский), по группе жителей (Усть-Илимск, Серафимовский), по отделениям (Успенский в 2025 г.). Третье: выбор ограничен одним-двумя блюдами приёма пищи, остальное подаётся по общему меню. Четвёртое: коллегиальный орган — совет или комиссия по питанию — появляется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Честный вывод скромнее: стартовый формат (выбор из двух блюд в момент еды в одном приёме пищи) в ряде учреждений был введён без публично названных дополнительных ресурсов; заказ накануне и обслуживание маломобильных в комнатах потребовали ресурсов в учреждении, сообщившем о них (толкование).</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нельзя ни подтвердить, ни опровергнуть.</w:t>
      </w:r>
    </w:p>
    <w:bookmarkEnd w:id="82"/>
    <w:bookmarkEnd w:id="83"/>
    <w:bookmarkStart w:id="99" w:name="научные-данные"/>
    <w:p>
      <w:pPr>
        <w:pStyle w:val="Heading1"/>
      </w:pPr>
      <w:r>
        <w:rPr>
          <w:rStyle w:val="SectionNumber"/>
        </w:rPr>
        <w:t xml:space="preserve">5</w:t>
      </w:r>
      <w:r>
        <w:tab/>
      </w:r>
      <w:r>
        <w:t xml:space="preserve">Научные данные</w:t>
      </w:r>
    </w:p>
    <w:bookmarkStart w:id="84"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ведут в основном двумя доводами: «выбор улучшает качество жизни» и «выбор ухудшит питание, потому что жители предпочтут вкусное вредное полезному». Оба довода эмпирические, и оба можно проверить. Раздел излагает, что о них известно из рецензируемой литературы. Поиск вёлся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вошли только работы, библиографические данные и основные числа которых сверены по аннотации или полному тексту.</w:t>
      </w:r>
    </w:p>
    <w:bookmarkEnd w:id="84"/>
    <w:bookmarkStart w:id="85"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Самая полная оценка распространённости недостаточности питания у пожилых по инструменту MNA (Mini Nutritional Assessment) — метаанализ Cereda и соавт. 2016 г.: 240 исследований,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[86]. Доля лиц в зоне риска в учреждениях выше доли лиц с установленной недостаточностью в несколько раз.</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 исследование Горелика С. Г.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[41]. Ограничения велики: одно учреждение, средний возраст 64,7 года, нет контрольной группы, и «улучшение у 73,5 %» нельзя приписать конкретному вмешательству. Для нашей темы ценна цифра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[51].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85"/>
    <w:bookmarkStart w:id="86"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Самая известная работа о выборе в институциональном питании — исследование Wright, Connelly, Capra и Hendrikz (2013, Brisbane). Обследованы 103 пациента больницы и 210 жителей девяти домов престарелых. Удовлетворённость питанием была связана с количеством предлагаемых вариантов и с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[87]. Две цифры из этой работы часто цитируют без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вторая относится к способу раздачи, а не к выбору [87]. Выборка удобная, данные собраны в 2003–2004 гг. Это одна из немногих работ, где самостоятельным фактором выделено время выбора, а не только число вариантов; отсюда довод в пользу того, чтобы различать на шкале раздачи М1 (выбор накануне) и М2 (выбор в момент еды).</w:t>
      </w:r>
    </w:p>
    <w:p>
      <w:pPr>
        <w:pStyle w:val="BodyText"/>
      </w:pPr>
      <w:r>
        <w:t xml:space="preserve">Abbey, Wright и Capra (2015) описали, как выбор на деле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у жителей на протёртой пище; меню редко планировали с расчётом на альтернативы. Авторы предложили усилить регулирование и мониторинг выбора в рамках национальных стандартов аккредитации [88]. Вывод прямо касается российских ПНИ и домов-интернатов: два блюда на линии раздачи ещё не значат,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традиционную (меню, выбираемое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чуть больше белковых продуктов (+5 г) и овощей (+11 г) и меньше углеводных (−38 г). Производственные отходы выросли с 55 до 90 г на жителя в день. Стоимость питания выросла с 9,20–11,14 до 11,01–12,15 австралийского доллара на жителя в день [85]. Качественное исследование той же группы, основанное на интервью с 20 жителями до и 18 после перехода, показало, что жители связывали возможность выбора в момент еды с ощущением контроля и самостоятельности [89].</w:t>
      </w:r>
    </w:p>
    <w:p>
      <w:pPr>
        <w:pStyle w:val="BodyText"/>
      </w:pPr>
      <w:r>
        <w:t xml:space="preserve">Для российского спора эти данные важны дважды. Во-первых, они не подтверждают опасения, что выбор неизбежно портит состав потребления: в исследовании съеденные блюда из нового меню содержали чуть больше белковых продуктов и овощей. Во-вторых, они называют цену: выбор в момент еды увеличил производственные отходы и стоимость. Вывод о росте стоимости не переносится на российские условия напрямую (другие структура затрат, уровень цен, штат), но направление эффекта надо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 пациент заказывает блюда из ресторанного меню по телефону и получает их приготовленными под заказ —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[90]. Больничный контекст отличается от учреждения долговременного проживания (короткое пребывание, другой состав пациентов), поэтому результат приведён как аналогия, а не как доказательство для ДСО и ПНИ.</w:t>
      </w:r>
    </w:p>
    <w:bookmarkEnd w:id="86"/>
    <w:bookmarkStart w:id="87"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случается, даже когда его хотят». Три работы разных лет и стран описывают барьеры сходно.</w:t>
      </w:r>
    </w:p>
    <w:p>
      <w:pPr>
        <w:pStyle w:val="BodyText"/>
      </w:pPr>
      <w:r>
        <w:t xml:space="preserve">Wang и соавт. (2020) провели углублённые интервью с семью жителями и семью сотрудниками двух австралийских учреждений; анализ строился на теории самодетерминации. Выделены три темы: «питание на массу» (catering for the masses), организационные барьеры для выбора и влияние еды на благополучие [91]. Авторы называют недостаточный выбор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хотели сами принимать решения; их рассказы о еде в учреждении были противоречивыми,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[92].</w:t>
      </w:r>
    </w:p>
    <w:p>
      <w:pPr>
        <w:pStyle w:val="BodyText"/>
      </w:pPr>
      <w:r>
        <w:t xml:space="preserve">Mondkar и соавт. (2025) опросили 17 человек (жители, руководители, сотрудники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старался их поддерживать «где возможно» [93]. Но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[93]. Здесь прямо назван механизм неравенства, который вариативное меню может не устранить, а закрепить: выбор, построенный на вопросе «что вы хотите?», достаётся тем, кто способен ответить и настоять (толкование; ср. п. 7.16).</w:t>
      </w:r>
    </w:p>
    <w:p>
      <w:pPr>
        <w:pStyle w:val="BodyText"/>
      </w:pPr>
      <w:r>
        <w:t xml:space="preserve">Для российского учреждения эти работы ценны как список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что меняется, если у жителя нет денег и родственников.</w:t>
      </w:r>
    </w:p>
    <w:bookmarkEnd w:id="87"/>
    <w:bookmarkStart w:id="88"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сравнило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 это М4 по шкале раздачи, и исследование показывает эффект целого комплекса перемен, а не одного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[94]. Дизайн пилотный, без рандомизации;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того, что съедается (разнообразие на тарелке, приправы на столе); названия блюд и декор эффекта не дали [95].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дешёвых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больший выбор блюд, удлинённые часы работы «ресторана», доступные закуски и автоматы с напитками — в трёх домах, при трёх контрольных [96].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[96]. Авторы признают, что рутинные данные удалось использовать лишь частично, а потери наблюдения и пропуски были велики. Работа поучительна как пример: учреждение может оценивать изменение питания по данным, которые оно и так собирает (падения, масса тела, обращения), но без строгого дизайна и при малой выборке такой анализ даёт лишь направление, а не доказательство.</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был статистически незначим, а изменения среды приёма пищи были связаны с увеличением потребления энергии на 181 ккал/сут (95 % ДИ от −5 до 367; p = 0,06) [97].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[98]. Общий итог: перемены в организации питания, включающие выбор, скорее улучшают удовлетворённость и потребление, чем ухудшают, но эффект на пищевой статус невелик и плохо измерен.</w:t>
      </w:r>
    </w:p>
    <w:bookmarkEnd w:id="88"/>
    <w:bookmarkStart w:id="89"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Самые крупные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[99]. Более высокие шансы быть удовлетворённым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[99]. Обстановка приёма пищи в этом исследовании измерялась вместе с другими элементами среды, поэтому вклад именно питания не выделяется; дизайн ретроспективный и наблюдательный. И всё же это первое из найденных национальных исследований, где среда приёма пищи вошла в число изменяемых факторов, связанных с достоинством жителя, — в одну модель с отношением персонала.</w:t>
      </w:r>
    </w:p>
    <w:p>
      <w:pPr>
        <w:pStyle w:val="BodyText"/>
      </w:pPr>
      <w:r>
        <w:t xml:space="preserve">Вывод для доклада ограниченный, но существенный (толкование): довод «выбор — вопрос достоинства», которым обосновывают вариативное меню, имеет эмпирическую опору на популяционном уровне, но опора касается среды приёма пищи в целом, а не числа вариантов блюд.</w:t>
      </w:r>
    </w:p>
    <w:bookmarkEnd w:id="89"/>
    <w:bookmarkStart w:id="90"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более высокое потребление энергии и натрия было связано с худшим качеством рациона [100].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которые составлены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другой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мешали нехватка знаний, времени и разнобой в подходах [101].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[102]. Оба исследования заключают: ответ на риск нездорового выбора —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ограничивать выбор всем жителям из-за риска части из них — непропорциональная мера, не основанная на данных.</w:t>
      </w:r>
    </w:p>
    <w:bookmarkEnd w:id="90"/>
    <w:bookmarkStart w:id="91"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нашей темы в них важны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[103]. Рекомендации ESPEN по питанию при деменции (Volkert и соавт., 2024) содержат 40 рекомендаций, из них семь посвящены условиям в учреждениях: подготовка персонала, привлекательная еда с возможностью выбора, приятная среда приёма пищи [104].</w:t>
      </w:r>
    </w:p>
    <w:p>
      <w:pPr>
        <w:pStyle w:val="BodyText"/>
      </w:pPr>
      <w:r>
        <w:t xml:space="preserve">Юридически это рекомендации профессионального общества для клиницистов, а не нормы; в российском праве они не действуют. Ценны они тем, что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1"/>
    <w:bookmarkStart w:id="92"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 отходы с тарелки (14 источников), обычно взвешиванием (10) или визуальной оценкой (6); интервенционных исследований по снижению отходов нашлось только три [105]. Для сравнения обзор приводит больничные данные: по нарративному обзору Williams и Walton (2011), медиана отходов с тарелки в 32 исследованиях составила 30 % [106]; в больничной литературе допустимым называют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[105].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 не только для оценки меню, но и для расчёта фактически съеденного. Японское исследование CLEVER (Nishida и соавт., 2020) проверило этот расчёт на 46 жителях учреждений долговременного ухода, сравнив потребление энергии, вычисленное по рецептурам и отходам с тарелки за 14–15 дней, с потреблением, определённым методом дважды меченой воды [107].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[107]. Вывод авторов: потеря массы возможна, даже если расчёт по меню и отходам показывает положительный баланс. Для доклада отсюда двойное предупреждение: выполнение норм по раскладке не гарантирует, что житель съел положенное, а снижение отходов после введения выбора — ещё не доказательство роста потребления (толкование).</w:t>
      </w:r>
    </w:p>
    <w:p>
      <w:pPr>
        <w:pStyle w:val="BodyText"/>
      </w:pPr>
      <w:r>
        <w:t xml:space="preserve">Отходы с тарелки — самый доступный российскому учреждению показатель результата: их можно измерять визуальной шкалой или взвешиванием без лабораторных исследований и без медицинской лицензии. Сопоставление отходов до и после введения выбора — минимальная доказательная база, которую учреждение может собрать само (рекомендация, см. п. 7.9).</w:t>
      </w:r>
    </w:p>
    <w:bookmarkEnd w:id="92"/>
    <w:bookmarkStart w:id="93"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[108]. Число дано как контекст, а не как оценка для России: публично долю таких жителей в российском ПНИ или доме-интернате никто не измерял. Вместе с работой Abbey и соавт. [88] оно показывает, что вариативное меню, придуманное для ходячих и говорящих жителей, может не дойти до половины дома. Решения о консистенции — клинические и в этом докладе не рассматриваются.</w:t>
      </w:r>
    </w:p>
    <w:bookmarkEnd w:id="93"/>
    <w:bookmarkStart w:id="94"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доказательства его эффекта на потребление оказались неоднородными [109].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[110]. Связь наблюдательная и причинности не доказывает, но согласуется с мыслью,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делают вывод, что без государственного финансирования, политики и стандартов улучшение питания в учреждениях ограничено [111].</w:t>
      </w:r>
    </w:p>
    <w:bookmarkEnd w:id="94"/>
    <w:bookmarkStart w:id="95"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много жителей не едят самостоятельно, судьба вариативного меню решается персоналом. Самые подробные данные о нужном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[112]</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[113]</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[114]</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[115]</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Для российского учреждения из этих работ следуют три наблюдения. Первое: жителю, которому нужна только словесная подсказка и присутствие сотрудника, требовалось столько же времени (35–40 минут на приём пищи), сколько физически зависимому [114]; авторы заключают, что американская система оплаты ухода, учитывающая главным образом физическую зависимость, недооценивает это время. Второе: разрыв между временем, которое реально тратилось (5–9 минут), и временем, которое давало эффект (35–42 минуты), составлял четыре-восемь раз [112, 113, 115]. Третье: перекус между приёмами пищи с выбором требовал втрое-вчетверо меньше времени, чем помощь во время еды, и помогал почти половине тех, кому не помогла помощь во время еды [113, 115]; авторы считают его более осуществимым в повседневной практике.</w:t>
      </w:r>
    </w:p>
    <w:p>
      <w:pPr>
        <w:pStyle w:val="BodyText"/>
      </w:pPr>
      <w:r>
        <w:t xml:space="preserve">Перенос на российские условия ограничен (толкование): другие штатные нормативы, другой состав жителей, исследования проведены 18–25 лет назад. Но порядок величин помогает проверить реализм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а уже потом — на выбор (п. 7.15).</w:t>
      </w:r>
    </w:p>
    <w:bookmarkEnd w:id="95"/>
    <w:bookmarkStart w:id="96"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[116]. В докладе «Не просто накормить» 8 долларов названы стоимостью сырья [22]; по тексту статьи это стоимость всего кейтеринга. Вторая редакция это уточняет.</w:t>
      </w:r>
    </w:p>
    <w:p>
      <w:pPr>
        <w:pStyle w:val="BodyText"/>
      </w:pPr>
      <w:r>
        <w:t xml:space="preserve">Прямо пересчитывать австралийские цифры в рубли нельзя: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[85]). Российских опубликованных расчётов стоимости вариативного меню не найдено.</w:t>
      </w:r>
    </w:p>
    <w:bookmarkEnd w:id="96"/>
    <w:bookmarkStart w:id="97"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 экстраполяция.</w:t>
      </w:r>
    </w:p>
    <w:p>
      <w:pPr>
        <w:pStyle w:val="BodyText"/>
      </w:pPr>
      <w:r>
        <w:t xml:space="preserve">Нет исследований, сравнивающих разные числа вариантов (два, три, семь) в одном дизайне. Нет данных о том, как выбор влияет на пищевое поведение людей с интеллектуальными нарушениями в учреждениях;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которые измеряли бы, получает ли выбор житель, не способный его выразить, — качественные работы лишь описывают, что такие жители выбором пользуются реже [93].</w:t>
      </w:r>
    </w:p>
    <w:bookmarkEnd w:id="97"/>
    <w:bookmarkStart w:id="98"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[86]</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[41]</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[87]</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[88]</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[94]</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[95]</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[97]</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[98]</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[85]</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[105]</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[110]</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[100]</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[90]</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[96]</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[91]</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[92]</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[93]</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[99]</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[107]</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[112–115]</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98"/>
    <w:bookmarkEnd w:id="99"/>
    <w:bookmarkStart w:id="112" w:name="зарубежное-регулирование"/>
    <w:p>
      <w:pPr>
        <w:pStyle w:val="Heading1"/>
      </w:pPr>
      <w:r>
        <w:rPr>
          <w:rStyle w:val="SectionNumber"/>
        </w:rPr>
        <w:t xml:space="preserve">6</w:t>
      </w:r>
      <w:r>
        <w:tab/>
      </w:r>
      <w:r>
        <w:t xml:space="preserve">Зарубежное регулирование</w:t>
      </w:r>
    </w:p>
    <w:bookmarkStart w:id="100"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ссылкой на них нельзя заменить российское основание для решения учреждения. Ценны они другим: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ставят другие правопорядки и где эти требования упираются в те же противоречия, что и у нас. Первая редакция обзора упоминала зарубежный опыт кратко и включала раздел о «практике стран СНГ» без источников [1]; вторая редакция этот раздел не повторяет, а зарубежный блок строит по первоисточникам.</w:t>
      </w:r>
    </w:p>
    <w:bookmarkEnd w:id="100"/>
    <w:bookmarkStart w:id="101"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нужна [117].</w:t>
      </w:r>
    </w:p>
    <w:p>
      <w:pPr>
        <w:pStyle w:val="BodyText"/>
      </w:pPr>
      <w:r>
        <w:t xml:space="preserve">Конструкция поучительна тремя чертами. Предпочтения названы частью «потребности в питании», а не дополнительной услугой. Требования ограничены критерием разумности. Регламент 14(3) ставит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[117]. Коллизию «выбор против здоровья» английское право 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должны быть удовлетворены,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чтобы учитывать предпочтения, в том числе о времени, месте подачи и количестве еды [118]. Там же —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[118].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[118].</w:t>
      </w:r>
    </w:p>
    <w:p>
      <w:pPr>
        <w:pStyle w:val="BodyText"/>
      </w:pPr>
      <w:r>
        <w:t xml:space="preserve">Российскому читателю здесь важно соотношение уровней: выбор закреплён не в отдельном «стандарте меню», а в определении потребности в питании, нарушение которой может иметь уголовные последствия. Российский аналог по месту в системе — стандарт социальной услуги по обеспечению питанием в региональном порядке, но его содержание в проанализированных регионах ограничивается нормами продуктов (п. 3.15) (толкование).</w:t>
      </w:r>
    </w:p>
    <w:bookmarkEnd w:id="101"/>
    <w:bookmarkStart w:id="102"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[119].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[119].</w:t>
      </w:r>
    </w:p>
    <w:p>
      <w:pPr>
        <w:pStyle w:val="BodyText"/>
      </w:pPr>
      <w:r>
        <w:t xml:space="preserve">Шотландские стандарты —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2"/>
    <w:bookmarkStart w:id="103"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[120]. Меню должны составляться заранее и соблюдаться, отражать религиозные, культурные и этнические потребности и мнения жителей и их объединений, пересматриваться диетологом; при этом прямо сказано,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если перед сном подаётся питательный перекус и группа жителей согласна, — до 16 часов. Жителям, желающим есть вне установленного времени, должны предоставляться подходящие альтернативные блюда и перекусы [120].</w:t>
      </w:r>
    </w:p>
    <w:p>
      <w:pPr>
        <w:pStyle w:val="BodyText"/>
      </w:pPr>
      <w:r>
        <w:t xml:space="preserve">Американская норма — самый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снят: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[121]. Замена должна соответствовать «обычному ассортименту» учреждения: пример руководства — вместо грейпфрутового сока предложить другой цитрусовый или богатый витамином C сок, который житель любит [121]. Процедура проверки: наблюдать за раздачей и, если житель отказывается от блюда или напитка, установить, предложили ли ему замену; опросные вопросы — как еда соответствует предпочтениям жителя, предлагают ли замену при отказе, как жителям сообщают об альтернативах, как сведения о предпочтениях доходят до персонала [121]. При выявлении нарушения инспектору предлагается проверить смежные требования: учтены ли предпочтения при комплексной оценке жителя, включены ли в план ухода, пересматривался ли план с участием жителя или его представителя [121]. Форма наблюдения за приёмом пищи (CMS-20053) отдельно предписывает начинать наблюдение с первого приёма пищи после прибытия проверяющих, в первую очередь в залах, где больше всего жителей, нуждающихся в помощи, и в разделе «Выбор» — выяснять реакцию персонала на отказ идти в столовую, отказ от блюда или просьбу о замене [122].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за столом не доели все; помогающий сидит рядом, а не стоит над жителем, и разговаривает с ним, а не с коллегами; жителю дают столько времени, сколько ему нужно [122].</w:t>
      </w:r>
    </w:p>
    <w:p>
      <w:pPr>
        <w:pStyle w:val="BodyText"/>
      </w:pPr>
      <w:r>
        <w:t xml:space="preserve">Американская процедура показывает, что выбор можно проверить, не считая блюд в меню: предмет проверки — ответ учреждения на отказ конкретного жителя, наблюдаемый в реальном приёме пищи и подтверждаемый опросом.</w:t>
      </w:r>
    </w:p>
    <w:bookmarkEnd w:id="103"/>
    <w:bookmarkStart w:id="104"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[123].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выбор перекусов днём и вечером.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[123].</w:t>
      </w:r>
    </w:p>
    <w:p>
      <w:pPr>
        <w:pStyle w:val="BodyText"/>
      </w:pPr>
      <w:r>
        <w:t xml:space="preserve">Онтарийская норма показывает, что выбор и цикличность совместимы: цикл в 21 день сам предусматривает альтернативы на каждом приёме пищи. Видно в ней и разграничение, которого нет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только когда помогающий свободен; рассматривал ли совет жителей время приёмов пищи и перекусов; сообщаются ли все замены в меню жителям и персоналу [124].</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04"/>
    <w:bookmarkStart w:id="105"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[125].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[125]. В Австралии выбор в питании стал предметом государственного стандарта после серии исследований, показавших, как мало его на деле [88].</w:t>
      </w:r>
    </w:p>
    <w:bookmarkEnd w:id="105"/>
    <w:bookmarkStart w:id="106"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 рекомендация профессионального общества, а не закон [126]. Для российской дискуссии он ценен тем, что описывает выбор не как принцип, а как набор проверяемых операционных требований:</w:t>
      </w:r>
    </w:p>
    <w:p>
      <w:pPr>
        <w:pStyle w:val="Compact"/>
        <w:numPr>
          <w:ilvl w:val="0"/>
          <w:numId w:val="1010"/>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[126]. На плане меню несколько линий должны быть представлены наглядно, а рекомендуемая — выделена (первой строкой, цветом или символом) [126];</w:t>
      </w:r>
    </w:p>
    <w:p>
      <w:pPr>
        <w:pStyle w:val="Compact"/>
        <w:numPr>
          <w:ilvl w:val="0"/>
          <w:numId w:val="1010"/>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[126];</w:t>
      </w:r>
    </w:p>
    <w:p>
      <w:pPr>
        <w:pStyle w:val="Compact"/>
        <w:numPr>
          <w:ilvl w:val="0"/>
          <w:numId w:val="1010"/>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[126].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10"/>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[126];</w:t>
      </w:r>
    </w:p>
    <w:p>
      <w:pPr>
        <w:pStyle w:val="Compact"/>
        <w:numPr>
          <w:ilvl w:val="0"/>
          <w:numId w:val="1010"/>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[126];</w:t>
      </w:r>
    </w:p>
    <w:p>
      <w:pPr>
        <w:pStyle w:val="Compact"/>
        <w:numPr>
          <w:ilvl w:val="0"/>
          <w:numId w:val="1010"/>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[126];</w:t>
      </w:r>
    </w:p>
    <w:p>
      <w:pPr>
        <w:pStyle w:val="Compact"/>
        <w:numPr>
          <w:ilvl w:val="0"/>
          <w:numId w:val="1010"/>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[126];</w:t>
      </w:r>
    </w:p>
    <w:p>
      <w:pPr>
        <w:pStyle w:val="Compact"/>
        <w:numPr>
          <w:ilvl w:val="0"/>
          <w:numId w:val="1010"/>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[126];</w:t>
      </w:r>
    </w:p>
    <w:p>
      <w:pPr>
        <w:pStyle w:val="Compact"/>
        <w:numPr>
          <w:ilvl w:val="0"/>
          <w:numId w:val="1010"/>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[126];</w:t>
      </w:r>
    </w:p>
    <w:p>
      <w:pPr>
        <w:pStyle w:val="Compact"/>
        <w:numPr>
          <w:ilvl w:val="0"/>
          <w:numId w:val="1010"/>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[126], то есть то же ограничение, что в п. 32 СанПиН 4282-26 [3].</w:t>
      </w:r>
    </w:p>
    <w:p>
      <w:pPr>
        <w:pStyle w:val="FirstParagraph"/>
      </w:pPr>
      <w:r>
        <w:t xml:space="preserve">Из этого перечня российскому учреждению легче всего перенести четыре элемента (рекомендация): план меню с указанием основных компонентов и, где это нужно, с изображениями; пищевая биография при поступлении как основа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других вариантов. Последний приём — «подталкивание» (nudging) — стандарт DGE прямо рассматривает как альтернативу ограничению выбора [126].</w:t>
      </w:r>
    </w:p>
    <w:p>
      <w:pPr>
        <w:pStyle w:val="BodyText"/>
      </w:pPr>
      <w:r>
        <w:t xml:space="preserve">Австрийские стандарты качества питания в учреждениях ухода (2022) по аналогии рекомендуют учитывать предпочтения и избегать необоснованных ограничений рациона [127].</w:t>
      </w:r>
    </w:p>
    <w:bookmarkEnd w:id="106"/>
    <w:bookmarkStart w:id="107"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[128].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 не более 11 часов; приёмы пищи должны быть многочисленными, небольшими, насыщенными энергией и белком и распределёнными по суткам [128].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только если съедена, «важнее, чтобы еда была вкусной и возбуждала аппетит, чем чтобы она точно соответствовала нормам питания» [128].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похожа на домашнюю [128]. Здесь «выбор» переведён в формулировки, пригодные для договора и проверки, причём первым критерием стоит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могут предлагать, каким должно быть меню и как сделать приём пищи спокойным [128].</w:t>
      </w:r>
    </w:p>
    <w:p>
      <w:pPr>
        <w:pStyle w:val="BodyText"/>
      </w:pPr>
      <w:r>
        <w:rPr>
          <w:b/>
          <w:bCs/>
        </w:rPr>
        <w:t xml:space="preserve">Базовое меню и закупка.</w:t>
      </w:r>
      <w:r>
        <w:t xml:space="preserve"> </w:t>
      </w:r>
      <w:r>
        <w:t xml:space="preserve">Первый из пяти шагов планирования — создать «базовое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[128]. Базовое меню служит одновременно для расчёта пищевой ценности на уровне группы, для учёта потребления, для внутренних расчётов и для закупки [128]. Второй шаг — готовить в объёме, который реально съедается, и строить систему заказа так, чтобы минимизировать отходы [128]. Так снимается российский вопрос о совместимости выбора с нормами (п. 3.15) и с закупкой (п. 7.13): нормы проверяют по базовому меню на уровне группы, а выбор живёт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более длинное время подачи, больше вариантов, возможность выбрать соседей по столу;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[128].</w:t>
      </w:r>
    </w:p>
    <w:bookmarkEnd w:id="107"/>
    <w:bookmarkStart w:id="108"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[129].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когда позволяет жителям дома престарелых отказываться от питания только целыми днями (с уведомлением до 12 часов предыдущего дня) и не позволяет отказываться от отдельных приёмов пищи [129].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[129].</w:t>
      </w:r>
    </w:p>
    <w:p>
      <w:pPr>
        <w:pStyle w:val="BodyText"/>
      </w:pPr>
      <w:r>
        <w:t xml:space="preserve">Здесь выбор понят не как выбор блюда, а как право не участвовать в общем питании в конкретный приём. В российском праве ближайшая конструкция — отказ от социальной услуги (ст. 18 442-ФЗ) [24], но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решают на уровне платы и договора, а не только меню.</w:t>
      </w:r>
    </w:p>
    <w:bookmarkEnd w:id="108"/>
    <w:bookmarkStart w:id="109"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[130]. Это путь финансового стимула: платят за измерение и управление питанием.</w:t>
      </w:r>
    </w:p>
    <w:p>
      <w:pPr>
        <w:pStyle w:val="BodyText"/>
      </w:pPr>
      <w:r>
        <w:t xml:space="preserve">Второй японский механизм прямо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должна взиматься отдельно и чётко отделяться от обычной платы [131]. Критерии такого питания установлены приказом-уведомлением № 123 [132]:</w:t>
      </w:r>
    </w:p>
    <w:p>
      <w:pPr>
        <w:pStyle w:val="Compact"/>
        <w:numPr>
          <w:ilvl w:val="0"/>
          <w:numId w:val="1011"/>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11"/>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11"/>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11"/>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11"/>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11"/>
        </w:numPr>
      </w:pPr>
      <w:r>
        <w:t xml:space="preserve">договор заключается после ясного объяснения, что это дополнительная плата сверх обычной [132].</w:t>
      </w:r>
    </w:p>
    <w:p>
      <w:pPr>
        <w:pStyle w:val="FirstParagraph"/>
      </w:pPr>
      <w:r>
        <w:t xml:space="preserve">Японская конструкция разводит два вопроса, которые в российской дискуссии часто смешивают: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Для российского учреждения прямой аналогии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09"/>
    <w:bookmarkStart w:id="110" w:name="сводная-таблица-2"/>
    <w:p>
      <w:pPr>
        <w:pStyle w:val="Heading2"/>
      </w:pPr>
      <w:r>
        <w:rPr>
          <w:rStyle w:val="SectionNumber"/>
        </w:rPr>
        <w:t xml:space="preserve">6.11</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[117]</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[119]</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[120]</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[123]</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[125]</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[126]</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[128]</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[129]</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[130]; приказы-уведомления № 419 и № 123 [131, 132]</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0"/>
    <w:bookmarkStart w:id="111" w:name="выводы-для-российской-дискуссии"/>
    <w:p>
      <w:pPr>
        <w:pStyle w:val="Heading2"/>
      </w:pPr>
      <w:r>
        <w:rPr>
          <w:rStyle w:val="SectionNumber"/>
        </w:rPr>
        <w:t xml:space="preserve">6.12</w:t>
      </w:r>
      <w:r>
        <w:tab/>
      </w:r>
      <w:r>
        <w:t xml:space="preserve">Выводы для российской дискуссии</w:t>
      </w:r>
    </w:p>
    <w:p>
      <w:pPr>
        <w:pStyle w:val="FirstParagraph"/>
      </w:pPr>
      <w:r>
        <w:t xml:space="preserve">Ни одна из рассмотренных систем, кроме Онтарио, не требует выбора на каждом приёме пищи; онтарийская норма при этом не фиксирует число вариантов. Общий знаменатель другой: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а питание измеряется и оплачивается как управляемый процесс (Япония). Расширенный обзор этой редакции добавляет три операционных приёма, для которых не нужно менять законы: несколько «линий меню» с выделением рекомендуемой вместо запрета остальных (Германия); базовое меню, по которому проверяются нормы на уровне группы, с вариантами внутри него (Швеция); и критерии влияния жителя на приём пищи, сформулированные для договора и проверки, где первым стоит субъективное ощущение самого жителя (Швеция). Датский и японский примеры показывают другой уровень вопроса — плату: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11"/>
    <w:bookmarkEnd w:id="112"/>
    <w:bookmarkStart w:id="131"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13"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ниже описывают решения, которые учреждение вправе принять само, не выходя за действующие нормы. В конце каждого сказано, что в нём норма, что толкование, что рекомендация. Числовые примеры — иллюстративная арифметика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где такой вопрос возникает, сказано, что решает врач.</w:t>
      </w:r>
    </w:p>
    <w:bookmarkEnd w:id="113"/>
    <w:bookmarkStart w:id="114"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мясо (говядина, свинина) — 90 г нетто, рыба — 41,8 г нетто, птица — 40 г нетто [33]. Норма суточная, но учреждения обычно контролируют её по среднему за период (неделя, декада, месяц) через накопительную ведомость. Способ контроля в постановлении не определён (п. 3.15).</w:t>
      </w:r>
    </w:p>
    <w:p>
      <w:pPr>
        <w:pStyle w:val="BodyText"/>
      </w:pPr>
      <w:r>
        <w:rPr>
          <w:b/>
          <w:bCs/>
        </w:rPr>
        <w:t xml:space="preserve">Иллюстрация.</w:t>
      </w:r>
      <w:r>
        <w:t xml:space="preserve"> </w:t>
      </w:r>
      <w:r>
        <w:t xml:space="preserve">Учреждение на 100 жителей. Недельная потребность по норме: мясо 90 × 7 × 100 = 63,0 кг нетто, рыба 41,8 × 7 × 100 = 29,26 кг нетто. Пусть в базовом меню все три дня на обед подают мясное второе с закладкой 75 г нетто мяса на порцию, а альтернативой вводят рыбу (треску).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расход рыбы увеличится на 0,4 × 100 × 94 г × 3 ≈ 11,3 кг. Итог недели: мясо 54,0 кг (85,7 % нормы), рыба 40,5 кг (138,6 % нормы).</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39 %. Проверяющий, который сверяет нормы по группам, это расхождение увидит. Снять его можно тремя способами:</w:t>
      </w:r>
    </w:p>
    <w:p>
      <w:pPr>
        <w:pStyle w:val="Compact"/>
        <w:numPr>
          <w:ilvl w:val="0"/>
          <w:numId w:val="1012"/>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в накопительной ведомости показывать пересчёт заменённых количеств в базовый продукт.</w:t>
      </w:r>
    </w:p>
    <w:p>
      <w:pPr>
        <w:pStyle w:val="Compact"/>
        <w:numPr>
          <w:ilvl w:val="0"/>
          <w:numId w:val="1012"/>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12"/>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для взрослых её применение — решение учреждения. Ближайший федеральный документ для взрослых — приложения № 7 и № 8 к рекомендациям, утверждённым постановлением № 12 [31]. Источник таблицы нужно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14"/>
    <w:bookmarkStart w:id="115"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Группа № 1284</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(все виды, включая консервированные и зелень)</w:t>
            </w:r>
          </w:p>
        </w:tc>
        <w:tc>
          <w:tcPr/>
          <w:p>
            <w:pPr>
              <w:pStyle w:val="Compact"/>
            </w:pPr>
            <w:r>
              <w:t xml:space="preserve">Винегрет / салат из свёклы / салат из свежих овощей</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 между группами: печень в постановлении № 1284 не входит в группу «говядина, свинина». Для неё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15"/>
    <w:bookmarkStart w:id="116"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кухня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кухня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[87]. По Wheeler и соавт., переход к выбору в момент еды увеличил производственные отходы с 55 до 90 г на жителя в день [85].</w:t>
      </w:r>
    </w:p>
    <w:p>
      <w:pPr>
        <w:pStyle w:val="BodyText"/>
      </w:pPr>
      <w:r>
        <w:rPr>
          <w:b/>
          <w:bCs/>
        </w:rPr>
        <w:t xml:space="preserve">Санитарное ограничение.</w:t>
      </w:r>
      <w:r>
        <w:t xml:space="preserve"> </w:t>
      </w:r>
      <w:r>
        <w:t xml:space="preserve">СанПиН 4282-26 запрещает реализовать готовые блюда на следующий день и замораживать нереализованные (п. 32) [3]. Всё, что приготовлено под прогноз и не роздано, уходит в отходы, поэтому выбор в момент еды требует прогноза объёмов.</w:t>
      </w:r>
    </w:p>
    <w:p>
      <w:pPr>
        <w:pStyle w:val="BodyText"/>
      </w:pPr>
      <w:r>
        <w:rPr>
          <w:b/>
          <w:bCs/>
        </w:rPr>
        <w:t xml:space="preserve">Иллюстрация прогноза.</w:t>
      </w:r>
      <w:r>
        <w:t xml:space="preserve"> </w:t>
      </w:r>
      <w:r>
        <w:t xml:space="preserve">Старт — 50/50 с небольшим резервом на каждый вариант. Каждый день фиксируется фактическое распределение выбора и число жителей, которым не хватило выбранного варианта. Через две-три недели пропорции поправляют по статистике. Качество прогноза показывает доля жителей, не получивших выбранного варианта; она должна стремиться к нулю. Потери показывает масса нерозданных порций.</w:t>
      </w:r>
    </w:p>
    <w:p>
      <w:pPr>
        <w:pStyle w:val="BodyText"/>
      </w:pPr>
      <w:r>
        <w:rPr>
          <w:b/>
          <w:bCs/>
        </w:rPr>
        <w:t xml:space="preserve">Компромисс.</w:t>
      </w:r>
      <w:r>
        <w:t xml:space="preserve"> </w:t>
      </w:r>
      <w:r>
        <w:t xml:space="preserve">Заказ накануне для маломобильных жителей, получающих пищу в комнатах (именно так это сделано в правилах внутреннего распорядка ДСО «Серафимовский» [28]), и выбор в момент еды в столовой.</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16"/>
    <w:bookmarkStart w:id="117"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то санитары или младшие медицинские сёстры, которые порционируют второй вариант, должны иметь раздачу в должностных обязанностях и пройти гигиеническую подготовку. Проблема частая и незаметная: при едином меню в отделение привозят готовые порции, а с выбором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Работают два решения: лист заказа накануне (сценарий 3) или поднос с обоими вариантами малыми порциями и выбор на месте; во втором случае надо решить, что делать с остатком. Доклад «Не просто накормить» формулирует правило «два варианта на подносе, а не вторая линия в коридоре» [22] — это рекомендация.</w:t>
      </w:r>
    </w:p>
    <w:p>
      <w:pPr>
        <w:pStyle w:val="BodyText"/>
      </w:pPr>
      <w:r>
        <w:rPr>
          <w:b/>
          <w:bCs/>
        </w:rPr>
        <w:t xml:space="preserve">Время.</w:t>
      </w:r>
      <w:r>
        <w:t xml:space="preserve"> </w:t>
      </w:r>
      <w:r>
        <w:t xml:space="preserve">Если выбор в момент еды растягивает раздачу, надо проверить, укладывается ли последняя порция в три часа с момента изготовления; если нет —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17"/>
    <w:bookmarkStart w:id="118"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 самостоятельный объект санитарного контроля. Для каждого варианта учреждение должно иметь:</w:t>
      </w:r>
    </w:p>
    <w:p>
      <w:pPr>
        <w:pStyle w:val="Compact"/>
        <w:numPr>
          <w:ilvl w:val="0"/>
          <w:numId w:val="1013"/>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13"/>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13"/>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13"/>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18"/>
    <w:bookmarkStart w:id="119"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учреждение — по 223-ФЗ и своему положению о закупке, за исключением случаев, когда закупка финансируется субсидией на капитальные вложения (ч. 4 ст. 15 44-ФЗ) [53, 54].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[61].</w:t>
      </w:r>
    </w:p>
    <w:p>
      <w:pPr>
        <w:pStyle w:val="BodyText"/>
      </w:pPr>
      <w:r>
        <w:rPr>
          <w:b/>
          <w:bCs/>
        </w:rPr>
        <w:t xml:space="preserve">Выбор и контракт.</w:t>
      </w:r>
      <w:r>
        <w:t xml:space="preserve"> </w:t>
      </w:r>
      <w:r>
        <w:t xml:space="preserve">С выбором объёмы отдельных продуктов колеблются: если 40 % жителей выбирают рыбу, рыбы нужно больше, мяса меньше (сценарий 1). Контракт с жёстко зафиксированными количествами по позициям этого не выдержит.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[53].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[53]. Для вариативного меню удобнее первый инструмент: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[54]. Автономное учреждение может предусмотреть рамочные договоры с ценой единицы и заявочной поставкой. Поэтому 223-ФЗ для выбора гибче, но гибкость задаёт текст положения, а не закон.</w:t>
      </w:r>
    </w:p>
    <w:p>
      <w:pPr>
        <w:pStyle w:val="BodyText"/>
      </w:pPr>
      <w:r>
        <w:rPr>
          <w:b/>
          <w:bCs/>
        </w:rPr>
        <w:t xml:space="preserve">Спецификация.</w:t>
      </w:r>
      <w:r>
        <w:t xml:space="preserve"> </w:t>
      </w:r>
      <w:r>
        <w:t xml:space="preserve">Для обоих контуров выбор живёт в спецификации: группы взаимозаменяемых продуктов, пропорции по статистике выбора, допустимые замены. Избыточная детализация (конкретная торговая марка, необоснованные характеристики) может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тогда, когда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19"/>
    <w:bookmarkStart w:id="120"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До начала пилота разумно собрать следующий комплект (рекомендация):</w:t>
      </w:r>
    </w:p>
    <w:p>
      <w:pPr>
        <w:pStyle w:val="Compact"/>
        <w:numPr>
          <w:ilvl w:val="0"/>
          <w:numId w:val="1014"/>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Пример локальной формы — правила внутреннего распорядка ДСО «Серафимовский», утверждённые приказом № 124 [28]; это не образец для обязательного применения.</w:t>
      </w:r>
    </w:p>
    <w:p>
      <w:pPr>
        <w:pStyle w:val="Compact"/>
        <w:numPr>
          <w:ilvl w:val="0"/>
          <w:numId w:val="1014"/>
        </w:numPr>
      </w:pPr>
      <w:r>
        <w:t xml:space="preserve">Утверждённое цикличное меню с указанием вариантов.</w:t>
      </w:r>
    </w:p>
    <w:p>
      <w:pPr>
        <w:pStyle w:val="Compact"/>
        <w:numPr>
          <w:ilvl w:val="0"/>
          <w:numId w:val="1014"/>
        </w:numPr>
      </w:pPr>
      <w:r>
        <w:t xml:space="preserve">Таблица замен с указанием источника и расчёт выполнения норм за период с учётом замен.</w:t>
      </w:r>
    </w:p>
    <w:p>
      <w:pPr>
        <w:pStyle w:val="Compact"/>
        <w:numPr>
          <w:ilvl w:val="0"/>
          <w:numId w:val="1014"/>
        </w:numPr>
      </w:pPr>
      <w:r>
        <w:t xml:space="preserve">Технологические документы на каждый вариант.</w:t>
      </w:r>
    </w:p>
    <w:p>
      <w:pPr>
        <w:pStyle w:val="Compact"/>
        <w:numPr>
          <w:ilvl w:val="0"/>
          <w:numId w:val="1014"/>
        </w:numPr>
      </w:pPr>
      <w:r>
        <w:t xml:space="preserve">Журналы бракеража и суточных проб с записями по каждому варианту.</w:t>
      </w:r>
    </w:p>
    <w:p>
      <w:pPr>
        <w:pStyle w:val="Compact"/>
        <w:numPr>
          <w:ilvl w:val="0"/>
          <w:numId w:val="1014"/>
        </w:numPr>
      </w:pPr>
      <w:r>
        <w:t xml:space="preserve">Учёт выбора: лист заказа (при заказе накануне) или ежедневная статистика распределения выбора.</w:t>
      </w:r>
    </w:p>
    <w:p>
      <w:pPr>
        <w:pStyle w:val="Compact"/>
        <w:numPr>
          <w:ilvl w:val="0"/>
          <w:numId w:val="1014"/>
        </w:numPr>
      </w:pPr>
      <w:r>
        <w:t xml:space="preserve">Протоколы совета (комиссии) по питанию, если такой создан.</w:t>
      </w:r>
    </w:p>
    <w:p>
      <w:pPr>
        <w:pStyle w:val="Compact"/>
        <w:numPr>
          <w:ilvl w:val="0"/>
          <w:numId w:val="1014"/>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и ответы. «Почему подают не по меню?» — Варианты включены в утверждённое меню. «Где выполнение норм?» — Накопительная ведомость с пересчётом замен.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а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0"/>
    <w:bookmarkStart w:id="121"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4.11). Зарубежные данные: в исследовании Wheeler и соавт. стоимость выросла с 9,20–11,14 до 11,01–12,15 австралийского доллара на жителя в день, производственные отходы — с 55 до 90 г [85]. Средняя стоимость кейтеринга в австралийских учреждениях — 8,00 доллара в день, из них сырьё — 6,08 доллара [116].</w:t>
      </w:r>
    </w:p>
    <w:p>
      <w:pPr>
        <w:pStyle w:val="BodyText"/>
      </w:pPr>
      <w:r>
        <w:rPr>
          <w:b/>
          <w:bCs/>
        </w:rPr>
        <w:t xml:space="preserve">Где возникают затраты (толкование).</w:t>
      </w:r>
      <w:r>
        <w:t xml:space="preserve"> </w:t>
      </w:r>
      <w:r>
        <w:t xml:space="preserve">Сырьё при парах внутри группы перераспределяется, а не растёт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стоит проверить собственным замером [85].</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 581,33 руб. в день (кроме ПНИ и ДСО) и 574,43 руб. в день (ПНИ и ДСО) [73]. Если допустить, что организация выбора увеличит расходы на питание на 10–20 % — допущение, близкое к результату Wheeler и соавт. [85], —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4.11) показывают, что стартовый формат вводился и без публично названных дополнительных расходов. Для сравнения порядка величин: годовой рост тарифа ПНИ и ДСО с 2025 по 2026 г. составил 2,80 руб. в день (571,63 → 574,43) [72, 73], то есть допущенный прирост в 20–40 раз больше годовой индексации. Арифметика показывает лишь одно: полный переход крупного учреждения — вопрос учредителя, а не только кухни.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Как измерять.</w:t>
      </w:r>
      <w:r>
        <w:t xml:space="preserve"> </w:t>
      </w:r>
      <w:r>
        <w:t xml:space="preserve">Минимальная система учёта, доступная любому учреждению (рекомендация):</w:t>
      </w:r>
    </w:p>
    <w:p>
      <w:pPr>
        <w:pStyle w:val="Compact"/>
        <w:numPr>
          <w:ilvl w:val="0"/>
          <w:numId w:val="1015"/>
        </w:numPr>
      </w:pPr>
      <w:r>
        <w:t xml:space="preserve">отходы с тарелки — визуальная оценка по шкале «съедено всё / ¾ / ½ / ¼ / ничего» по выборке жителей или взвешивание остатков в течение 7 дней до запуска и 7 дней через месяц после;</w:t>
      </w:r>
    </w:p>
    <w:p>
      <w:pPr>
        <w:pStyle w:val="Compact"/>
        <w:numPr>
          <w:ilvl w:val="0"/>
          <w:numId w:val="1015"/>
        </w:numPr>
      </w:pPr>
      <w:r>
        <w:t xml:space="preserve">производственные отходы — масса нерозданных порций по каждому варианту ежедневно;</w:t>
      </w:r>
    </w:p>
    <w:p>
      <w:pPr>
        <w:pStyle w:val="Compact"/>
        <w:numPr>
          <w:ilvl w:val="0"/>
          <w:numId w:val="1015"/>
        </w:numPr>
      </w:pPr>
      <w:r>
        <w:t xml:space="preserve">распределение выбора — ежедневно;</w:t>
      </w:r>
    </w:p>
    <w:p>
      <w:pPr>
        <w:pStyle w:val="Compact"/>
        <w:numPr>
          <w:ilvl w:val="0"/>
          <w:numId w:val="1015"/>
        </w:numPr>
      </w:pPr>
      <w:r>
        <w:t xml:space="preserve">стоимость — фактические расходы на продукты на одного жителя в день за месяц до и месяц после.</w:t>
      </w:r>
    </w:p>
    <w:bookmarkEnd w:id="121"/>
    <w:bookmarkStart w:id="122"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w:t>
      </w:r>
      <w:r>
        <w:t xml:space="preserve"> </w:t>
      </w:r>
      <w:r>
        <w:t xml:space="preserve">Доклад «Не просто накормить» предлагает пилот на одном отделении (20–35 жителей), в одном приёме пищи (обычно обед), 2–3 дня в неделю, с заказом накануне на старте [22]: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Дни</w:t>
            </w:r>
          </w:p>
        </w:tc>
        <w:tc>
          <w:tcPr/>
          <w:p>
            <w:pPr>
              <w:pStyle w:val="Compact"/>
            </w:pPr>
            <w:r>
              <w:t xml:space="preserve">Действия</w:t>
            </w:r>
          </w:p>
        </w:tc>
      </w:tr>
      <w:tr>
        <w:tc>
          <w:tcPr/>
          <w:p>
            <w:pPr>
              <w:pStyle w:val="Compact"/>
            </w:pPr>
            <w:r>
              <w:t xml:space="preserve">1–14</w:t>
            </w:r>
          </w:p>
        </w:tc>
        <w:tc>
          <w:tcPr/>
          <w:p>
            <w:pPr>
              <w:pStyle w:val="Compact"/>
            </w:pPr>
            <w:r>
              <w:t xml:space="preserve">Приказ о пилоте; замер «до» (отходы, распределение предпочтений по опросу); инструктаж персонала; уведомление учредителя; при аутсорсинге — сверка контракта</w:t>
            </w:r>
          </w:p>
        </w:tc>
      </w:tr>
      <w:tr>
        <w:tc>
          <w:tcPr/>
          <w:p>
            <w:pPr>
              <w:pStyle w:val="Compact"/>
            </w:pPr>
            <w:r>
              <w:t xml:space="preserve">15–75</w:t>
            </w:r>
          </w:p>
        </w:tc>
        <w:tc>
          <w:tcPr/>
          <w:p>
            <w:pPr>
              <w:pStyle w:val="Compact"/>
            </w:pPr>
            <w:r>
              <w:t xml:space="preserve">Два варианта второго блюда 2–3 дня в неделю; журналы с первого дня; еженедельный разбор</w:t>
            </w:r>
          </w:p>
        </w:tc>
      </w:tr>
      <w:tr>
        <w:tc>
          <w:tcPr/>
          <w:p>
            <w:pPr>
              <w:pStyle w:val="Compact"/>
            </w:pPr>
            <w:r>
              <w:t xml:space="preserve">76–90</w:t>
            </w:r>
          </w:p>
        </w:tc>
        <w:tc>
          <w:tcPr/>
          <w:p>
            <w:pPr>
              <w:pStyle w:val="Compact"/>
            </w:pPr>
            <w:r>
              <w:t xml:space="preserve">Сводка показателей; обсуждение с жителями; решение: расширить, закрепить или свернуть с указанием причин</w:t>
            </w:r>
          </w:p>
        </w:tc>
      </w:tr>
    </w:tbl>
    <w:p>
      <w:pPr>
        <w:pStyle w:val="BodyText"/>
      </w:pPr>
      <w:r>
        <w:rPr>
          <w:b/>
          <w:bCs/>
        </w:rPr>
        <w:t xml:space="preserve">Что доказывает пилот.</w:t>
      </w:r>
      <w:r>
        <w:t xml:space="preserve"> </w:t>
      </w:r>
      <w:r>
        <w:t xml:space="preserve">Что выбор исполним и безопасен в конкретном учреждении, но не то, как он влияет на пищевой статус: для этого нет контрольной группы и мало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Это разные масштабы задачи — перестройка всего дома против пилота, — а не ошибка одной из работ.</w:t>
      </w:r>
    </w:p>
    <w:bookmarkEnd w:id="122"/>
    <w:bookmarkStart w:id="123"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[88].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докладе есть внутреннее противоречие о порядке этих каналов: в одном месте приоритет отдан зафиксированной биографии, в другом — текущему выраженному предпочтению [22, 23]. В этой редакции автор его не снимает: решение требует этической и правовой проработки, в том числе с учётом дееспособности и роли законного представителя.</w:t>
      </w:r>
    </w:p>
    <w:p>
      <w:pPr>
        <w:pStyle w:val="BodyText"/>
      </w:pPr>
      <w:r>
        <w:rPr>
          <w:b/>
          <w:bCs/>
        </w:rPr>
        <w:t xml:space="preserve">Отказ от еды.</w:t>
      </w:r>
      <w:r>
        <w:t xml:space="preserve"> </w:t>
      </w:r>
      <w:r>
        <w:t xml:space="preserve">Доклад «Не просто накормить» предлагает проект правила: каждый отказ фиксируется; в тот же приём предлагается альтернатива; три отказа подряд — осмотр врача в тот же день; системный недоед (не менее 25 % порции в течение недели) — врач и пересмотр плана; отказ от воды — немедленно [22]. Это проект локального правила, а не норма российского права; клиническая часть — дело врача. Готовая альтернатива в вариативном меню облегчает второй шаг правила.</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Организационно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только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не более 14 часов (16 часов при перекусе) в США [120], не более 11 часов в шведских рекомендациях [128]. Доклад «Не просто накормить» использует рабочий ориентир не более 13 часов [22] —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23"/>
    <w:bookmarkStart w:id="124"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одном дне, как учреждение (кроме ПНИ,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 по постановлению № 1284 [33],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41,8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В пересчёте на базовый продукт 2,91 кг птицы эквивалентны 2,91 / 0,97 = 3,0 кг говядины, и «мясо с учётом замен» составляет 6,0 + 3,0 = 9,0 кг — ровно план дня (100 × 90 г).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ходовая пара гарниров — «картофель или каша» — таблицей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или учитывать гарнирные группы раздельно и выравнивать их в остальные дни недели (сценарий 1, способ 2). Первый путь легче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Если учреждение хочет, чтобы недельная ведомость сходилась без пересчёта, пары между группами (мясо — птица) должны чередоваться с днями, где птица и так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24"/>
    <w:bookmarkStart w:id="125"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[54]. Закупка продуктов для питания проживающих — закупка для оказания услуги конкретным получателям, то есть для нужд самого учреждения; по логике постановления АС Дальневосточного округа № Ф03-3556/25 она остаётся в контуре 223-ФЗ (толкование; текст определения ВС № 303-ЭС25-15393 не проверен) [56, 60].</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 норма × число жителей × число дней. Для 100 жителей на 91 день: мясо 90 г × 100 × 91 = 819 кг нетто, рыба 41,8 г × 100 × 91 ≈ 380 кг нетто (иллюстративная арифметика по нормам № 1284 [33]). Если поставщик продаёт брутто, объём закупки пересчитывается учреждением по его собственным коэффициентам отходов; для иллюстрации по коэффициентам ленинградского приказа (мясо 0,705, рыба 0,550 [45]) это около 1 162 кг мяса и 692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рыбы — увеличится примерно на 147 кг (+38,6 %) (иллюстративная арифметика: 13 × 9,0 кг и 13 × 11,3 кг). Такой сдвиг не помещается в 10-процентный коридор изменения количества по 44-ФЗ (подп. «б» п. 1 ч. 1 ст. 95) [53]; это главный довод за то,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Разумная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группе № 1284 [33]), и устанавливаются цена единицы и максимальная сумма договора;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Та же логика — в шведских национальных рекомендациях: «базовое меню» с несколькими блюдами на выбор служит одновременно основой расчёта пищевой ценности на уровне группы и основой закупки [128].</w:t>
      </w:r>
    </w:p>
    <w:p>
      <w:pPr>
        <w:pStyle w:val="BodyText"/>
      </w:pPr>
      <w:r>
        <w:rPr>
          <w:b/>
          <w:bCs/>
        </w:rPr>
        <w:t xml:space="preserve">Шаг 4. Что записать в положение о закупке.</w:t>
      </w:r>
      <w:r>
        <w:t xml:space="preserve"> </w:t>
      </w:r>
      <w:r>
        <w:t xml:space="preserve">Возможность рамочного договора с ценой единицы и заявочной поставкой; порядок изменения количества по отдельным позициям в пределах цены договора; основание для закупки у единственного поставщика при срыве поставки (если положение это допускает). Без этих пунктов гибкость 223-ФЗ остаётся на бумаге: её задаёт текст положения, а не закон [54].</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[65, 66]. Связь размера лота с риском сговора — толкование, но дробление лотов по группам продуктов служит сразу и вариативному меню, и конкуренции. Обратный риск — искусственное дробление для ухода от конкурентных процедур; критерии допустимого дробления устанавливает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25"/>
    <w:bookmarkStart w:id="126"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[47]. Ниже показано,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[47]</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технологические документы на каждый вариант (п. 11), бракераж (подп. 13 п. 56), время с момента изготовления до раздачи (п. 32), отсутствие реализации остатков (п. 32) [3]. Роструд — для государственной организации субъекта, орган субъекта — для негосударственного поставщика (п. 8.3–8.4): выполнение норм питания по ведомости, условия для соблюдения поста (подп. 15 п. 20 Правил, утверждённых приказом № 305н), соответствие организации питания порядку предоставления услуг (вопросы 64, 75, 65 проверочного листа) [27, 38]. Учредитель: обоснование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находят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только в ходе проверки, на омлет существовали две карты с разной рецептурой; при закладке не докладывали продукты (маргарин в омлет, сахар в какао) и заменяли их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Отбирать ли суточную пробу каждого варианта на собственном пищеблоке организации социального обслуживания, при том что прямой нормы об этом для таких организаций в разделе VII СанПиН 4282-26 нет (п. 2.7, сценарий 5), — оставлено открытым по решению автора. Нижегородское положение отвечает на него положительно для единого меню («от каждой партии… отдельно каждое блюдо») [47];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26"/>
    <w:bookmarkStart w:id="127"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 в стандарте DGE [126]. Порционирование в отделении допускается только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[47].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 35–42 минуты на жителя за приём пищи против 5–9 минут при обычном уходе; перекус между приёмами — 12–13 минут [112–115].</w:t>
      </w:r>
    </w:p>
    <w:p>
      <w:pPr>
        <w:pStyle w:val="BodyText"/>
      </w:pPr>
      <w:r>
        <w:rPr>
          <w:b/>
          <w:bCs/>
        </w:rPr>
        <w:t xml:space="preserve">Иллюстрация (условное отделение на 60 жителей).</w:t>
      </w:r>
      <w:r>
        <w:t xml:space="preserve"> </w:t>
      </w:r>
      <w:r>
        <w:t xml:space="preserve">40 жителей едят самостоятельно и подходят к линии; 14 нуждаются в подсказке и присутствии сотрудника; 6 нуждаются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может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[112–115]). В трёхчасовое окно п. 32 при этом укладываются 4–5 сотрудников, занятых только помощью при еде (иллюстративная арифметика: 700–840 мин / 180 мин). Это не норматив, а проверка реализма: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 меньше половины нижней границы времени помощи (35 минут), при которой в американских исследованиях рос объём съеденного [112–115]. Сопоставление условно: исследования измеряли иное вмешательство и иную группу жителей (толкование). Но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Разделить приём пищи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переносить в момент, когда на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[113, 115].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27"/>
    <w:bookmarkStart w:id="128"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[93]; в австралийских — выбор был особенно низок у жителей на протёртой пище [88]. Для ПНИ и ДСО, где многие жители не говорят или говорят с трудом, это вопрос не второстепенный.</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[126]; лондонские дома — сбор предпочтений при поступлении [93];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[126]</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[128]</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источник сведений и дата (биография — родственник, 03.2026); наблюдение (за 10 обедов с показом двух вариантов — выбор рыбного блюда 7 раз, отказ от второго блюда 1 раз); вывод на ближайший месяц; дата пересмотра. Карта прикладывается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только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[132]. Наблюдаемый отказ (отодвинутая порция, сжатые губы) — тоже выражение предпочтения; по правилу об отказах (сценарий 10) его фиксируют, а как реагировать, решает врач.</w:t>
      </w:r>
    </w:p>
    <w:p>
      <w:pPr>
        <w:pStyle w:val="BodyText"/>
      </w:pPr>
      <w:r>
        <w:rPr>
          <w:b/>
          <w:bCs/>
        </w:rPr>
        <w:t xml:space="preserve">Открытые вопросы для автора и РГ.</w:t>
      </w:r>
      <w:r>
        <w:t xml:space="preserve"> </w:t>
      </w:r>
      <w:r>
        <w:t xml:space="preserve">По решению автора остаются открытыми и явно помеченными: (1) кто принимает решение о выборе за жителя, который не может выразить предпочтение, — сотрудник по карте, законный представитель или комиссия, и как это соотносится с дееспособностью и ролью опекуна; (2) как формулировать в локальных актах пределы вмешательства при отказе от еды, чтобы исключить и оставление без помощи, и кормление против воли. В докладе «Не просто накормить» по первому вопросу содержится внутреннее противоречие о приоритете биографии и текущего предпочтения (сценарий 10) [22]; оно не снимается и здесь.</w:t>
      </w:r>
    </w:p>
    <w:p>
      <w:pPr>
        <w:pStyle w:val="BodyText"/>
      </w:pPr>
      <w:r>
        <w:rPr>
          <w:b/>
          <w:bCs/>
        </w:rPr>
        <w:t xml:space="preserve">Классы.</w:t>
      </w:r>
      <w:r>
        <w:t xml:space="preserve"> </w:t>
      </w:r>
      <w:r>
        <w:t xml:space="preserve">Норма — ст. 16 442-ФЗ (индивидуальная программа). Рекомендация — карта предпочтений, показ двух порций, пересмотр. Открытые вопросы — субъект решения и формулировки об отказе.</w:t>
      </w:r>
    </w:p>
    <w:bookmarkEnd w:id="128"/>
    <w:bookmarkStart w:id="129"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решает за него, какой пост и как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6"/>
        </w:numPr>
      </w:pPr>
      <w:r>
        <w:rPr>
          <w:b/>
          <w:bCs/>
        </w:rPr>
        <w:t xml:space="preserve">Рыбные дни.</w:t>
      </w:r>
      <w:r>
        <w:t xml:space="preserve"> </w:t>
      </w:r>
      <w:r>
        <w:t xml:space="preserve">По приложению № 11 100 г говядины заменяются 125 г трески [3]; порция трески — 75 × 1,25 ≈ 94 г. За неделю: −1,8 кг мяса, +2,25 кг рыбы (12 × 75 г × 2 и 12 × 94 г × 2). Это замена, предусмотренная таблицей, и она отражается в ведомости строкой «с учётом замен» (сценарий 11).</w:t>
      </w:r>
    </w:p>
    <w:p>
      <w:pPr>
        <w:pStyle w:val="Compact"/>
        <w:numPr>
          <w:ilvl w:val="0"/>
          <w:numId w:val="1016"/>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то есть увеличивает её расход, а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6"/>
        </w:numPr>
      </w:pPr>
      <w:r>
        <w:rPr>
          <w:b/>
          <w:bCs/>
        </w:rPr>
        <w:t xml:space="preserve">Масштаб.</w:t>
      </w:r>
      <w:r>
        <w:t xml:space="preserve"> </w:t>
      </w:r>
      <w:r>
        <w:t xml:space="preserve">Всего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его придётся объяснить.</w:t>
      </w:r>
    </w:p>
    <w:p>
      <w:pPr>
        <w:pStyle w:val="FirstParagraph"/>
      </w:pPr>
      <w:r>
        <w:rPr>
          <w:b/>
          <w:bCs/>
        </w:rPr>
        <w:t xml:space="preserve">Как оформить (рекомендация).</w:t>
      </w:r>
      <w:r>
        <w:t xml:space="preserve"> </w:t>
      </w:r>
      <w:r>
        <w:t xml:space="preserve">В локальном акте о питании — пункт о порядке заявления жителем о соблюдении поста и о перечне постных вариантов; в меню периода — постные блюда как варианты, а не как отдельная «постная кухня» (сценарий 10); в ведомости — отдельная строка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нельзя сбалансировать обязанность по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а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29"/>
    <w:bookmarkStart w:id="130"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требуют измерений, а российские кейсы (п. 4.11) их не публикуют. Отчасти потому, что в отечественном социальном обслуживании нет общепринятых инструментов, оценивающих питание глазами жителя. В зарубежной литературе они есть; ниже — те, чьи свойства проверены по публикациям, с оценкой применимости. Валидированных русскоязычных версий этих инструментов найти не удалось, поэтому их использование в российском учреждении — адаптация, а не готовая методика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разных предмета, и путать их нельзя: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которое измеряет только первое, знает, что популярно, но не знает, что съедено; учреждение, которое измеряет только удовлетворённость, не увидит, если жители довольны, но недоедают.</w:t>
      </w:r>
    </w:p>
    <w:p>
      <w:pPr>
        <w:pStyle w:val="BodyText"/>
      </w:pPr>
      <w:r>
        <w:rPr>
          <w:b/>
          <w:bCs/>
        </w:rPr>
        <w:t xml:space="preserve">Отходы с тарелки.</w:t>
      </w:r>
      <w:r>
        <w:t xml:space="preserve"> </w:t>
      </w:r>
      <w:r>
        <w:t xml:space="preserve">Это самый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[105].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сам цвет посуды был связан с разной долей несъеденного: от 26 % на белой тарелке до 9 % на белой тарелке с жёлтым ободком и красным кольцом [105]. Результат приведён не как совет покупать цветную посуду, а как напоминание: при сравнении «до» и «после» внедрения выбора посуда, порция и способ подачи должны оставаться прежними,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[133]. Вариативное меню затрагивает сразу три из этих групп, поэтому эффект его внедрения нельзя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Это масса блюд, приготовленных, но не розданных. В исследовании Wheeler и соавт. именно этот показатель вырос при переходе к выбору в момент еды (с 55 до 90 г на жителя в день) [85]. Российскому учреждению его измерить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невозможно отличить «вариант Б непопулярен» от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[134]. Wright и соавт. использовали Resident Foodservice Satisfaction Questionnaire и связали удовлетворённость с числом вариантов и со временем между выбором и подачей [87]. Wheeler и соавт. обошлись пятибалльной шкалой Лайкерта [85]. Для российского учреждения, где значительная часть жителей не может заполнить многостраничную анкету, реалистичны короткая шкала по нескольким вопросам, которую заполняет сам житель или сотрудник со слов жителя,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 пример упрощённого инструмента изучения предпочтений;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[135]. Опросник дополняет анкеты для жителей и для персонала, разработанные той же университетской группой [135]. Русскоязычной версии нет; для учреждения ценна сама идея — спрашивать родственников отдельно и отдельно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предлагают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[128].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[126]. При этом расчёт фактически съеденного по меню и отходам систематически завышает потребление: в японском исследовании CLEVER — в среднем на 232 ккал в сутки (15,3 %) по сравнению с методом дважды меченой воды [107]. Снижение возвратов после введения выбора — довод в пользу выбора, но не доказательство того,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который заполняет обученный наблюдатель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более ориентированными на отношения практиками в общих отделениях, но не в отделениях для людей с деменцией; авторы предполагают, что там решающую роль играет подготовка персонала [136].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[137]. Вывод для российского ДСО простой: изменения среды приёма пищи поддаются наблюдению по чек-листу, и его можно вести силами учреждения,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потому, что учреждение её уже ведёт; толкует её врач. Научного исследования эти показатели не составляют: без контрольной группы и при малой выборке они показывают направление изменений и позволяют заметить вред, но не доказывают эффект выбора.</w:t>
      </w:r>
    </w:p>
    <w:bookmarkEnd w:id="130"/>
    <w:bookmarkEnd w:id="131"/>
    <w:bookmarkStart w:id="148" w:name="контроль-кто-и-что-проверяет"/>
    <w:p>
      <w:pPr>
        <w:pStyle w:val="Heading1"/>
      </w:pPr>
      <w:r>
        <w:rPr>
          <w:rStyle w:val="SectionNumber"/>
        </w:rPr>
        <w:t xml:space="preserve">8</w:t>
      </w:r>
      <w:r>
        <w:tab/>
      </w:r>
      <w:r>
        <w:t xml:space="preserve">Контроль: кто и что проверяет</w:t>
      </w:r>
    </w:p>
    <w:bookmarkStart w:id="132"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и каждый смотрит на своё. Большинство конфликтов при проверках рождается из путаницы предметов: учреждение отвечает санитарному инспектору о качестве социальной услуги, а ведомственному контролёру — о санитарных нормах.</w:t>
      </w:r>
    </w:p>
    <w:bookmarkEnd w:id="132"/>
    <w:bookmarkStart w:id="133"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 — соблюдение обязательных требований СанПиН 4282-26 и других санитарных правил: приём продукции, условия хранения, поточность, температуры,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но каждое блюдо проверяется по общим правилам (сценарий 5). Ответственность — ст. 6.6 КоАП (п. 2.11).</w:t>
      </w:r>
    </w:p>
    <w:bookmarkEnd w:id="133"/>
    <w:bookmarkStart w:id="134"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которое вступило в силу 01.07.2021 [138]. Предмет контроля в обоих случаях один: соблюдение требований 442-ФЗ, иных федеральных актов и актов субъекта, регулирующих социальное обслуживание, — то есть и региональных норм питания (ч. 2 ст. 33 442-ФЗ; п. 2 Положения) [24, 138].</w:t>
      </w:r>
    </w:p>
    <w:p>
      <w:pPr>
        <w:pStyle w:val="BodyText"/>
      </w:pPr>
      <w:r>
        <w:rPr>
          <w:b/>
          <w:bCs/>
        </w:rPr>
        <w:t xml:space="preserve">Исправление.</w:t>
      </w:r>
      <w:r>
        <w:t xml:space="preserve"> </w:t>
      </w:r>
      <w:r>
        <w:t xml:space="preserve">В предыдущей версии этой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проверяющий орган —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 регионального контроля Комитета по социальной политике —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[139].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[38].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[38]. Косвенно к питанию относятся вопросы 65 (соблюдение порядка предоставления социальных услуг) и 70 (услуги в объёмах не менее установленных стандартом) [38].</w:t>
      </w:r>
    </w:p>
    <w:p>
      <w:pPr>
        <w:pStyle w:val="BodyText"/>
      </w:pPr>
      <w:r>
        <w:t xml:space="preserve">Выводы для вариативного меню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один раз — в вопросе 46, применительно к размещению по спальням [38]; это та же асимметрия, что в самих Правилах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ограничивает проверку: приказ прямо оговаривает, что выездные проверки не сводятся к вопросам листа [38].</w:t>
      </w:r>
    </w:p>
    <w:bookmarkEnd w:id="134"/>
    <w:bookmarkStart w:id="135"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 — те же обязательные требования, включая региональные нормы питания, но в отношении негосударственных организаций и индивидуальных предпринимателей [24, 139]. Для вариативного меню это различие важно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35"/>
    <w:bookmarkStart w:id="136"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меняет структуру расходов на питание, штат или оборудование. Для государственного дома-интерната субъекта учредитель — тот же орган, который в отношении негосударственных поставщиков осуществляет региональный контроль: в Санкт-Петербурге — Комитет по социальной политике (п. 1.3 Положения по постановлению № 985) [139]. Петербургское сообщение о вариативном меню прозвучало на заседании рабочей группы при Комитете по социальной политике [21]; такой формат — учредителя извещают и с ним обсуждают — снижает риск, что практику примут за самовольное отступление от порядка.</w:t>
      </w:r>
    </w:p>
    <w:bookmarkEnd w:id="136"/>
    <w:bookmarkStart w:id="137"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В Санкт-Петербурге после отмены полномочия Управления социального питания по региональному контролю за соблюдением норм питания (п. 8.3) [139] у Управления осталась другая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[140]. Это не государственный контроль (надзор) по 248-ФЗ, а оценка с рекомендациями и мониторингом их исполнения (толкование по тексту отчёта).</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[140]. Учреждению присваивается категория: высшая (100 баллов), 1-я (85–99), 2-я (60–84), 3-я (30–59), 4-я (менее 30) [140].</w:t>
      </w:r>
    </w:p>
    <w:p>
      <w:pPr>
        <w:pStyle w:val="BodyText"/>
      </w:pPr>
      <w:r>
        <w:rPr>
          <w:b/>
          <w:bCs/>
        </w:rPr>
        <w:t xml:space="preserve">Результаты.</w:t>
      </w:r>
      <w:r>
        <w:t xml:space="preserve"> </w:t>
      </w:r>
      <w:r>
        <w:t xml:space="preserve">За первое полугодие 2025 г. проведено 418 оценок; в учреждениях социального обслуживания населения — 15, из них 7 получили 1-ю категорию и 8 — 2-ю; средний балл учреждений социального обслуживания (83,83) — самый низкий среди всех типов учреждений при общем среднем 88,02 [140]. По всем учреждениям выдано 1 564 рекомендации; 232 из них связаны с технологией приготовления, и среди оснований названы ошибки в технологической документации и бракеражном журнале и «факты несоответствия ежедневных меню цикличному меню» [140]. Учреждения по итогам претензионной работы выставили поставщикам штрафы на 1 754 034,89 руб. за полугодие [140].</w:t>
      </w:r>
    </w:p>
    <w:p>
      <w:pPr>
        <w:pStyle w:val="BodyText"/>
      </w:pPr>
      <w:r>
        <w:t xml:space="preserve">Для вариативного меню из этой процедуры следуют два вывода (толкование). Первый: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а аналогичного механизма участия жителей учреждений социального обслуживания отчёт не описывает [140]. Второй: несоответствие ежедневного меню цикличному фиксируется как недочёт. Поэтому учреждению, вводящему выбор, надо оформить варианты внутри утверждённого цикличного меню (оба — позициями цикла), а не как отступление от него, иначе в отчёте вариативность предстанет нарушением (рекомендация; противоречие внесено в гл. 9).</w:t>
      </w:r>
    </w:p>
    <w:bookmarkEnd w:id="137"/>
    <w:bookmarkStart w:id="138"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 —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 такой проверки —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у каждой замены должно быть документальное основание (сценарий 13).</w:t>
      </w:r>
    </w:p>
    <w:bookmarkEnd w:id="138"/>
    <w:bookmarkStart w:id="139"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[63]. Прокурорский контроль может работать в обе стороны: проверить качество питания и проверить, соблюдаются ли права жителей, предусмотренные ст. 9 442-ФЗ и (для ПНИ) ст. 37 Закона № 3185-1.</w:t>
      </w:r>
    </w:p>
    <w:bookmarkEnd w:id="139"/>
    <w:bookmarkStart w:id="140"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территориальные органы контролируют закупки и выявляют картели на торгах продуктами (п. 2.11) [65, 66]. Для вариативного меню риск в том, что спецификацию, составленную под конкретный вариант блюда, сочтут ограничивающей конкуренцию.</w:t>
      </w:r>
    </w:p>
    <w:bookmarkEnd w:id="140"/>
    <w:bookmarkStart w:id="141"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но создают учреждению публичную репутацию,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[74], а не в организациях социального обслуживания взрослых (п. 3.2).</w:t>
      </w:r>
    </w:p>
    <w:bookmarkEnd w:id="141"/>
    <w:bookmarkStart w:id="142"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который видит вариативное меню каждый день. Опыт Усть-Илимска и «Доброго дома „Солнечногорский“» показывает, что коллегиальный орган по питанию берёт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проверка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суточная проба от каждой партии; раздача не позднее двух часов после приготовления [47]. Все эти процедуры переходят на вариативное меню без изменения сути, только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только каши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[126]. Для внутреннего контроля вариативного меню это естественный показатель: возвраты по каждому варианту показывают, что выбирают и не доедают. Предел показателю ставит японское исследование CLEVER: расчёт потребления по рецептурам и отходам завышал фактическое потребление в среднем на 15,3 % [107], поэтому низкие возвраты не доказывают достаточности питания конкретного жителя (п. 5.9).</w:t>
      </w:r>
    </w:p>
    <w:bookmarkEnd w:id="142"/>
    <w:bookmarkStart w:id="143"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проверяют, как учреждение отвечает на волю жителя, — и смотрят это в реальном приёме пищи.</w:t>
      </w:r>
    </w:p>
    <w:p>
      <w:pPr>
        <w:pStyle w:val="Compact"/>
        <w:numPr>
          <w:ilvl w:val="0"/>
          <w:numId w:val="1017"/>
        </w:numPr>
      </w:pPr>
      <w:r>
        <w:rPr>
          <w:b/>
          <w:bCs/>
        </w:rPr>
        <w:t xml:space="preserve">США.</w:t>
      </w:r>
      <w:r>
        <w:t xml:space="preserve"> </w:t>
      </w:r>
      <w:r>
        <w:t xml:space="preserve">Инспектор наблюдает раздачу с первого приёма пищи после прибытия и при отказе жителя от блюда устанавливает, предложена ли замена; опрашивает жителей о соответствии еды их предпочтениям и персонал — о том, как сведения о предпочтениях доходят до кухни; при выявлении нарушения проверяет, учтены ли предпочтения в оценке и плане ухода [121, 122].</w:t>
      </w:r>
    </w:p>
    <w:p>
      <w:pPr>
        <w:pStyle w:val="Compact"/>
        <w:numPr>
          <w:ilvl w:val="0"/>
          <w:numId w:val="1017"/>
        </w:numPr>
      </w:pPr>
      <w:r>
        <w:rPr>
          <w:b/>
          <w:bCs/>
        </w:rPr>
        <w:t xml:space="preserve">Онтарио.</w:t>
      </w:r>
      <w:r>
        <w:t xml:space="preserve"> </w:t>
      </w:r>
      <w:r>
        <w:t xml:space="preserve">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[124].</w:t>
      </w:r>
    </w:p>
    <w:p>
      <w:pPr>
        <w:pStyle w:val="Compact"/>
        <w:numPr>
          <w:ilvl w:val="0"/>
          <w:numId w:val="1017"/>
        </w:numPr>
      </w:pPr>
      <w:r>
        <w:rPr>
          <w:b/>
          <w:bCs/>
        </w:rPr>
        <w:t xml:space="preserve">Англия.</w:t>
      </w:r>
      <w:r>
        <w:t xml:space="preserve"> </w:t>
      </w:r>
      <w:r>
        <w:t xml:space="preserve">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[118].</w:t>
      </w:r>
    </w:p>
    <w:p>
      <w:pPr>
        <w:pStyle w:val="Compact"/>
        <w:numPr>
          <w:ilvl w:val="0"/>
          <w:numId w:val="1017"/>
        </w:numPr>
      </w:pPr>
      <w:r>
        <w:rPr>
          <w:b/>
          <w:bCs/>
        </w:rPr>
        <w:t xml:space="preserve">Швеция.</w:t>
      </w:r>
      <w:r>
        <w:t xml:space="preserve"> </w:t>
      </w:r>
      <w:r>
        <w:t xml:space="preserve">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[128].</w:t>
      </w:r>
    </w:p>
    <w:p>
      <w:pPr>
        <w:pStyle w:val="Compact"/>
        <w:numPr>
          <w:ilvl w:val="0"/>
          <w:numId w:val="1017"/>
        </w:numPr>
      </w:pPr>
      <w:r>
        <w:rPr>
          <w:b/>
          <w:bCs/>
        </w:rPr>
        <w:t xml:space="preserve">Дания.</w:t>
      </w:r>
      <w:r>
        <w:t xml:space="preserve"> </w:t>
      </w:r>
      <w:r>
        <w:t xml:space="preserve">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[129].</w:t>
      </w:r>
    </w:p>
    <w:p>
      <w:pPr>
        <w:pStyle w:val="Compact"/>
        <w:numPr>
          <w:ilvl w:val="0"/>
          <w:numId w:val="1017"/>
        </w:numPr>
      </w:pPr>
      <w:r>
        <w:rPr>
          <w:b/>
          <w:bCs/>
        </w:rPr>
        <w:t xml:space="preserve">Япония.</w:t>
      </w:r>
      <w:r>
        <w:t xml:space="preserve"> </w:t>
      </w:r>
      <w:r>
        <w:t xml:space="preserve">Для «особого питания» по выбору проверяемы формальные гарантии: публичное объявление содержания и цены, согласие, подтверждение врача, отсутствие ухудшения обычного питания [132].</w:t>
      </w:r>
    </w:p>
    <w:p>
      <w:pPr>
        <w:pStyle w:val="FirstParagraph"/>
      </w:pPr>
      <w:r>
        <w:t xml:space="preserve">Ни одна из этих процедур не требует определённого числа блюд. Общий знаменатель — наблюдение приёма пищи, опрос жителя и проверка связи между записанным предпочтением и тем, что подали (толкование).</w:t>
      </w:r>
    </w:p>
    <w:bookmarkEnd w:id="143"/>
    <w:bookmarkStart w:id="144"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придётся сделать самому. Ниже — вопросы, составленные по образцу американской формы CMS-20053 и онтарийского протокола [122, 124] и привязанные к российским основаниям там, где они есть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[124]</w:t>
            </w:r>
          </w:p>
        </w:tc>
        <w:tc>
          <w:tcPr/>
          <w:p>
            <w:pPr>
              <w:pStyle w:val="Compact"/>
            </w:pPr>
            <w:r>
              <w:t xml:space="preserve">Вопрос 17 проверочного листа Роструда — открытость информации об условиях питания [38]</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[122, 124]</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[121, 122]</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[122, 124]</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[124]</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[122]</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[124]</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[121]</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38]</w:t>
            </w:r>
          </w:p>
        </w:tc>
      </w:tr>
    </w:tbl>
    <w:p>
      <w:pPr>
        <w:pStyle w:val="BodyText"/>
      </w:pPr>
      <w:r>
        <w:t xml:space="preserve">Ответы фиксируются по одному наблюдению на отделение в неделю (рекомендация). Чек-лист дополняет, а не заменяет бракераж, взвешивание порций и суточную пробу.</w:t>
      </w:r>
    </w:p>
    <w:bookmarkEnd w:id="144"/>
    <w:bookmarkStart w:id="145"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разным контролёрам. Ниже — какое звено на чей вопрос отвечает (толкование; формы — по нижегородскому положению [47]).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[38]</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[47]</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[126]</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[38]</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[38]</w:t>
            </w:r>
          </w:p>
        </w:tc>
        <w:tc>
          <w:tcPr/>
          <w:p>
            <w:pPr>
              <w:pStyle w:val="Compact"/>
            </w:pPr>
            <w:r>
              <w:t xml:space="preserve">—</w:t>
            </w:r>
          </w:p>
        </w:tc>
        <w:tc>
          <w:tcPr/>
          <w:p>
            <w:pPr>
              <w:pStyle w:val="Compact"/>
            </w:pPr>
            <w:r>
              <w:t xml:space="preserve">Пересмотр меню</w:t>
            </w:r>
          </w:p>
        </w:tc>
      </w:tr>
    </w:tbl>
    <w:bookmarkEnd w:id="145"/>
    <w:bookmarkStart w:id="146"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[38]. Проверяющий вправе спросить, как житель, соблюдающий пост, получает питание; учреждение без вариативного или индивидуального постного варианта должно показать иной способ (толкование). Одновременно вопрос 64 того же листа проверяет выполнение региональных норм питания [38],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Выходит, что два вопроса одного проверочного листа могут требовать от учреждения трудно совместимого: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список жителей, заявивших о соблюдении поста (с датой и подписью или отметкой о способе выражения воли); постный вариант в утверждённом меню; накопительная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46"/>
    <w:bookmarkStart w:id="147" w:name="сводка"/>
    <w:p>
      <w:pPr>
        <w:pStyle w:val="Heading2"/>
      </w:pPr>
      <w:r>
        <w:rPr>
          <w:rStyle w:val="SectionNumber"/>
        </w:rPr>
        <w:t xml:space="preserve">8.16</w:t>
      </w:r>
      <w:r>
        <w:tab/>
      </w:r>
      <w:r>
        <w:t xml:space="preserve">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47"/>
    <w:bookmarkEnd w:id="148"/>
    <w:bookmarkStart w:id="152"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49"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предшествующие аналитические записки и рабочая база знаний проекта — писались в разное время, разными методами и при разном доступе к источникам, и расхождения между ними неизбежны. Ниже они перечислены без сглаживания: в чём расхождение, как его разрешает первоисточник и что остаётся открытым. Номера в скобках — пункты перечня противоречий рабочей базы знаний [23], где он есть.</w:t>
      </w:r>
    </w:p>
    <w:bookmarkEnd w:id="149"/>
    <w:bookmarkStart w:id="150"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канон,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(канон) (15)</w:t>
            </w:r>
          </w:p>
        </w:tc>
        <w:tc>
          <w:tcPr/>
          <w:p>
            <w:pPr>
              <w:pStyle w:val="Compact"/>
            </w:pPr>
            <w:r>
              <w:t xml:space="preserve">Общая и специальная нормы; для организации питания — ст. 6.6 [62]</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(канон)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[34]</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v2</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[85];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[74]</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(канон [22])</w:t>
            </w:r>
          </w:p>
        </w:tc>
        <w:tc>
          <w:tcPr/>
          <w:p>
            <w:pPr>
              <w:pStyle w:val="Compact"/>
            </w:pPr>
            <w:r>
              <w:t xml:space="preserve">8,00 — весь кейтеринг; сырьё — 6,08 [116]</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[53]</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(канон, гл. 15.4) против текущего предпочтения первым (гл. 15.9) (2)</w:t>
            </w:r>
          </w:p>
        </w:tc>
        <w:tc>
          <w:tcPr/>
          <w:p>
            <w:pPr>
              <w:pStyle w:val="Compact"/>
            </w:pPr>
            <w:r>
              <w:t xml:space="preserve">Первоисточник права не даёт ответа</w:t>
            </w:r>
          </w:p>
        </w:tc>
        <w:tc>
          <w:tcPr/>
          <w:p>
            <w:pPr>
              <w:pStyle w:val="Compact"/>
            </w:pPr>
            <w:r>
              <w:t xml:space="preserve">Открыто; решение автора</w:t>
            </w:r>
          </w:p>
        </w:tc>
      </w:tr>
      <w:tr>
        <w:tc>
          <w:tcPr/>
          <w:p>
            <w:pPr>
              <w:pStyle w:val="Compact"/>
            </w:pPr>
            <w:r>
              <w:t xml:space="preserve">18</w:t>
            </w:r>
          </w:p>
        </w:tc>
        <w:tc>
          <w:tcPr/>
          <w:p>
            <w:pPr>
              <w:pStyle w:val="Compact"/>
            </w:pPr>
            <w:r>
              <w:t xml:space="preserve">«Принудительное кормление запрещено» (канон) против «прямого запрета не найдено» (аудиторский слой) (9)</w:t>
            </w:r>
          </w:p>
        </w:tc>
        <w:tc>
          <w:tcPr/>
          <w:p>
            <w:pPr>
              <w:pStyle w:val="Compact"/>
            </w:pPr>
            <w:r>
              <w:t xml:space="preserve">Прямого запрета в проверенных актах не найдено; ст. 5 ч. 2 Закона № 3185-1 гарантирует гуманное отношение, исключающее унижение достоинства [26]</w:t>
            </w:r>
          </w:p>
        </w:tc>
        <w:tc>
          <w:tcPr/>
          <w:p>
            <w:pPr>
              <w:pStyle w:val="Compact"/>
            </w:pPr>
            <w:r>
              <w:t xml:space="preserve">Открыто; требует правовой экспертизы</w:t>
            </w:r>
          </w:p>
        </w:tc>
      </w:tr>
      <w:tr>
        <w:tc>
          <w:tcPr/>
          <w:p>
            <w:pPr>
              <w:pStyle w:val="Compact"/>
            </w:pPr>
            <w:r>
              <w:t xml:space="preserve">19</w:t>
            </w:r>
          </w:p>
        </w:tc>
        <w:tc>
          <w:tcPr/>
          <w:p>
            <w:pPr>
              <w:pStyle w:val="Compact"/>
            </w:pPr>
            <w:r>
              <w:t xml:space="preserve">Календарь пилота: 90 дней (канон)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(канон) / на приём или заказ заранее (первая редакция) / на период (предшествующая записка) (6)</w:t>
            </w:r>
          </w:p>
        </w:tc>
        <w:tc>
          <w:tcPr/>
          <w:p>
            <w:pPr>
              <w:pStyle w:val="Compact"/>
            </w:pPr>
            <w:r>
              <w:t xml:space="preserve">Определения разных слоёв; v2 использует каноническое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канона)</w:t>
            </w:r>
          </w:p>
        </w:tc>
        <w:tc>
          <w:tcPr/>
          <w:p>
            <w:pPr>
              <w:pStyle w:val="Compact"/>
            </w:pPr>
            <w:r>
              <w:t xml:space="preserve">№ 1068 — приказ Департамента социальной защиты населения Москвы от 24.12.2014, а не постановление «-ПП» [75]; в приказе № 228 прочитаны п. 1–2.1, в том числе допуск ±5 % калорийности по приёмам пищи при соблюдении среднего за неделю [67]; текст № 1068 прочитан: брутто, три графы, в том числе психоневрологические организации [76]. Оба приказа — акты одного ведомства, иерархии между ними нет; № 228 утверждает нормы для тех же адресатов позднее [67, 76]</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канона)</w:t>
            </w:r>
          </w:p>
        </w:tc>
        <w:tc>
          <w:tcPr/>
          <w:p>
            <w:pPr>
              <w:pStyle w:val="Compact"/>
            </w:pPr>
            <w:r>
              <w:t xml:space="preserve">Реквизиты по первой редакции и международной базе FAOLEX — приказ [80]</w:t>
            </w:r>
          </w:p>
        </w:tc>
        <w:tc>
          <w:tcPr/>
          <w:p>
            <w:pPr>
              <w:pStyle w:val="Compact"/>
            </w:pPr>
            <w:r>
              <w:t xml:space="preserve">Вероятно снято; требует сверки</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[45]</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138]; в Санкт-Петербурге полномочие Управления социального питания по контролю норм питания отменено с 01.01.2022 [139]</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[57])</w:t>
            </w:r>
          </w:p>
        </w:tc>
        <w:tc>
          <w:tcPr/>
          <w:p>
            <w:pPr>
              <w:pStyle w:val="Compact"/>
            </w:pPr>
            <w:r>
              <w:t xml:space="preserve">Постановление округа ставит критерием цель закупки, а не источник денег [56]; комментарий ГАРАНТ.РУ делает более узкий вывод [60]; блог неверно излагает предмет договора и позицию апелляции; под этим номером в открытой базе найдено только определение об отсрочке госпошлины [58]; дата (28.01.2026) и итог подтверждены вторым вторичным источником, который излагает позицию через цель закупки [59]</w:t>
            </w:r>
          </w:p>
        </w:tc>
        <w:tc>
          <w:tcPr/>
          <w:p>
            <w:pPr>
              <w:pStyle w:val="Compact"/>
            </w:pPr>
            <w:r>
              <w:t xml:space="preserve">Частично снято: отказ подтверждён вторично; текст определения по существу не найден; вывод п. 2.10 — толкование</w:t>
            </w:r>
          </w:p>
        </w:tc>
      </w:tr>
      <w:tr>
        <w:tc>
          <w:tcPr/>
          <w:p>
            <w:pPr>
              <w:pStyle w:val="Compact"/>
            </w:pPr>
            <w:r>
              <w:t xml:space="preserve">34</w:t>
            </w:r>
          </w:p>
        </w:tc>
        <w:tc>
          <w:tcPr/>
          <w:p>
            <w:pPr>
              <w:pStyle w:val="Compact"/>
            </w:pPr>
            <w:r>
              <w:t xml:space="preserve">Тарифы на питание в Санкт-Петербурге при неизменных нормах № 1284: разница «с СБКС / без СБКС» в ПНИ 90,77 руб. (2025) и 43,21 руб. (2026); тариф ПНИ выше общего в 2025 г. и ниже в 2026 г.</w:t>
            </w:r>
          </w:p>
        </w:tc>
        <w:tc>
          <w:tcPr/>
          <w:p>
            <w:pPr>
              <w:pStyle w:val="Compact"/>
            </w:pPr>
            <w:r>
              <w:t xml:space="preserve">Нормы с 27.06.2022 не менялись [33]; тарифы — [72, 73]; методика расчёта не опубликована</w:t>
            </w:r>
          </w:p>
        </w:tc>
        <w:tc>
          <w:tcPr/>
          <w:p>
            <w:pPr>
              <w:pStyle w:val="Compact"/>
            </w:pPr>
            <w:r>
              <w:t xml:space="preserve">Открыто: причина изменения не установлена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[126]</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против включения в общую норму (Санкт-Петербург, Ленинградская обл., ХМАО — Югра по ред. 2014 г.)</w:t>
            </w:r>
          </w:p>
        </w:tc>
        <w:tc>
          <w:tcPr/>
          <w:p>
            <w:pPr>
              <w:pStyle w:val="Compact"/>
            </w:pPr>
            <w:r>
              <w:t xml:space="preserve">Разные региональные модели [33, 45, 46, 69]; в действующей редакции ХМАО (2017) строка СБКС есть, значение в публичной версии не видно [83]</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38]</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[140]</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Санкт-Петербурга и Нижегородской области — в нетто, Ленинградской области и ХМАО (ред. 2017 г.) — в обеих величинах [33, 44–46, 68, 83]</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[56, 58]</w:t>
            </w:r>
          </w:p>
        </w:tc>
        <w:tc>
          <w:tcPr/>
          <w:p>
            <w:pPr>
              <w:pStyle w:val="Compact"/>
            </w:pPr>
            <w:r>
              <w:t xml:space="preserve">Техническое расхождение</w:t>
            </w:r>
          </w:p>
        </w:tc>
      </w:tr>
    </w:tbl>
    <w:bookmarkEnd w:id="150"/>
    <w:bookmarkStart w:id="151" w:name="что-из-этого-следует-для-читателя"/>
    <w:p>
      <w:pPr>
        <w:pStyle w:val="Heading2"/>
      </w:pPr>
      <w:r>
        <w:rPr>
          <w:rStyle w:val="SectionNumber"/>
        </w:rPr>
        <w:t xml:space="preserve">9.3</w:t>
      </w:r>
      <w:r>
        <w:tab/>
      </w:r>
      <w:r>
        <w:t xml:space="preserve">Что из этого следует для читателя</w:t>
      </w:r>
    </w:p>
    <w:p>
      <w:pPr>
        <w:pStyle w:val="FirstParagraph"/>
      </w:pPr>
      <w:r>
        <w:t xml:space="preserve">Пункты 1–6, 10, 12–14, 21–23, 28, 30–32 и 35 — исправленные факты или восполненные пробелы; вторая редакция пользуется исправленными версиями. Два из них (32 и 35) исправляют ошибки самой второй редакции, найденные при дополнении: правило называть расхождения явно доклад распространяет и на себя. Пункты 9, 15, 17, 18, 24, 26, 29, 33, 34, 37 и 38 — открытые вопросы; сверх установленного доклад по ним ничего не утверждает. Пункты 19, 20 и 36 отражают разные задачи, определения или региональные модели и выбирать между ними не требуется; пункты 39 и 40 — методические и технические.</w:t>
      </w:r>
    </w:p>
    <w:bookmarkEnd w:id="151"/>
    <w:bookmarkEnd w:id="152"/>
    <w:bookmarkStart w:id="156"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этого раздела — рекомендации автора как директора учреждения и участника профессиональной дискуссии. Они не выражают позицию Минтруда России, рабочей группы или иного органа и не являются нормами. При каждом предложении сказано, на какую проблему из глав 2–9 оно отвечает и на какой образец опирается; где образца нет, это оговорено.</w:t>
      </w:r>
    </w:p>
    <w:bookmarkStart w:id="153" w:name="федеральный-уровень"/>
    <w:p>
      <w:pPr>
        <w:pStyle w:val="Heading2"/>
      </w:pPr>
      <w:r>
        <w:rPr>
          <w:rStyle w:val="SectionNumber"/>
        </w:rPr>
        <w:t xml:space="preserve">10.1</w:t>
      </w:r>
      <w:r>
        <w:tab/>
      </w:r>
      <w:r>
        <w:t xml:space="preserve">Федеральный уровень</w:t>
      </w:r>
    </w:p>
    <w:p>
      <w:pPr>
        <w:pStyle w:val="Compact"/>
        <w:numPr>
          <w:ilvl w:val="0"/>
          <w:numId w:val="1018"/>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Без общего словаря одну и ту же практику разные проверяющие оценивают по-разному.</w:t>
      </w:r>
    </w:p>
    <w:p>
      <w:pPr>
        <w:pStyle w:val="Compact"/>
        <w:numPr>
          <w:ilvl w:val="0"/>
          <w:numId w:val="1018"/>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или прямо распространить на них приложение № 11 к СанПиН 4282-26. Пока учреждения применяют детскую таблицу по аналогии (п. 2.6).</w:t>
      </w:r>
    </w:p>
    <w:p>
      <w:pPr>
        <w:pStyle w:val="Compact"/>
        <w:numPr>
          <w:ilvl w:val="0"/>
          <w:numId w:val="1018"/>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Единственная найденная региональная опора для взрослых — п. 2.1 московского приказа № 228, допускающий отклонение калорийности по приёмам пищи на ±5 % при соблюдении среднего за неделю [67]; она годится как образец формулировки.</w:t>
      </w:r>
    </w:p>
    <w:p>
      <w:pPr>
        <w:pStyle w:val="Compact"/>
        <w:numPr>
          <w:ilvl w:val="0"/>
          <w:numId w:val="1018"/>
        </w:numPr>
      </w:pPr>
      <w:r>
        <w:rPr>
          <w:b/>
          <w:bCs/>
        </w:rPr>
        <w:t xml:space="preserve">Суточная проба.</w:t>
      </w:r>
      <w:r>
        <w:t xml:space="preserve"> </w:t>
      </w:r>
      <w:r>
        <w:t xml:space="preserve">Устранить пробел о суточной пробе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8"/>
        </w:numPr>
      </w:pPr>
      <w:r>
        <w:rPr>
          <w:b/>
          <w:bCs/>
        </w:rPr>
        <w:t xml:space="preserve">Формула альтернативы.</w:t>
      </w:r>
      <w:r>
        <w:t xml:space="preserve"> </w:t>
      </w:r>
      <w:r>
        <w:t xml:space="preserve">При возможном регулировании выбора опираться не на число блюд, а на формулу «альтернатива сходной пищевой ценности по запросу», известную по американскому праву [120], и на онтарийскую модель цикла меню с выбором, утверждаемого диетологом при участии совета жителей [123]. Американское руководство для инспекторов показывает, что такая формула проверяема: предмет проверки — ответ учреждения на отказ конкретного жителя от блюда [121].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выбрать словами.</w:t>
      </w:r>
    </w:p>
    <w:p>
      <w:pPr>
        <w:pStyle w:val="Compact"/>
        <w:numPr>
          <w:ilvl w:val="0"/>
          <w:numId w:val="1018"/>
        </w:numPr>
      </w:pPr>
      <w:r>
        <w:rPr>
          <w:b/>
          <w:bCs/>
        </w:rPr>
        <w:t xml:space="preserve">Постное питание.</w:t>
      </w:r>
      <w:r>
        <w:t xml:space="preserve"> </w:t>
      </w:r>
      <w:r>
        <w:t xml:space="preserve">Разъяснить, как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Сейчас в проверочном листе Роструда соседствуют вопрос 64 о соблюдении норм питания и вопрос 75 об условиях для соблюдения постов [38], а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Хватило бы дополнить таблицу замен строками растительных источников белка с коэффициентами по белку (предложение 2).</w:t>
      </w:r>
    </w:p>
    <w:p>
      <w:pPr>
        <w:pStyle w:val="Compact"/>
        <w:numPr>
          <w:ilvl w:val="0"/>
          <w:numId w:val="1018"/>
        </w:numPr>
      </w:pPr>
      <w:r>
        <w:rPr>
          <w:b/>
          <w:bCs/>
        </w:rPr>
        <w:t xml:space="preserve">Брутто и нетто.</w:t>
      </w:r>
      <w:r>
        <w:t xml:space="preserve"> </w:t>
      </w:r>
      <w:r>
        <w:t xml:space="preserve">В рекомендуемых нормах (приказ № 520н) и в методических материалах для субъектов прямо указывать, в каких единицах (брутто или нетто) выражена каждая позиция, и рекомендовать субъектам делать то же. Из шести прочитанных региональных актов два выражены в брутто, два в нетто, два в обеих величинах, и сравнивать граммы между ними и с № 520н напрямую нельзя (п. 3.12; гл. 9, позиция 39).</w:t>
      </w:r>
    </w:p>
    <w:p>
      <w:pPr>
        <w:pStyle w:val="Compact"/>
        <w:numPr>
          <w:ilvl w:val="0"/>
          <w:numId w:val="1018"/>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 [85, 105]; пределы отходов как меры съеденного показало исследование CLEVER [107].</w:t>
      </w:r>
    </w:p>
    <w:p>
      <w:pPr>
        <w:pStyle w:val="Compact"/>
        <w:numPr>
          <w:ilvl w:val="0"/>
          <w:numId w:val="1018"/>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[121, 124]. Действующий лист содержит 79 вопросов, из которых ни один не касается учёта предпочтений в питании; предпочтения упомянуты только применительно к размещению в спальнях (вопрос 46) [38]. Такой вопрос не требует от учреждения определённого числа блюд и совместим с действующими нормами.</w:t>
      </w:r>
    </w:p>
    <w:p>
      <w:pPr>
        <w:pStyle w:val="Compact"/>
        <w:numPr>
          <w:ilvl w:val="0"/>
          <w:numId w:val="1018"/>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[128] и онтарийского требования о рассмотрении времени приёмов пищи советом жителей [124].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[140].</w:t>
      </w:r>
    </w:p>
    <w:bookmarkEnd w:id="153"/>
    <w:bookmarkStart w:id="154" w:name="региональный-уровень"/>
    <w:p>
      <w:pPr>
        <w:pStyle w:val="Heading2"/>
      </w:pPr>
      <w:r>
        <w:rPr>
          <w:rStyle w:val="SectionNumber"/>
        </w:rPr>
        <w:t xml:space="preserve">10.2</w:t>
      </w:r>
      <w:r>
        <w:tab/>
      </w:r>
      <w:r>
        <w:t xml:space="preserve">Региональный уровень</w:t>
      </w:r>
    </w:p>
    <w:p>
      <w:pPr>
        <w:pStyle w:val="Compact"/>
        <w:numPr>
          <w:ilvl w:val="0"/>
          <w:numId w:val="1019"/>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Образец локальной формы — таблицы взаимозаменяемости и замены по белкам и углеводам, утверждённые положением нижегородского дома-интерната [47].</w:t>
      </w:r>
    </w:p>
    <w:p>
      <w:pPr>
        <w:pStyle w:val="Compact"/>
        <w:numPr>
          <w:ilvl w:val="0"/>
          <w:numId w:val="1019"/>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хотя бы стоимость набора по группам продуктов. В Санкт-Петербурге при неизменных нормах № 1284 разница между двумя ПНИ-тарифами за год уменьшилась с 90,77 до 43,21 руб., а соотношение тарифов ПНИ и общего поменяло знак; по опубликованным документам нельзя установить, что изменилось — цены или методика (п. 3.2; гл. 9, позиция 34). Без методики учреждение не может доказать учредителю ни того, что выбор стоит денег, ни того, что не стоит.</w:t>
      </w:r>
    </w:p>
    <w:p>
      <w:pPr>
        <w:pStyle w:val="Compact"/>
        <w:numPr>
          <w:ilvl w:val="0"/>
          <w:numId w:val="1019"/>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9"/>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[140]),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9"/>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только описаний.</w:t>
      </w:r>
    </w:p>
    <w:bookmarkEnd w:id="154"/>
    <w:bookmarkStart w:id="155" w:name="уровень-учреждения"/>
    <w:p>
      <w:pPr>
        <w:pStyle w:val="Heading2"/>
      </w:pPr>
      <w:r>
        <w:rPr>
          <w:rStyle w:val="SectionNumber"/>
        </w:rPr>
        <w:t xml:space="preserve">10.3</w:t>
      </w:r>
      <w:r>
        <w:tab/>
      </w:r>
      <w:r>
        <w:t xml:space="preserve">Уровень учреждения</w:t>
      </w:r>
    </w:p>
    <w:p>
      <w:pPr>
        <w:pStyle w:val="Compact"/>
        <w:numPr>
          <w:ilvl w:val="0"/>
          <w:numId w:val="1020"/>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20"/>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20"/>
        </w:numPr>
      </w:pPr>
      <w:r>
        <w:rPr>
          <w:b/>
          <w:bCs/>
        </w:rPr>
        <w:t xml:space="preserve">Закрепить порядок локальным актом</w:t>
      </w:r>
      <w:r>
        <w:t xml:space="preserve"> </w:t>
      </w:r>
      <w:r>
        <w:t xml:space="preserve">до начала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20"/>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20"/>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[126] и опроса семьи у Yaxley и соавт. [135]; эти сведения — основа решений за тех, кто не может выразить выбор (сценарий 15).</w:t>
      </w:r>
    </w:p>
    <w:p>
      <w:pPr>
        <w:pStyle w:val="Compact"/>
        <w:numPr>
          <w:ilvl w:val="0"/>
          <w:numId w:val="1020"/>
        </w:numPr>
      </w:pPr>
      <w:r>
        <w:rPr>
          <w:b/>
          <w:bCs/>
        </w:rPr>
        <w:t xml:space="preserve">Измерять до и после</w:t>
      </w:r>
      <w:r>
        <w:t xml:space="preserve"> </w:t>
      </w:r>
      <w:r>
        <w:t xml:space="preserve">хотя бы отходы с тарелки, возвраты по каждому варианту и распределение выбора (сценарий 8, п. 7.18), помня, что низкие возвраты не доказывают достаточности питания конкретного жителя [107].</w:t>
      </w:r>
    </w:p>
    <w:p>
      <w:pPr>
        <w:pStyle w:val="Compact"/>
        <w:numPr>
          <w:ilvl w:val="0"/>
          <w:numId w:val="1020"/>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[122, 124].</w:t>
      </w:r>
    </w:p>
    <w:p>
      <w:pPr>
        <w:pStyle w:val="Compact"/>
        <w:numPr>
          <w:ilvl w:val="0"/>
          <w:numId w:val="1020"/>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20"/>
        </w:numPr>
      </w:pPr>
      <w:r>
        <w:rPr>
          <w:b/>
          <w:bCs/>
        </w:rPr>
        <w:t xml:space="preserve">Публиковать результаты</w:t>
      </w:r>
      <w:r>
        <w:t xml:space="preserve"> </w:t>
      </w:r>
      <w:r>
        <w:t xml:space="preserve">с датами и числами, включая неудачи. Пока российские сообщения — это описания без измерений (п. 4.11), спор о пользе и вреде выбора останется спором мнений.</w:t>
      </w:r>
    </w:p>
    <w:bookmarkEnd w:id="155"/>
    <w:bookmarkEnd w:id="156"/>
    <w:bookmarkStart w:id="157" w:name="заключение"/>
    <w:p>
      <w:pPr>
        <w:pStyle w:val="Heading1"/>
      </w:pPr>
      <w:r>
        <w:rPr>
          <w:rStyle w:val="SectionNumber"/>
        </w:rPr>
        <w:t xml:space="preserve">11</w:t>
      </w:r>
      <w:r>
        <w:tab/>
      </w:r>
      <w:r>
        <w:t xml:space="preserve">Заключение</w:t>
      </w:r>
    </w:p>
    <w:p>
      <w:pPr>
        <w:pStyle w:val="FirstParagraph"/>
      </w:pPr>
      <w:r>
        <w:t xml:space="preserve">Исследование сводится к десяти выводам. Класс каждого утверждения указан в соответствующем разделе; ссылки, уже приведённые в тексте, здесь повторяются не везде.</w:t>
      </w:r>
    </w:p>
    <w:p>
      <w:pPr>
        <w:numPr>
          <w:ilvl w:val="0"/>
          <w:numId w:val="1021"/>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38, 39, 138].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Поэтому постный вариант блюда в пост — исполнение обязанности, а не инициатива кухни.</w:t>
      </w:r>
    </w:p>
    <w:p>
      <w:pPr>
        <w:numPr>
          <w:ilvl w:val="0"/>
          <w:numId w:val="1021"/>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о числе вариантов молчит, но требованиями к технологическому документу на каждое блюдо (п. 11), трёхчасовым пределом на раздаче и запретом реализовать остатки на следующий день (п. 32), бракеражем каждого блюда (подп. 13 п. 56) превращает каждый дополнительный вариант в отдельный объект производственного контроля.</w:t>
      </w:r>
    </w:p>
    <w:p>
      <w:pPr>
        <w:numPr>
          <w:ilvl w:val="0"/>
          <w:numId w:val="1021"/>
        </w:numPr>
      </w:pPr>
      <w:r>
        <w:rPr>
          <w:b/>
          <w:bCs/>
        </w:rPr>
        <w:t xml:space="preserve">Главный правовой пробел — механизм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не содержат ни постановление Санкт-Петербурга № 1284,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Поэтому выбор между мясом и рыбой юридически уязвимее выбора между гречкой и рисом, хотя по пищевой ценности обе пары могут быть равноценны.</w:t>
      </w:r>
    </w:p>
    <w:p>
      <w:pPr>
        <w:numPr>
          <w:ilvl w:val="0"/>
          <w:numId w:val="1021"/>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группам продуктов; внутри группы (крупы, овощи,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21"/>
        </w:numPr>
      </w:pPr>
      <w:r>
        <w:rPr>
          <w:b/>
          <w:bCs/>
        </w:rPr>
        <w:t xml:space="preserve">Российская практика выросла, но не измерена.</w:t>
      </w:r>
      <w:r>
        <w:t xml:space="preserve"> </w:t>
      </w:r>
      <w:r>
        <w:t xml:space="preserve">За 2024–2026 гг. найдены сообщения восьми учреждений и одного регионального органа, а министр социального развития Иркутской области подтвердил запуск вариативного питания в регионе в 2025 г. [18];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 самоотчёты, а не результаты проверки.</w:t>
      </w:r>
    </w:p>
    <w:p>
      <w:pPr>
        <w:numPr>
          <w:ilvl w:val="0"/>
          <w:numId w:val="1021"/>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[85]. Те же данные показывают цену выбора в момент еды: рост производственных отходов и стоимости примерно на 9–20 % [85]. Систематические обзоры оценивают эффект вмешательств в организацию питания на пищевой статус как небольшой и плохо измеренный [97, 98].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[100] и в условиях нормированного набора не проверено.</w:t>
      </w:r>
    </w:p>
    <w:p>
      <w:pPr>
        <w:numPr>
          <w:ilvl w:val="0"/>
          <w:numId w:val="1021"/>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[117, 120, 123];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[126, 128, 132]. Ни один из изученных актов не устанавливает минимального числа вторых блюд. Перенести эти формулы в российское право можно только актом федерального или регионального уровня.</w:t>
      </w:r>
    </w:p>
    <w:p>
      <w:pPr>
        <w:numPr>
          <w:ilvl w:val="0"/>
          <w:numId w:val="1021"/>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[88], и канадские данные о том, что пища изменённой консистенции назначена 47 % жителей [108], показывают: вариативное меню, рассчитанное на ходячих и говорящих, может не дойти до значительной части дома. Включить маломобильных и невербальных жителей — условие, а не следующий этап.</w:t>
      </w:r>
    </w:p>
    <w:p>
      <w:pPr>
        <w:numPr>
          <w:ilvl w:val="0"/>
          <w:numId w:val="1021"/>
        </w:numPr>
      </w:pPr>
      <w:r>
        <w:rPr>
          <w:b/>
          <w:bCs/>
        </w:rPr>
        <w:t xml:space="preserve">Проверка смотрит на нормы, а не на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138].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[38]. Зарубежные процедуры, напротив, проверяют ответ учреждения на волю жителя, наблюдаемый в реальном приёме пищи [121, 122, 124]. Пока у нас этого нет, проверить, реален ли выбор, может только внутренний контроль учреждения.</w:t>
      </w:r>
    </w:p>
    <w:p>
      <w:pPr>
        <w:numPr>
          <w:ilvl w:val="0"/>
          <w:numId w:val="1021"/>
        </w:numPr>
      </w:pPr>
      <w:r>
        <w:rPr>
          <w:b/>
          <w:bCs/>
        </w:rPr>
        <w:t xml:space="preserve">Противоречия не устранены, а названы.</w:t>
      </w:r>
      <w:r>
        <w:t xml:space="preserve"> </w:t>
      </w:r>
      <w:r>
        <w:t xml:space="preserve">Глава 9 перечисляет 40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снимет только орган, уполномоченный разъяснять или издавать нормы.</w:t>
      </w:r>
    </w:p>
    <w:p>
      <w:pPr>
        <w:pStyle w:val="FirstParagraph"/>
      </w:pPr>
      <w:r>
        <w:t xml:space="preserve">Для руководителя учреждения практический итог — четыре требования, обоснованные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 рекомендации автора; позицию какого-либо органа они не выражают.</w:t>
      </w:r>
    </w:p>
    <w:bookmarkEnd w:id="157"/>
    <w:bookmarkStart w:id="158" w:name="список-источников"/>
    <w:p>
      <w:pPr>
        <w:pStyle w:val="Heading1"/>
      </w:pPr>
      <w:r>
        <w:t xml:space="preserve">Список источников</w:t>
      </w:r>
    </w:p>
    <w:p>
      <w:pPr>
        <w:pStyle w:val="FirstParagraph"/>
      </w:pPr>
      <w:r>
        <w:t xml:space="preserve">Пометка [н] — источник, впервые привлечённый во второй редакции; [о] — источник, использованный и в первой редакции [1].</w:t>
      </w:r>
    </w:p>
    <w:p>
      <w:pPr>
        <w:pStyle w:val="Compact"/>
        <w:numPr>
          <w:ilvl w:val="0"/>
          <w:numId w:val="1022"/>
        </w:numPr>
      </w:pPr>
      <w:r>
        <w:t xml:space="preserve">[о] Вариативное меню: НПА. Нормативно-правовое регулирование и региональная практика: доклад (литературная редакция 29.08.2026). 82 с. — Репозиторий qlolp/seminar-variable-food-2026, папка raw/sources/variativnoe-menu-npa-2026/.</w:t>
      </w:r>
    </w:p>
    <w:p>
      <w:pPr>
        <w:pStyle w:val="Compact"/>
        <w:numPr>
          <w:ilvl w:val="0"/>
          <w:numId w:val="1022"/>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URL: https://base.garant.ru/74891586/ (дата обращения: 05.10.2026).</w:t>
      </w:r>
    </w:p>
    <w:p>
      <w:pPr>
        <w:pStyle w:val="Compact"/>
        <w:numPr>
          <w:ilvl w:val="0"/>
          <w:numId w:val="1022"/>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URL: https://www.garant.ru/products/ipo/prime/doc/414229257/ (дата обращения: 05.10.2026).</w:t>
      </w:r>
    </w:p>
    <w:p>
      <w:pPr>
        <w:pStyle w:val="Compact"/>
        <w:numPr>
          <w:ilvl w:val="0"/>
          <w:numId w:val="1022"/>
        </w:numPr>
      </w:pPr>
      <w:r>
        <w:t xml:space="preserve">[н] Как устроены ПНИ в России: исследование / Проект «Если быть точным». 09.04.2026. — URL: https://tochno.st/materials/kak-ustroeny-pni-v-rossii-issledovanie-esli-byt-tocnym (дата обращения: 23.07.2026).</w:t>
      </w:r>
    </w:p>
    <w:p>
      <w:pPr>
        <w:pStyle w:val="Compact"/>
        <w:numPr>
          <w:ilvl w:val="0"/>
          <w:numId w:val="1022"/>
        </w:numPr>
      </w:pPr>
      <w:r>
        <w:t xml:space="preserve">[о] Вариативное питание / ГАУССО НСО «Болотнинский психоневрологический интернат». 16.08.2024. — URL: https://bpni.nso.ru/news/2312 (дата обращения: 05.10.2026).</w:t>
      </w:r>
    </w:p>
    <w:p>
      <w:pPr>
        <w:pStyle w:val="Compact"/>
        <w:numPr>
          <w:ilvl w:val="0"/>
          <w:numId w:val="1022"/>
        </w:numPr>
      </w:pPr>
      <w:r>
        <w:t xml:space="preserve">[н] Вариативное питание — выбор за вами! / ГАУССО НСО «Болотнинский психоневрологический интернат». 03.09.2026. — URL: https://bpni.nso.ru/news/8993 (дата обращения: 05.10.2026).</w:t>
      </w:r>
    </w:p>
    <w:p>
      <w:pPr>
        <w:pStyle w:val="Compact"/>
        <w:numPr>
          <w:ilvl w:val="0"/>
          <w:numId w:val="1022"/>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URL: https://upni.nso.ru/news/1916 (дата обращения: 05.10.2026).</w:t>
      </w:r>
    </w:p>
    <w:p>
      <w:pPr>
        <w:pStyle w:val="Compact"/>
        <w:numPr>
          <w:ilvl w:val="0"/>
          <w:numId w:val="1022"/>
        </w:numPr>
      </w:pPr>
      <w:r>
        <w:t xml:space="preserve">[н] Разумная Т. Успенский интернат расширяет «Шведский стол»: теперь и в третьем отделении проживающие сами выбирают блюда // ЧС-ИНФО. 23.10.2025. — URL: https://4s-info.ru/2025/10/23/uspenskij-internat-rasshiryaet-shvedskij-stol-teper-i-v-tretem-otdelenii-prozhivayushhie-sami-vybirayut-blyuda/ (дата обращения: 05.10.2026).</w:t>
      </w:r>
    </w:p>
    <w:p>
      <w:pPr>
        <w:pStyle w:val="Compact"/>
        <w:numPr>
          <w:ilvl w:val="0"/>
          <w:numId w:val="1022"/>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URL: https://kpi.nso.ru/news/395 (дата обращения: 05.10.2026).</w:t>
      </w:r>
    </w:p>
    <w:p>
      <w:pPr>
        <w:pStyle w:val="Compact"/>
        <w:numPr>
          <w:ilvl w:val="0"/>
          <w:numId w:val="1022"/>
        </w:numPr>
      </w:pPr>
      <w:r>
        <w:t xml:space="preserve">[н] Софин Р. Шведский стол за 3 млн приучил к аккуратности жильцов психинтерната НСО // Прецедент TV. 27.07.2026. — URL: https://precedent.tv/shvedskij-stol-za-3-mln-priuchil-k-akkuratnosti-zhiltsov-psihinternata-nso (дата обращения: 05.10.2026).</w:t>
      </w:r>
    </w:p>
    <w:p>
      <w:pPr>
        <w:pStyle w:val="Compact"/>
        <w:numPr>
          <w:ilvl w:val="0"/>
          <w:numId w:val="1022"/>
        </w:numPr>
      </w:pPr>
      <w:r>
        <w:t xml:space="preserve">[н] Наша главная задача — не просто накормить, а создать домашнюю атмосферу / ГАУССО НСО «Успенский психоневрологический интернат». 27.07.2026. — URL: https://upni.nso.ru/news/5804 (дата обращения: 05.10.2026).</w:t>
      </w:r>
    </w:p>
    <w:p>
      <w:pPr>
        <w:pStyle w:val="Compact"/>
        <w:numPr>
          <w:ilvl w:val="0"/>
          <w:numId w:val="1022"/>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Лента новостей Новосибирска. 20.06.2025. — URL: https://novosibirsk-news.net/society/2025/06/20/338927.html (дата обращения: 05.10.2026).</w:t>
      </w:r>
    </w:p>
    <w:p>
      <w:pPr>
        <w:pStyle w:val="Compact"/>
        <w:numPr>
          <w:ilvl w:val="0"/>
          <w:numId w:val="1022"/>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URL: https://ui-ogbuso.ru/novosti/ (дата обращения: 05.10.2026).</w:t>
      </w:r>
    </w:p>
    <w:p>
      <w:pPr>
        <w:pStyle w:val="Compact"/>
        <w:numPr>
          <w:ilvl w:val="0"/>
          <w:numId w:val="1022"/>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22"/>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Областная газета. 26.11.2025. — URL: https://www.ogirk.ru/2025/11/26/v-chunskom-zavershaetsja-stroitelstvo-dvuh-modulnyh-zhilyh-korpusov/ (дата обращения: 05.10.2026).</w:t>
      </w:r>
    </w:p>
    <w:p>
      <w:pPr>
        <w:pStyle w:val="Compact"/>
        <w:numPr>
          <w:ilvl w:val="0"/>
          <w:numId w:val="1022"/>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URL: https://base.garant.ru/34763286/ (дата обращения: 05.10.2026).</w:t>
      </w:r>
    </w:p>
    <w:p>
      <w:pPr>
        <w:pStyle w:val="Compact"/>
        <w:numPr>
          <w:ilvl w:val="0"/>
          <w:numId w:val="1022"/>
        </w:numPr>
      </w:pPr>
      <w:r>
        <w:t xml:space="preserve">[н] Вариативное меню появляется в домах соцобслуживания Вологодчины // СеверИнфо. 05.07.2026. — URL: https://www.severinfo.ru/society/91519-variativnoe-menju-pojavljaetsja-v-domah-socobsluzhivanija-vologodchiny.html (дата обращения: 05.10.2026).</w:t>
      </w:r>
    </w:p>
    <w:p>
      <w:pPr>
        <w:pStyle w:val="Compact"/>
        <w:numPr>
          <w:ilvl w:val="0"/>
          <w:numId w:val="1022"/>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Областная газета. 04.02.2026. № 11 (2949). — URL: https://www.ogirk.ru/2026/02/04/vladimir-rodionov-na-prieme-v-sluzhbah-soczashhity-net-ocheredej/ (дата обращения: 05.10.2026).</w:t>
      </w:r>
    </w:p>
    <w:p>
      <w:pPr>
        <w:pStyle w:val="Compact"/>
        <w:numPr>
          <w:ilvl w:val="0"/>
          <w:numId w:val="1022"/>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URL: http://nldi.ru/files/8983.pdf (дата обращения: 05.10.2026).</w:t>
      </w:r>
    </w:p>
    <w:p>
      <w:pPr>
        <w:pStyle w:val="Compact"/>
        <w:numPr>
          <w:ilvl w:val="0"/>
          <w:numId w:val="1022"/>
        </w:numPr>
      </w:pPr>
      <w:r>
        <w:t xml:space="preserve">[н] Иркутский дом-интернат для престарелых и инвалидов продолжает совершенствоваться / Пресс-служба Правительства Иркутской области // Областная газета. 21.01.2025. — URL: https://www.ogirk.ru/2025/01/21/irkutskij-dom-internat-dlja-prestarelyh-i-invalidov-prodolzhaet-sovershenstvovatsja/ (дата обращения: 05.10.2026).</w:t>
      </w:r>
    </w:p>
    <w:p>
      <w:pPr>
        <w:pStyle w:val="Compact"/>
        <w:numPr>
          <w:ilvl w:val="0"/>
          <w:numId w:val="1022"/>
        </w:numPr>
      </w:pPr>
      <w:r>
        <w:t xml:space="preserve">[н] Работа по развитию психоневрологических интернатов продолжается / Комитет по социальной политике Санкт-Петербурга. 22.07.2025. — URL: https://gov.spb.ru/gov/otrasl/trud/news/302216/ (дата обращения: 05.10.2026).</w:t>
      </w:r>
    </w:p>
    <w:p>
      <w:pPr>
        <w:pStyle w:val="Compact"/>
        <w:numPr>
          <w:ilvl w:val="0"/>
          <w:numId w:val="1022"/>
        </w:numPr>
      </w:pPr>
      <w:r>
        <w:t xml:space="preserve">[н] Не просто накормить: доклад к семинару 25–27.08.2026. — Репозиторий qlolp/seminar-variable-food-2026, папка raw/sources/ne-prosto-nakormit/doklad/.</w:t>
      </w:r>
    </w:p>
    <w:p>
      <w:pPr>
        <w:pStyle w:val="Compact"/>
        <w:numPr>
          <w:ilvl w:val="0"/>
          <w:numId w:val="1022"/>
        </w:numPr>
      </w:pPr>
      <w:r>
        <w:t xml:space="preserve">[н] Рабочая база знаний проекта (wiki/, в том числе wiki/gaps.md, wiki/entities/, wiki/concepts/) и предшествующие аналитические записки (raw/sources/related/). — Репозиторий qlolp/seminar-variable-food-2026.</w:t>
      </w:r>
    </w:p>
    <w:p>
      <w:pPr>
        <w:pStyle w:val="Compact"/>
        <w:numPr>
          <w:ilvl w:val="0"/>
          <w:numId w:val="1022"/>
        </w:numPr>
      </w:pPr>
      <w:r>
        <w:t xml:space="preserve">[о] Федеральный закон от 28.12.2013 № 442-ФЗ «Об основах социального обслуживания граждан в Российской Федерации». — URL: https://www.consultant.ru/document/cons_doc_LAW_156558/ (дата обращения: 05.10.2026).</w:t>
      </w:r>
    </w:p>
    <w:p>
      <w:pPr>
        <w:pStyle w:val="Compact"/>
        <w:numPr>
          <w:ilvl w:val="0"/>
          <w:numId w:val="1022"/>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URL: https://base.garant.ru/70829256/ (дата обращения: 05.10.2026).</w:t>
      </w:r>
    </w:p>
    <w:p>
      <w:pPr>
        <w:pStyle w:val="Compact"/>
        <w:numPr>
          <w:ilvl w:val="0"/>
          <w:numId w:val="1022"/>
        </w:numPr>
      </w:pPr>
      <w:r>
        <w:t xml:space="preserve">[н] Закон РФ от 02.07.1992 № 3185-1 «О психиатрической помощи и гарантиях прав граждан при её оказании». — URL: https://www.consultant.ru/document/cons_doc_LAW_4205/ (дата обращения: 05.10.2026).</w:t>
      </w:r>
    </w:p>
    <w:p>
      <w:pPr>
        <w:pStyle w:val="Compact"/>
        <w:numPr>
          <w:ilvl w:val="0"/>
          <w:numId w:val="1022"/>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URL: https://www.consultant.ru/document/cons_doc_LAW_506945/ (дата обращения: 05.10.2026).</w:t>
      </w:r>
    </w:p>
    <w:p>
      <w:pPr>
        <w:pStyle w:val="Compact"/>
        <w:numPr>
          <w:ilvl w:val="0"/>
          <w:numId w:val="1022"/>
        </w:numPr>
      </w:pPr>
      <w:r>
        <w:t xml:space="preserve">[н] Правила внутреннего распорядка СПб ГАСУСОН «ДСО „Серафимовский“» (утв. приказом от 10.03.2026 № 124). Архивная копия сайта учреждения от 15.04.2026. — URL: https://web.archive.org/web/20260415001233/https://www.pni9.ru/правила-внутреннего-распорядка/ (дата обращения: 21.08.2026).</w:t>
      </w:r>
    </w:p>
    <w:p>
      <w:pPr>
        <w:pStyle w:val="Compact"/>
        <w:numPr>
          <w:ilvl w:val="0"/>
          <w:numId w:val="1022"/>
        </w:numPr>
      </w:pPr>
      <w:r>
        <w:t xml:space="preserve">[н] Питание / ГАСУСО МО «Добрый дом „Солнечногорский“». — URL: https://ddsol.ru/about/pitanie/ (дата обращения: 05.10.2026).</w:t>
      </w:r>
    </w:p>
    <w:p>
      <w:pPr>
        <w:pStyle w:val="Compact"/>
        <w:numPr>
          <w:ilvl w:val="0"/>
          <w:numId w:val="1022"/>
        </w:numPr>
      </w:pPr>
      <w:r>
        <w:t xml:space="preserve">[н] Nijs K. A. N. D., de Graaf C., Kok F. J., van Staveren W. A. Effect of family style mealtimes on quality of life, physical performance, and body weight of nursing home residents: cluster randomised controlled trial // BMJ. 2006. Vol. 332. P. 1180–1184. DOI: 10.1136/bmj.38825.401181.7C.</w:t>
      </w:r>
    </w:p>
    <w:p>
      <w:pPr>
        <w:pStyle w:val="Compact"/>
        <w:numPr>
          <w:ilvl w:val="0"/>
          <w:numId w:val="1022"/>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URL: https://base.garant.ru/184396/ ; первоначальная редакция: https://base.garant.ru/5365902/ (дата обращения: 05.10.2026).</w:t>
      </w:r>
    </w:p>
    <w:p>
      <w:pPr>
        <w:pStyle w:val="Compact"/>
        <w:numPr>
          <w:ilvl w:val="0"/>
          <w:numId w:val="1022"/>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URL: https://base.garant.ru/405707433/ ; https://mintrud.gov.ru/docs/2466 (дата обращения: 05.10.2026).</w:t>
      </w:r>
    </w:p>
    <w:p>
      <w:pPr>
        <w:pStyle w:val="Compact"/>
        <w:numPr>
          <w:ilvl w:val="0"/>
          <w:numId w:val="1022"/>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 URL: https://base.garant.ru/22921449/ (дата обращения: 05.10.2026).</w:t>
      </w:r>
    </w:p>
    <w:p>
      <w:pPr>
        <w:pStyle w:val="Compact"/>
        <w:numPr>
          <w:ilvl w:val="0"/>
          <w:numId w:val="1022"/>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URL: https://normacs.net/Doclist/doc/200DS.html (дата обращения: 05.10.2026).</w:t>
      </w:r>
    </w:p>
    <w:p>
      <w:pPr>
        <w:pStyle w:val="Compact"/>
        <w:numPr>
          <w:ilvl w:val="0"/>
          <w:numId w:val="1022"/>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URL: https://www.consultant.ru/document/cons_doc_LAW_28399/ (дата обращения: 05.10.2026).</w:t>
      </w:r>
    </w:p>
    <w:p>
      <w:pPr>
        <w:pStyle w:val="Compact"/>
        <w:numPr>
          <w:ilvl w:val="0"/>
          <w:numId w:val="1022"/>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URL: https://www.un.org/ru/documents/decl_conv/conventions/disability.shtml (дата обращения: 05.10.2026).</w:t>
      </w:r>
    </w:p>
    <w:p>
      <w:pPr>
        <w:pStyle w:val="Compact"/>
        <w:numPr>
          <w:ilvl w:val="0"/>
          <w:numId w:val="1022"/>
        </w:numPr>
      </w:pPr>
      <w:r>
        <w:t xml:space="preserve">[н] Committee on the Rights of Persons with Disabilities. General comment No. 1 (2014). Article 12: Equal recognition before the law. CRPD/C/GC/1. — URL: https://documents.un.org/doc/undoc/gen/g14/031/20/pdf/g1403120.pdf (дата обращения: 05.10.2026).</w:t>
      </w:r>
    </w:p>
    <w:p>
      <w:pPr>
        <w:pStyle w:val="Compact"/>
        <w:numPr>
          <w:ilvl w:val="0"/>
          <w:numId w:val="1022"/>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URL: http://publication.pravo.gov.ru/document/0001202602130013 ; https://pravo.ppt.ru/prikaz/rostrud/n-18-326901 ; https://www.consultant.ru/document/cons_doc_LAW_526542/ (дата обращения: 05.10.2026).</w:t>
      </w:r>
    </w:p>
    <w:p>
      <w:pPr>
        <w:pStyle w:val="Compact"/>
        <w:numPr>
          <w:ilvl w:val="0"/>
          <w:numId w:val="1022"/>
        </w:numPr>
      </w:pPr>
      <w:r>
        <w:t xml:space="preserve">[н] Агафонов И. Что изменится в жизни подопечных ПНИ с сентября // Милосердие.ru. 20.06.2025. — URL: https://www.miloserdie.ru/news/novye-pravila-i-novye-vozmozhnosti-chto-izmenitsya-v-zhizni-podopechnyh-pni-s-sentyabrya/ (дата обращения: 05.10.2026).</w:t>
      </w:r>
    </w:p>
    <w:p>
      <w:pPr>
        <w:pStyle w:val="Compact"/>
        <w:numPr>
          <w:ilvl w:val="0"/>
          <w:numId w:val="1022"/>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22"/>
        </w:numPr>
      </w:pPr>
      <w:r>
        <w:t xml:space="preserve">[н] Горелик С. Г. и др. Оценка нутритивного статуса и коррекция питания лиц пожилого возраста в учреждении социального обслуживания // Современные проблемы здравоохранения и медицинской статистики. 2020. № 4. — URL: https://cyberleninka.ru/ (дата обращения: 05.10.2026).</w:t>
      </w:r>
    </w:p>
    <w:p>
      <w:pPr>
        <w:pStyle w:val="Compact"/>
        <w:numPr>
          <w:ilvl w:val="0"/>
          <w:numId w:val="1022"/>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URL: https://www.rospotrebnadzor.ru/documents/details.php?ELEMENT_ID=18979 (дата обращения: 05.10.2026).</w:t>
      </w:r>
    </w:p>
    <w:p>
      <w:pPr>
        <w:pStyle w:val="Compact"/>
        <w:numPr>
          <w:ilvl w:val="0"/>
          <w:numId w:val="1022"/>
        </w:numPr>
      </w:pPr>
      <w:r>
        <w:t xml:space="preserve">[о] Постановление Правительства Свердловской области от 10.11.2022 № 765-ПП (нормы питания в организациях социального обслуживания). — URL: https://base.garant.ru/405688359/ (дата обращения: 05.10.2026).</w:t>
      </w:r>
    </w:p>
    <w:p>
      <w:pPr>
        <w:pStyle w:val="Compact"/>
        <w:numPr>
          <w:ilvl w:val="0"/>
          <w:numId w:val="1022"/>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URL: https://ctonus.ru/f/normy_pitaniya.docx (дата обращения: 05.10.2026).</w:t>
      </w:r>
    </w:p>
    <w:p>
      <w:pPr>
        <w:pStyle w:val="Compact"/>
        <w:numPr>
          <w:ilvl w:val="0"/>
          <w:numId w:val="1022"/>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URL: https://luga-pni.ru/f/prikazom_komiteta_po_socialnoj_zashchite_naseleniya_leningradskoj_oblasti_no04_ot_30122021_goda_ob_utverzhdenii_normativov_o.pdf (дата обращения: 05.10.2026).</w:t>
      </w:r>
    </w:p>
    <w:p>
      <w:pPr>
        <w:pStyle w:val="Compact"/>
        <w:numPr>
          <w:ilvl w:val="0"/>
          <w:numId w:val="1022"/>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22"/>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URL: https://soc52.ru/sorm-di-documents/statement/item/447-statement-food (дата обращения: 05.10.2026).</w:t>
      </w:r>
    </w:p>
    <w:p>
      <w:pPr>
        <w:pStyle w:val="Compact"/>
        <w:numPr>
          <w:ilvl w:val="0"/>
          <w:numId w:val="1022"/>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URL: https://base.garant.ru/12133007/ (дата обращения: 05.10.2026).</w:t>
      </w:r>
    </w:p>
    <w:p>
      <w:pPr>
        <w:pStyle w:val="Compact"/>
        <w:numPr>
          <w:ilvl w:val="0"/>
          <w:numId w:val="1022"/>
        </w:numPr>
      </w:pPr>
      <w:r>
        <w:t xml:space="preserve">[о] Приказ Минздрава России от 21.06.2013 № 395н «Об утверждении норм лечебного питания». — URL: https://base.garant.ru/70412098/ (дата обращения: 05.10.2026).</w:t>
      </w:r>
    </w:p>
    <w:p>
      <w:pPr>
        <w:pStyle w:val="Compact"/>
        <w:numPr>
          <w:ilvl w:val="0"/>
          <w:numId w:val="1022"/>
        </w:numPr>
      </w:pPr>
      <w:r>
        <w:t xml:space="preserve">[о] Приказ Минздрава России от 23.09.2020 № 1008н «Об утверждении порядка обеспечения пациентов лечебным питанием». — URL: https://base.garant.ru/74703746/ (дата обращения: 05.10.2026).</w:t>
      </w:r>
    </w:p>
    <w:p>
      <w:pPr>
        <w:pStyle w:val="Compact"/>
        <w:numPr>
          <w:ilvl w:val="0"/>
          <w:numId w:val="1022"/>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Российский журнал гериатрической медицины. 2021. № 1. С. 15–34. DOI: 10.37586/2686-8636-1-2021-15-34.</w:t>
      </w:r>
    </w:p>
    <w:p>
      <w:pPr>
        <w:pStyle w:val="Compact"/>
        <w:numPr>
          <w:ilvl w:val="0"/>
          <w:numId w:val="1022"/>
        </w:numPr>
      </w:pPr>
      <w:r>
        <w:t xml:space="preserve">[о] Организация питания: страницы сайтов учреждений социального обслуживания Омской области. — URL: http://www.ditavrich55.ru/pitanie ; https://pni55.ru/perechen-zapreshchennyh-produktov (дата обращения: 16.07.2026, по первой редакции обзора).</w:t>
      </w:r>
    </w:p>
    <w:p>
      <w:pPr>
        <w:pStyle w:val="Compact"/>
        <w:numPr>
          <w:ilvl w:val="0"/>
          <w:numId w:val="1022"/>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URL: https://www.consultant.ru/document/cons_doc_LAW_144624/ (дата обращения: 05.10.2026).</w:t>
      </w:r>
    </w:p>
    <w:p>
      <w:pPr>
        <w:pStyle w:val="Compact"/>
        <w:numPr>
          <w:ilvl w:val="0"/>
          <w:numId w:val="1022"/>
        </w:numPr>
      </w:pPr>
      <w:r>
        <w:t xml:space="preserve">[н] Федеральный закон от 18.07.2011 № 223-ФЗ «О закупках товаров, работ, услуг отдельными видами юридических лиц». — URL: https://www.consultant.ru/document/cons_doc_LAW_116964/ (дата обращения: 05.10.2026).</w:t>
      </w:r>
    </w:p>
    <w:p>
      <w:pPr>
        <w:pStyle w:val="Compact"/>
        <w:numPr>
          <w:ilvl w:val="0"/>
          <w:numId w:val="1022"/>
        </w:numPr>
      </w:pPr>
      <w:r>
        <w:t xml:space="preserve">[н] Письмо Минфина России от 29.12.2014 № 02-02-08/68298. — URL: https://base.garant.ru/70853116/ (дата обращения: 05.10.2026).</w:t>
      </w:r>
    </w:p>
    <w:p>
      <w:pPr>
        <w:pStyle w:val="Compact"/>
        <w:numPr>
          <w:ilvl w:val="0"/>
          <w:numId w:val="1022"/>
        </w:numPr>
      </w:pPr>
      <w:r>
        <w:t xml:space="preserve">[н] Постановление Арбитражного суда Дальневосточного округа от 05.12.2025 № Ф03-3556/25 по делу № А73-20917/2024. — URL: https://base.garant.ru/37266612/ ; https://www.garant.ru/files/6/0/2049606/postanovlenie_arbitragnogo_suda_dalnevostochnogo_okruga_ot_5_dekabrya_2025_g_n_f0.pdf (дата обращения: 05.10.2026).</w:t>
      </w:r>
    </w:p>
    <w:p>
      <w:pPr>
        <w:pStyle w:val="Compact"/>
        <w:numPr>
          <w:ilvl w:val="0"/>
          <w:numId w:val="1022"/>
        </w:numPr>
      </w:pPr>
      <w:r>
        <w:t xml:space="preserve">[н] Красавин Е. Верховный Суд: закупки по госзаданию автономные учреждения обязаны проводить по 44-ФЗ. Определение № 303-ЭС25-15393 // Блог pro-ability.ru. 25.02.2026. — URL: https://www.pro-ability.ru/tpost/sbdtgydex1-verhovnii-sud-zakupki-po-goszadaniyu-avt (дата обращения: 05.10.2026).</w:t>
      </w:r>
    </w:p>
    <w:p>
      <w:pPr>
        <w:pStyle w:val="Compact"/>
        <w:numPr>
          <w:ilvl w:val="0"/>
          <w:numId w:val="1022"/>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 А73-20917/2024). — URL: https://sudact.ru/vsrf/doc/aZCIdQcDpC5v/ (дата обращения: 05.10.2026).</w:t>
      </w:r>
    </w:p>
    <w:p>
      <w:pPr>
        <w:pStyle w:val="Compact"/>
        <w:numPr>
          <w:ilvl w:val="0"/>
          <w:numId w:val="1022"/>
        </w:numPr>
      </w:pPr>
      <w:r>
        <w:t xml:space="preserve">[н] Кулаков А. Обзор решений Верховного суда РФ по закупкам [в т. ч. определение ВС РФ от 28.01.2026 № 303-ЭС25-15393 по делу № А73-20917/2024]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22"/>
        </w:numPr>
      </w:pPr>
      <w:r>
        <w:t xml:space="preserve">[н] Когда автономные учреждения не вправе контрактоваться по Закону № 223-ФЗ / ГАРАНТ.РУ; воспроизведено: Информационный портал закупок. 2026. — URL: https://www.zakupki-portal.ru/novosti/main-news/kogda-avtonomnye-uchrezhdeniya-ne-vprave-kontraktovat-sya-po-zakonu-223-fz/ (дата обращения: 05.10.2026).</w:t>
      </w:r>
    </w:p>
    <w:p>
      <w:pPr>
        <w:pStyle w:val="Compact"/>
        <w:numPr>
          <w:ilvl w:val="0"/>
          <w:numId w:val="1022"/>
        </w:numPr>
      </w:pPr>
      <w:r>
        <w:t xml:space="preserve">[н] Извещение № 0372200070825000244 «Поставка продуктов питания» (заказчик — СПб ГБСУСОН «ДСО „Тесовый берег“», ИНН 7827661874; опубл. 24.11.2025). — URL: https://www.tenderguru.ru/tender/90473908 (дата обращения: 05.10.2026).</w:t>
      </w:r>
    </w:p>
    <w:p>
      <w:pPr>
        <w:pStyle w:val="Compact"/>
        <w:numPr>
          <w:ilvl w:val="0"/>
          <w:numId w:val="1022"/>
        </w:numPr>
      </w:pPr>
      <w:r>
        <w:t xml:space="preserve">[о] Кодекс Российской Федерации об административных правонарушениях от 30.12.2001 № 195-ФЗ. Ст. 6.3, 6.6, 6.7. — URL: https://www.consultant.ru/document/cons_doc_LAW_34661/ (дата обращения: 05.10.2026).</w:t>
      </w:r>
    </w:p>
    <w:p>
      <w:pPr>
        <w:pStyle w:val="Compact"/>
        <w:numPr>
          <w:ilvl w:val="0"/>
          <w:numId w:val="1022"/>
        </w:numPr>
      </w:pPr>
      <w:r>
        <w:t xml:space="preserve">[н] Новости прокуратуры: привлечение к ответственности по ст. 6.6 КоАП РФ руководителя социально-реабилитационного центра (2022) // Кашин.инфо. — URL: https://www.kashin.info/prokuratura-informiruet/novosti-prokuratury/9121 (дата обращения: 23.07.2026).</w:t>
      </w:r>
    </w:p>
    <w:p>
      <w:pPr>
        <w:pStyle w:val="Compact"/>
        <w:numPr>
          <w:ilvl w:val="0"/>
          <w:numId w:val="1022"/>
        </w:numPr>
      </w:pPr>
      <w:r>
        <w:t xml:space="preserve">[н] Постановление Верховного Суда РФ от 21.02.2019 № 11-АД19-4. — URL: https://www.garant.ru/products/ipo/prime/doc/72095418/ (дата обращения: 05.10.2026).</w:t>
      </w:r>
    </w:p>
    <w:p>
      <w:pPr>
        <w:pStyle w:val="Compact"/>
        <w:numPr>
          <w:ilvl w:val="0"/>
          <w:numId w:val="1022"/>
        </w:numPr>
      </w:pPr>
      <w:r>
        <w:t xml:space="preserve">[н] ФАС раскрыла картель на торгах на поставку социально значимых продуктов // Российская газета. 25.07.2024. — URL: https://rg.ru/2024/07/25/fas-raskryla-kartel-na-torgah-na-postavku-socialno-znachimyh-produktov.html (дата обращения: 23.07.2026).</w:t>
      </w:r>
    </w:p>
    <w:p>
      <w:pPr>
        <w:pStyle w:val="Compact"/>
        <w:numPr>
          <w:ilvl w:val="0"/>
          <w:numId w:val="1022"/>
        </w:numPr>
      </w:pPr>
      <w:r>
        <w:t xml:space="preserve">[н] Челябинское УФАС: картель на 27 тендерах школьного питания // Про-Госзаказ. 2025. — URL: https://pro-goszakaz.ru/news/116068 (дата обращения: 05.10.2026).</w:t>
      </w:r>
    </w:p>
    <w:p>
      <w:pPr>
        <w:pStyle w:val="Compact"/>
        <w:numPr>
          <w:ilvl w:val="0"/>
          <w:numId w:val="1022"/>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URL: https://base.garant.ru/405012407/ (дата обращения: 05.10.2026).</w:t>
      </w:r>
    </w:p>
    <w:p>
      <w:pPr>
        <w:pStyle w:val="Compact"/>
        <w:numPr>
          <w:ilvl w:val="0"/>
          <w:numId w:val="1022"/>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URL: https://nn-gov.ru/doc/123332 (дата обращения: 05.10.2026).</w:t>
      </w:r>
    </w:p>
    <w:p>
      <w:pPr>
        <w:pStyle w:val="Compact"/>
        <w:numPr>
          <w:ilvl w:val="0"/>
          <w:numId w:val="1022"/>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[30е]). — URL: https://lawmix.ru/zakonodatelstvo/1941538 (дата обращения: 05.10.2026).</w:t>
      </w:r>
    </w:p>
    <w:p>
      <w:pPr>
        <w:pStyle w:val="Compact"/>
        <w:numPr>
          <w:ilvl w:val="0"/>
          <w:numId w:val="1022"/>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URL: https://www.garant.ru/hotlaw/peterburg/1318583/ (дата обращения: 05.10.2026).</w:t>
      </w:r>
    </w:p>
    <w:p>
      <w:pPr>
        <w:pStyle w:val="Compact"/>
        <w:numPr>
          <w:ilvl w:val="0"/>
          <w:numId w:val="1022"/>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URL: https://base.garant.ru/22921910/ (дата обращения: 05.10.2026).</w:t>
      </w:r>
    </w:p>
    <w:p>
      <w:pPr>
        <w:pStyle w:val="Compact"/>
        <w:numPr>
          <w:ilvl w:val="0"/>
          <w:numId w:val="1022"/>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URL: https://base.garant.ru/411120324/ (дата обращения: 05.10.2026).</w:t>
      </w:r>
    </w:p>
    <w:p>
      <w:pPr>
        <w:pStyle w:val="Compact"/>
        <w:numPr>
          <w:ilvl w:val="0"/>
          <w:numId w:val="1022"/>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URL: http://publication.pravo.gov.ru/document/7801202512190004 (дата обращения: 05.10.2026).</w:t>
      </w:r>
    </w:p>
    <w:p>
      <w:pPr>
        <w:pStyle w:val="Compact"/>
        <w:numPr>
          <w:ilvl w:val="0"/>
          <w:numId w:val="1022"/>
        </w:numPr>
      </w:pPr>
      <w:r>
        <w:t xml:space="preserve">[о] Ежегодный доклад Уполномоченного по правам ребёнка в Санкт-Петербурге за 2024 год. — URL: https://spbdeti.org/upload/iblock/357/f10ncjwqcpqic00z1kiskc8zw7jy26ow/ZAKS_2025.pdf (дата обращения: 16.07.2026, по первой редакции обзора).</w:t>
      </w:r>
    </w:p>
    <w:p>
      <w:pPr>
        <w:pStyle w:val="Compact"/>
        <w:numPr>
          <w:ilvl w:val="0"/>
          <w:numId w:val="1022"/>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URL: https://navigator.osoboepravo.ru/explanation/417.html (дата обращения: 05.10.2026).</w:t>
      </w:r>
    </w:p>
    <w:p>
      <w:pPr>
        <w:pStyle w:val="Compact"/>
        <w:numPr>
          <w:ilvl w:val="0"/>
          <w:numId w:val="1022"/>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URL: https://pvt31.ru/files/fload/NPA/prikaz_departamenta_socialnoy_zashchity_naseleniya_goroda_moskvy_ot_24_dekabrya_2014_g._no_1068_.pdf (дата обращения: 05.10.2026).</w:t>
      </w:r>
    </w:p>
    <w:p>
      <w:pPr>
        <w:pStyle w:val="Compact"/>
        <w:numPr>
          <w:ilvl w:val="0"/>
          <w:numId w:val="1022"/>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URL: https://base.garant.ru/404606671/ (дата обращения: 05.10.2026).</w:t>
      </w:r>
    </w:p>
    <w:p>
      <w:pPr>
        <w:pStyle w:val="Compact"/>
        <w:numPr>
          <w:ilvl w:val="0"/>
          <w:numId w:val="1022"/>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URL: http://chk-di.soc52.ru/chk-di-documents/statement/3786-statement-nutrition (дата обращения: 05.10.2026).</w:t>
      </w:r>
    </w:p>
    <w:p>
      <w:pPr>
        <w:pStyle w:val="Compact"/>
        <w:numPr>
          <w:ilvl w:val="0"/>
          <w:numId w:val="1022"/>
        </w:numPr>
      </w:pPr>
      <w:r>
        <w:t xml:space="preserve">[о] Приказ от 11.11.2014 № 171-п (нормы питания в организациях социального обслуживания Омской области). — URL: https://base.garant.ru/15588873/ (дата обращения: 05.10.2026).</w:t>
      </w:r>
    </w:p>
    <w:p>
      <w:pPr>
        <w:pStyle w:val="Compact"/>
        <w:numPr>
          <w:ilvl w:val="0"/>
          <w:numId w:val="1022"/>
        </w:numPr>
      </w:pPr>
      <w:r>
        <w:t xml:space="preserve">[о] Приказ Комитета по социальной защите населения Псковской области от 14.07.2020 № 206 (нормы питания). — URL: https://faolex.fao.org/docs/pdf/rus203529.pdf (дата обращения: 05.10.2026).</w:t>
      </w:r>
    </w:p>
    <w:p>
      <w:pPr>
        <w:pStyle w:val="Compact"/>
        <w:numPr>
          <w:ilvl w:val="0"/>
          <w:numId w:val="1022"/>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URL: https://base.garant.ru/408512695/ ; https://base.garant.ru/412848299/ ; https://base.garant.ru/29905144/53f89421bbdaf741eb2d1ecc4ddb4c33/ (дата обращения: 05.10.2026).</w:t>
      </w:r>
    </w:p>
    <w:p>
      <w:pPr>
        <w:pStyle w:val="Compact"/>
        <w:numPr>
          <w:ilvl w:val="0"/>
          <w:numId w:val="1022"/>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URL: http://publication.pravo.gov.ru/document/4701202508060002 ; http://publication.pravo.gov.ru/file/pdf?eoNumber=4701202508060002 (дата обращения: 05.10.2026).</w:t>
      </w:r>
    </w:p>
    <w:p>
      <w:pPr>
        <w:pStyle w:val="Compact"/>
        <w:numPr>
          <w:ilvl w:val="0"/>
          <w:numId w:val="1022"/>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URL: https://base.garant.ru/18936377/ ; https://base.garant.ru/18936377/53f89421bbdaf741eb2d1ecc4ddb4c33/ (дата обращения: 05.10.2026).</w:t>
      </w:r>
    </w:p>
    <w:p>
      <w:pPr>
        <w:pStyle w:val="Compact"/>
        <w:numPr>
          <w:ilvl w:val="0"/>
          <w:numId w:val="1022"/>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URL: https://sprt.tatar/files/Otchet_Psih_2025.pdf (дата обращения: 16.07.2026, по первой редакции обзора).</w:t>
      </w:r>
    </w:p>
    <w:p>
      <w:pPr>
        <w:pStyle w:val="Compact"/>
        <w:numPr>
          <w:ilvl w:val="0"/>
          <w:numId w:val="1022"/>
        </w:numPr>
      </w:pPr>
      <w:r>
        <w:t xml:space="preserve">[н] Wheeler M., Abbey K. L., Capra S. M. Choice on the menu: Increasing meal choice for people living in residential aged care, a pilot study // Journal of Human Nutrition and Dietetics. 2025. Vol. 38, № 1. e13401. DOI: 10.1111/jhn.13401.</w:t>
      </w:r>
    </w:p>
    <w:p>
      <w:pPr>
        <w:pStyle w:val="Compact"/>
        <w:numPr>
          <w:ilvl w:val="0"/>
          <w:numId w:val="1022"/>
        </w:numPr>
      </w:pPr>
      <w:r>
        <w:t xml:space="preserve">[н] Cereda E., Pedrolli C., Klersy C. et al. Nutritional status in older persons according to healthcare setting: A systematic review and meta-analysis of prevalence data using MNA® // Clinical Nutrition. 2016. Vol. 35, № 6. P. 1282–1290. DOI: 10.1016/j.clnu.2016.03.008.</w:t>
      </w:r>
    </w:p>
    <w:p>
      <w:pPr>
        <w:pStyle w:val="Compact"/>
        <w:numPr>
          <w:ilvl w:val="0"/>
          <w:numId w:val="1022"/>
        </w:numPr>
      </w:pPr>
      <w:r>
        <w:t xml:space="preserve">[н] Wright O. R. L., Connelly L. B., Capra S., Hendrikz J. Determinants of foodservice satisfaction for patients in geriatrics/rehabilitation and residents in residential aged care // Health Expectations. 2013. Vol. 16, № 3. P. 251–265. DOI: 10.1111/j.1369-7625.2011.00711.x.</w:t>
      </w:r>
    </w:p>
    <w:p>
      <w:pPr>
        <w:pStyle w:val="Compact"/>
        <w:numPr>
          <w:ilvl w:val="0"/>
          <w:numId w:val="1022"/>
        </w:numPr>
      </w:pPr>
      <w:r>
        <w:t xml:space="preserve">[н] Abbey K. L., Wright O. R. L., Capra S. Menu Planning in Residential Aged Care — The Level of Choice and Quality of Planning of Meals Available to Residents // Nutrients. 2015. Vol. 7, № 9. P. 7580–7592. DOI: 10.3390/nu7095354.</w:t>
      </w:r>
    </w:p>
    <w:p>
      <w:pPr>
        <w:pStyle w:val="Compact"/>
        <w:numPr>
          <w:ilvl w:val="0"/>
          <w:numId w:val="1022"/>
        </w:numPr>
      </w:pPr>
      <w:r>
        <w:t xml:space="preserve">[н] Wheeler M., Abbey K. L., Capra S. M. Choice on the menu in residential aged care: An underrated tool for maintaining resident autonomy // Nutrition &amp; Dietetics. 2025. Vol. 82, № 3. P. 327–336. DOI: 10.1111/1747-0080.70002.</w:t>
      </w:r>
    </w:p>
    <w:p>
      <w:pPr>
        <w:pStyle w:val="Compact"/>
        <w:numPr>
          <w:ilvl w:val="0"/>
          <w:numId w:val="1022"/>
        </w:numPr>
      </w:pPr>
      <w:r>
        <w:t xml:space="preserve">[н] McCray S., Maunder K., Krikowa R., MacKenzie-Shalders K. Room Service Improves Nutritional Intake and Increases Patient Satisfaction While Decreasing Food Waste and Cost // Journal of the Academy of Nutrition and Dietetics. 2018. Vol. 118, № 2. P. 284–293. DOI: 10.1016/j.jand.2017.05.014.</w:t>
      </w:r>
    </w:p>
    <w:p>
      <w:pPr>
        <w:pStyle w:val="Compact"/>
        <w:numPr>
          <w:ilvl w:val="0"/>
          <w:numId w:val="1022"/>
        </w:numPr>
      </w:pPr>
      <w:r>
        <w:t xml:space="preserve">[н] Wang D., Everett B., Brunero S. et al. Perspectives of residents and staff regarding food choice in residential aged care: A qualitative study // Journal of Clinical Nursing. 2020. Vol. 29, № 3–4. P. 626–637. DOI: 10.1111/jocn.15115.</w:t>
      </w:r>
    </w:p>
    <w:p>
      <w:pPr>
        <w:pStyle w:val="Compact"/>
        <w:numPr>
          <w:ilvl w:val="0"/>
          <w:numId w:val="1022"/>
        </w:numPr>
      </w:pPr>
      <w:r>
        <w:t xml:space="preserve">[н] Bailey A., Bailey S., Bernoth M.</w:t>
      </w:r>
      <w:r>
        <w:t xml:space="preserve"> </w:t>
      </w:r>
      <w:r>
        <w:t xml:space="preserve">‘I’d rather die happy’</w:t>
      </w:r>
      <w:r>
        <w:t xml:space="preserve">: residents’ experiences with food regulations, risk and food choice in residential aged care. A qualitative study // Contemporary Nurse. 2017. Vol. 53, № 6. P. 597–606. DOI: 10.1080/10376178.2017.1361334.</w:t>
      </w:r>
    </w:p>
    <w:p>
      <w:pPr>
        <w:pStyle w:val="Compact"/>
        <w:numPr>
          <w:ilvl w:val="0"/>
          <w:numId w:val="1022"/>
        </w:numPr>
      </w:pPr>
      <w:r>
        <w:t xml:space="preserve">[н] Mondkar A., Murdoch M., Gallagher J. E., Patel R. What’s on the menu? A qualitative study on the views of care home staff and residents on nutritional practices and implications for oral health // BDJ Open. 2025. Vol. 11. Art. 33. DOI: 10.1038/s41405-025-00325-9.</w:t>
      </w:r>
    </w:p>
    <w:p>
      <w:pPr>
        <w:pStyle w:val="Compact"/>
        <w:numPr>
          <w:ilvl w:val="0"/>
          <w:numId w:val="1022"/>
        </w:numPr>
      </w:pPr>
      <w:r>
        <w:t xml:space="preserve">[н] Crogan N. L., Dupler A. E., Short R., Heaton G. Food choice can improve nursing home resident meal service satisfaction and nutritional status // Journal of Gerontological Nursing. 2013. Vol. 39, № 5. P. 38–45. DOI: 10.3928/00989134-20130313-02.</w:t>
      </w:r>
    </w:p>
    <w:p>
      <w:pPr>
        <w:pStyle w:val="Compact"/>
        <w:numPr>
          <w:ilvl w:val="0"/>
          <w:numId w:val="1022"/>
        </w:numPr>
      </w:pPr>
      <w:r>
        <w:t xml:space="preserve">[н] Divert C., Laghmaoui R., Crema C. et al. Improving meal context in nursing homes. Impact of four strategies on food intake and meal pleasure // Appetite. 2015. Vol. 84. P. 139–147. DOI: 10.1016/j.appet.2014.09.027.</w:t>
      </w:r>
    </w:p>
    <w:p>
      <w:pPr>
        <w:pStyle w:val="Compact"/>
        <w:numPr>
          <w:ilvl w:val="0"/>
          <w:numId w:val="1022"/>
        </w:numPr>
      </w:pPr>
      <w:r>
        <w:t xml:space="preserve">[н] Kenkmann A., Price G. M., Bolton J., Hooper L. Health, wellbeing and nutritional status of older people living in UK care homes: an exploratory evaluation of changes in food and drink provision // BMC Geriatrics. 2010. Vol. 10. Art. 28. DOI: 10.1186/1471-2318-10-28.</w:t>
      </w:r>
    </w:p>
    <w:p>
      <w:pPr>
        <w:pStyle w:val="Compact"/>
        <w:numPr>
          <w:ilvl w:val="0"/>
          <w:numId w:val="1022"/>
        </w:numPr>
      </w:pPr>
      <w:r>
        <w:t xml:space="preserve">[н] Abbott R. A., Whear R., Thompson-Coon J. et al. Effectiveness of mealtime interventions on nutritional outcomes for the elderly living in residential care: a systematic review and meta-analysis // Ageing Research Reviews. 2013. Vol. 12, № 4. P. 967–981. DOI: 10.1016/j.arr.2013.06.002.</w:t>
      </w:r>
    </w:p>
    <w:p>
      <w:pPr>
        <w:pStyle w:val="Compact"/>
        <w:numPr>
          <w:ilvl w:val="0"/>
          <w:numId w:val="1022"/>
        </w:numPr>
      </w:pPr>
      <w:r>
        <w:t xml:space="preserve">[н] Herke M., Fink A., Langer G. et al. Environmental and behavioural modifications for improving food and fluid intake in people with dementia // Cochrane Database of Systematic Reviews. 2018. № 7. CD011542. DOI: 10.1002/14651858.CD011542.pub2.</w:t>
      </w:r>
    </w:p>
    <w:p>
      <w:pPr>
        <w:pStyle w:val="Compact"/>
        <w:numPr>
          <w:ilvl w:val="0"/>
          <w:numId w:val="1022"/>
        </w:numPr>
      </w:pPr>
      <w:r>
        <w:t xml:space="preserve">[н] Roos C., Alam M., Swall A. et al. Factors associated with older persons’ perceptions of dignity and well-being over a three-year period. A retrospective national study in residential care facilities // BMC Geriatrics. 2022. Vol. 22. Art. 515. DOI: 10.1186/s12877-022-03205-1.</w:t>
      </w:r>
    </w:p>
    <w:p>
      <w:pPr>
        <w:pStyle w:val="Compact"/>
        <w:numPr>
          <w:ilvl w:val="0"/>
          <w:numId w:val="1022"/>
        </w:numPr>
      </w:pPr>
      <w:r>
        <w:t xml:space="preserve">[н] Teasdale S. B., Ward P. B., Samaras K. et al. Dietary intake of people with severe mental illness: systematic review and meta-analysis // British Journal of Psychiatry. 2019. Vol. 214, № 5. P. 251–259. DOI: 10.1192/bjp.2019.20.</w:t>
      </w:r>
    </w:p>
    <w:p>
      <w:pPr>
        <w:pStyle w:val="Compact"/>
        <w:numPr>
          <w:ilvl w:val="0"/>
          <w:numId w:val="1022"/>
        </w:numPr>
      </w:pPr>
      <w:r>
        <w:t xml:space="preserve">[н] Özdemir A., Chapman H., Hall R., Ellahi B. Eating Well When Living With an Intellectual Disability — Exploring the Carer: Client Relationship in Residential Settings // Journal of Applied Research in Intellectual Disabilities. 2025. Vol. 38, № 6. e70157. DOI: 10.1111/jar.70157.</w:t>
      </w:r>
    </w:p>
    <w:p>
      <w:pPr>
        <w:pStyle w:val="Compact"/>
        <w:numPr>
          <w:ilvl w:val="0"/>
          <w:numId w:val="1022"/>
        </w:numPr>
      </w:pPr>
      <w:r>
        <w:t xml:space="preserve">[н] Pfister F., Uhlmann K., Olalia L., Kaufmann B. Institutional and interpersonal determinants of dietary practices of persons with intellectual disability in institutional accommodation in Switzerland: a qualitative study // BMC Public Health. 2026. Vol. 26. Art. 1100. DOI: 10.1186/s12889-026-26794-7.</w:t>
      </w:r>
    </w:p>
    <w:p>
      <w:pPr>
        <w:pStyle w:val="Compact"/>
        <w:numPr>
          <w:ilvl w:val="0"/>
          <w:numId w:val="1022"/>
        </w:numPr>
      </w:pPr>
      <w:r>
        <w:t xml:space="preserve">[н] Volkert D., Beck A. M., Cederholm T. et al. ESPEN practical guideline: Clinical nutrition and hydration in geriatrics // Clinical Nutrition. 2022. Vol. 41, № 4. P. 958–989. DOI: 10.1016/j.clnu.2022.01.024.</w:t>
      </w:r>
    </w:p>
    <w:p>
      <w:pPr>
        <w:pStyle w:val="Compact"/>
        <w:numPr>
          <w:ilvl w:val="0"/>
          <w:numId w:val="1022"/>
        </w:numPr>
      </w:pPr>
      <w:r>
        <w:t xml:space="preserve">[н] Volkert D., Beck A. M., Faxén-Irving G. et al. ESPEN guideline on nutrition and hydration in dementia — Update 2024 // Clinical Nutrition. 2024. Vol. 43, № 6. P. 1599–1626. DOI: 10.1016/j.clnu.2024.04.039.</w:t>
      </w:r>
    </w:p>
    <w:p>
      <w:pPr>
        <w:pStyle w:val="Compact"/>
        <w:numPr>
          <w:ilvl w:val="0"/>
          <w:numId w:val="1022"/>
        </w:numPr>
      </w:pPr>
      <w:r>
        <w:t xml:space="preserve">[н] Roulston M., Thompson C., Pelly F., Cave D. Food waste in residential aged care: A scoping review // Nutrition &amp; Dietetics. 2026. Vol. 83, № 1. P. 56–73. DOI: 10.1111/1747-0080.70034.</w:t>
      </w:r>
    </w:p>
    <w:p>
      <w:pPr>
        <w:pStyle w:val="Compact"/>
        <w:numPr>
          <w:ilvl w:val="0"/>
          <w:numId w:val="1022"/>
        </w:numPr>
      </w:pPr>
      <w:r>
        <w:t xml:space="preserve">[н] Williams P., Walton K. Plate waste in hospitals and strategies for change // e-SPEN, the European e-Journal of Clinical Nutrition and Metabolism. 2011. Vol. 6, № 6. P. e235–e241. DOI: 10.1016/j.eclnm.2011.09.006.</w:t>
      </w:r>
    </w:p>
    <w:p>
      <w:pPr>
        <w:pStyle w:val="Compact"/>
        <w:numPr>
          <w:ilvl w:val="0"/>
          <w:numId w:val="1022"/>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Nutrients. 2020. Vol. 12, № 9. Art. 2677. DOI: 10.3390/nu12092677.</w:t>
      </w:r>
    </w:p>
    <w:p>
      <w:pPr>
        <w:pStyle w:val="Compact"/>
        <w:numPr>
          <w:ilvl w:val="0"/>
          <w:numId w:val="1022"/>
        </w:numPr>
      </w:pPr>
      <w:r>
        <w:t xml:space="preserve">[н] Vucea V., Keller H. H., Morrison J. M. et al. Prevalence and Characteristics Associated with Modified Texture Food Use in Long Term Care: An Analysis of Making the Most of Mealtimes (M3) Project // Canadian Journal of Dietetic Practice and Research. 2019. Vol. 80, № 3. P. 104–110. DOI: 10.3148/cjdpr-2018-045.</w:t>
      </w:r>
    </w:p>
    <w:p>
      <w:pPr>
        <w:pStyle w:val="Compact"/>
        <w:numPr>
          <w:ilvl w:val="0"/>
          <w:numId w:val="1022"/>
        </w:numPr>
      </w:pPr>
      <w:r>
        <w:t xml:space="preserve">[н] Porter J., Ottrey E., Huggins C. E. Protected Mealtimes in hospitals and nutritional intake: Systematic review and meta-analyses // International Journal of Nursing Studies. 2017. Vol. 65. P. 62–69. DOI: 10.1016/j.ijnurstu.2016.11.002.</w:t>
      </w:r>
    </w:p>
    <w:p>
      <w:pPr>
        <w:pStyle w:val="Compact"/>
        <w:numPr>
          <w:ilvl w:val="0"/>
          <w:numId w:val="1022"/>
        </w:numPr>
      </w:pPr>
      <w:r>
        <w:t xml:space="preserve">[н] Hamasaki Y., Sakata N., Jin X. et al. Facility staffing associated with potentially avoidable hospitalizations in nursing home residents in Japan: a retrospective cohort study // BMC Geriatrics. 2023. Vol. 23. Art. 566. DOI: 10.1186/s12877-023-04278-2.</w:t>
      </w:r>
    </w:p>
    <w:p>
      <w:pPr>
        <w:pStyle w:val="Compact"/>
        <w:numPr>
          <w:ilvl w:val="0"/>
          <w:numId w:val="1022"/>
        </w:numPr>
      </w:pPr>
      <w:r>
        <w:t xml:space="preserve">[н] Keller H. H., Syed S., Dakkak H. et al. Reimagining Nutrition Care and Mealtimes in Long-Term Care // Journal of the American Medical Directors Association. 2022. Vol. 23, № 2. P. 253–260.e1. DOI: 10.1016/j.jamda.2021.12.021.</w:t>
      </w:r>
    </w:p>
    <w:p>
      <w:pPr>
        <w:pStyle w:val="Compact"/>
        <w:numPr>
          <w:ilvl w:val="0"/>
          <w:numId w:val="1022"/>
        </w:numPr>
      </w:pPr>
      <w:r>
        <w:t xml:space="preserve">[н] Simmons S. F., Osterweil D., Schnelle J. F. Improving food intake in nursing home residents with feeding assistance: a staffing analysis // The Journals of Gerontology. Series A. 2001. Vol. 56, № 12. P. M790–M794. DOI: 10.1093/gerona/56.12.m790.</w:t>
      </w:r>
    </w:p>
    <w:p>
      <w:pPr>
        <w:pStyle w:val="Compact"/>
        <w:numPr>
          <w:ilvl w:val="0"/>
          <w:numId w:val="1022"/>
        </w:numPr>
      </w:pPr>
      <w:r>
        <w:t xml:space="preserve">[н] Simmons S. F., Schnelle J. F. Individualized feeding assistance care for nursing home residents: staffing requirements to implement two interventions // The Journals of Gerontology. Series A. 2004. Vol. 59, № 9. P. M966–M973. DOI: 10.1093/gerona/59.9.m966.</w:t>
      </w:r>
    </w:p>
    <w:p>
      <w:pPr>
        <w:pStyle w:val="Compact"/>
        <w:numPr>
          <w:ilvl w:val="0"/>
          <w:numId w:val="1022"/>
        </w:numPr>
      </w:pPr>
      <w:r>
        <w:t xml:space="preserve">[н] Simmons S. F., Schnelle J. F. Feeding assistance needs of long-stay nursing home residents and staff time to provide care // Journal of the American Geriatrics Society. 2006. Vol. 54, № 6. P. 919–924. DOI: 10.1111/j.1532-5415.2006.00812.x.</w:t>
      </w:r>
    </w:p>
    <w:p>
      <w:pPr>
        <w:pStyle w:val="Compact"/>
        <w:numPr>
          <w:ilvl w:val="0"/>
          <w:numId w:val="1022"/>
        </w:numPr>
      </w:pPr>
      <w:r>
        <w:t xml:space="preserve">[н] Simmons S. F., Keeler E., Zhuo X. et al. Prevention of unintentional weight loss in nursing home residents: a controlled trial of feeding assistance // Journal of the American Geriatrics Society. 2008. Vol. 56, № 8. P. 1466–1473. DOI: 10.1111/j.1532-5415.2008.01801.x.</w:t>
      </w:r>
    </w:p>
    <w:p>
      <w:pPr>
        <w:pStyle w:val="Compact"/>
        <w:numPr>
          <w:ilvl w:val="0"/>
          <w:numId w:val="1022"/>
        </w:numPr>
      </w:pPr>
      <w:r>
        <w:t xml:space="preserve">[н] Hugo C., Isenring E., Sinclair D., Agarwal E. What does it cost to feed aged care residents in Australia? // Nutrition &amp; Dietetics. 2018. Vol. 75, № 1. P. 6–10. DOI: 10.1111/1747-0080.12368.</w:t>
      </w:r>
    </w:p>
    <w:p>
      <w:pPr>
        <w:pStyle w:val="Compact"/>
        <w:numPr>
          <w:ilvl w:val="0"/>
          <w:numId w:val="1022"/>
        </w:numPr>
      </w:pPr>
      <w:r>
        <w:t xml:space="preserve">[н] The Health and Social Care Act 2008 (Regulated Activities) Regulations 2014 (SI 2014/2936). Regulation 14: Meeting nutritional and hydration needs. — URL: https://www.legislation.gov.uk/uksi/2014/2936/regulation/14 (дата обращения: 05.10.2026).</w:t>
      </w:r>
    </w:p>
    <w:p>
      <w:pPr>
        <w:pStyle w:val="Compact"/>
        <w:numPr>
          <w:ilvl w:val="0"/>
          <w:numId w:val="1022"/>
        </w:numPr>
      </w:pPr>
      <w:r>
        <w:t xml:space="preserve">[н] Care Quality Commission. Regulations for service providers and managers. Regulation 14: Meeting nutritional and hydration needs (guidance; page last updated 16.05.2025). — URL: https://www.cqc.org.uk/guidance-providers/regulations/regulation-14-meeting-nutritional-hydration-needs (дата обращения: 05.10.2026).</w:t>
      </w:r>
    </w:p>
    <w:p>
      <w:pPr>
        <w:pStyle w:val="Compact"/>
        <w:numPr>
          <w:ilvl w:val="0"/>
          <w:numId w:val="1022"/>
        </w:numPr>
      </w:pPr>
      <w:r>
        <w:t xml:space="preserve">[н] Scottish Government. Health and Social Care Standards: my support, my life. 2017. Standards 1.33–1.39; Care Inspectorate. Eating and drinking well in care: good practice guidance. — URL: https://www.gov.scot/publications/health-social-care-standards-support-life/ ; https://www.careinspectorate.com/ (дата обращения: 05.10.2026).</w:t>
      </w:r>
    </w:p>
    <w:p>
      <w:pPr>
        <w:pStyle w:val="Compact"/>
        <w:numPr>
          <w:ilvl w:val="0"/>
          <w:numId w:val="1022"/>
        </w:numPr>
      </w:pPr>
      <w:r>
        <w:t xml:space="preserve">[н] 42 CFR § 483.60. Food and nutrition services. — URL: https://www.law.cornell.edu/cfr/text/42/483.60 (дата обращения: 05.10.2026).</w:t>
      </w:r>
    </w:p>
    <w:p>
      <w:pPr>
        <w:pStyle w:val="Compact"/>
        <w:numPr>
          <w:ilvl w:val="0"/>
          <w:numId w:val="1022"/>
        </w:numPr>
      </w:pPr>
      <w:r>
        <w:t xml:space="preserve">[н] Centers for Medicare &amp; Medicaid Services. State Operations Manual. Appendix PP — Guidance to Surveyors for Long Term Care Facilities (Rev. 225, issued 08.08.2024). F806 «Resident Allergies, Preferences and Substitutes» (Rev. 173, effective 28.11.2017). — URL: https://www.cms.gov/medicare/provider-enrollment-and-certification/guidanceforlawsandregulations/downloads/appendix-pp-state-operations-manual.pdf (дата обращения: 05.10.2026).</w:t>
      </w:r>
    </w:p>
    <w:p>
      <w:pPr>
        <w:pStyle w:val="Compact"/>
        <w:numPr>
          <w:ilvl w:val="0"/>
          <w:numId w:val="1022"/>
        </w:numPr>
      </w:pPr>
      <w:r>
        <w:t xml:space="preserve">[н] Centers for Medicare &amp; Medicaid Services. Form CMS-20053 «Dining Observation» (8/2015). — URL: https://www.cms.gov/files/document/cms-20053-diningpdf (дата обращения: 05.10.2026).</w:t>
      </w:r>
    </w:p>
    <w:p>
      <w:pPr>
        <w:pStyle w:val="Compact"/>
        <w:numPr>
          <w:ilvl w:val="0"/>
          <w:numId w:val="1022"/>
        </w:numPr>
      </w:pPr>
      <w:r>
        <w:t xml:space="preserve">[н] Ontario Regulation 246/22 (General) under the Fixing Long-Term Care Act, 2021. Section 77: Menu planning (воспроизведено по: OSNAC Menu Evaluation &amp; Approval Tool for LTC, July 2022). — URL: https://www.ontario.ca/laws/regulation/220246 ; https://www.osnac-fnat.com/_files/ugd/666b77_dd887e8092914e799e758624ed767e8e.pdf (дата обращения: 05.10.2026).</w:t>
      </w:r>
    </w:p>
    <w:p>
      <w:pPr>
        <w:pStyle w:val="Compact"/>
        <w:numPr>
          <w:ilvl w:val="0"/>
          <w:numId w:val="1022"/>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URL: https://www.ltchomes.net/LTCHPORTAL/Content/Snippets/Dining%20Observation.pdf (дата обращения: 05.10.2026).</w:t>
      </w:r>
    </w:p>
    <w:p>
      <w:pPr>
        <w:pStyle w:val="Compact"/>
        <w:numPr>
          <w:ilvl w:val="0"/>
          <w:numId w:val="1022"/>
        </w:numPr>
      </w:pPr>
      <w:r>
        <w:t xml:space="preserve">[н] Australian Government, Department of Health, Disability and Ageing. Strengthened Aged Care Quality Standards (Standard 6: Food and nutrition), в силе с 01.11.2025; Basic Daily Fee supplement. — URL: https://www.health.gov.au/ (дата обращения: 05.10.2026).</w:t>
      </w:r>
    </w:p>
    <w:p>
      <w:pPr>
        <w:pStyle w:val="Compact"/>
        <w:numPr>
          <w:ilvl w:val="0"/>
          <w:numId w:val="1022"/>
        </w:numPr>
      </w:pPr>
      <w:r>
        <w:t xml:space="preserve">[н] Deutsche Gesellschaft für Ernährung e. V. DGE-Qualitätsstandard für die Verpflegung mit „Essen auf Rädern“ und in Senioreneinrichtungen. 1. Auflage, 1. korrigierter Nachdruck. Bonn, 2022. — URL: https://www.dge.de/fileadmin/dok/gemeinschaftsgastronomie/dge-qualitaetsstandards/DGE-Qualitaetsstandard_Essen_auf_Raedern_Senioreneinrichtungen_aktualisiert.pdf (дата обращения: 05.10.2026).</w:t>
      </w:r>
    </w:p>
    <w:p>
      <w:pPr>
        <w:pStyle w:val="Compact"/>
        <w:numPr>
          <w:ilvl w:val="0"/>
          <w:numId w:val="1022"/>
        </w:numPr>
      </w:pPr>
      <w:r>
        <w:t xml:space="preserve">[н] Österreichische Gesellschaft für Ernährung / Bundesministerium für Soziales, Gesundheit, Pflege und Konsumentenschutz. Qualitätsstandard für die Verpflegung in Pflegeeinrichtungen (2022). — URL: https://www.sozialministerium.at/ (дата обращения: 05.10.2026).</w:t>
      </w:r>
    </w:p>
    <w:p>
      <w:pPr>
        <w:pStyle w:val="Compact"/>
        <w:numPr>
          <w:ilvl w:val="0"/>
          <w:numId w:val="1022"/>
        </w:numPr>
      </w:pPr>
      <w:r>
        <w:t xml:space="preserve">[н] Livsmedelsverket. Bra måltider i äldreomsorgen: nationella riktlinjer för måltider i äldreomsorgen. Uppsala, 2019 (uppdaterad maj 2024). ISBN 978-91-7714-262-1. — URL: https://www.livsmedelsverket.se/globalassets/publikationsdatabas/broschyrer-foldrar/riktlinjer_for_maltider_aldreomsorgen.pdf (дата обращения: 05.10.2026).</w:t>
      </w:r>
    </w:p>
    <w:p>
      <w:pPr>
        <w:pStyle w:val="Compact"/>
        <w:numPr>
          <w:ilvl w:val="0"/>
          <w:numId w:val="1022"/>
        </w:numPr>
      </w:pPr>
      <w:r>
        <w:t xml:space="preserve">[н] Ankestyrelsen. Tilsynsudtalelse om Fredericia Kommunes kvalitetsstandard for personlig pleje og praktisk hjælp (servicelovens § 83), 17.05.2024 (воспроизведено: DanmarkC TV, 07.06.2024). — URL: https://danmarkc.tv/afgoerelse-ankestyrelsen-vurderer-at-fredericia-kommune-handler-i-strid-med-lovgivningen/ (дата обращения: 05.10.2026).</w:t>
      </w:r>
    </w:p>
    <w:p>
      <w:pPr>
        <w:pStyle w:val="Compact"/>
        <w:numPr>
          <w:ilvl w:val="0"/>
          <w:numId w:val="1022"/>
        </w:numPr>
      </w:pPr>
      <w:r>
        <w:t xml:space="preserve">[н] Ministry of Health, Labour and Welfare (Japan). Long-term care insurance: nutrition management; LIFE (Long-term care Information system For Evidence), 2021. — URL: https://www.mhlw.go.jp/ (дата обращения: 05.10.2026).</w:t>
      </w:r>
    </w:p>
    <w:p>
      <w:pPr>
        <w:pStyle w:val="Compact"/>
        <w:numPr>
          <w:ilvl w:val="0"/>
          <w:numId w:val="1022"/>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URL: https://www.mhlw.go.jp/web/t_doc?dataId=82aa7416&amp;dataType=0&amp;pageNo=1 (дата обращения: 05.10.2026).</w:t>
      </w:r>
    </w:p>
    <w:p>
      <w:pPr>
        <w:pStyle w:val="Compact"/>
        <w:numPr>
          <w:ilvl w:val="0"/>
          <w:numId w:val="1022"/>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URL: https://www.mhlw.go.jp/web/t_doc?dataId=82aa0441&amp;dataType=0&amp;pageNo=1 (дата обращения: 05.10.2026).</w:t>
      </w:r>
    </w:p>
    <w:p>
      <w:pPr>
        <w:pStyle w:val="Compact"/>
        <w:numPr>
          <w:ilvl w:val="0"/>
          <w:numId w:val="1022"/>
        </w:numPr>
      </w:pPr>
      <w:r>
        <w:t xml:space="preserve">[н] Manimaran S., Razalli N. H., Abdul Manaf Z. et al. Strategies to Reduce the Rate of Plate Waste in Hospitalized Patients: A Scoping Review // Nutrients. 2023. Vol. 15, № 2. Art. 301. DOI: 10.3390/nu15020301.</w:t>
      </w:r>
    </w:p>
    <w:p>
      <w:pPr>
        <w:pStyle w:val="Compact"/>
        <w:numPr>
          <w:ilvl w:val="0"/>
          <w:numId w:val="1022"/>
        </w:numPr>
      </w:pPr>
      <w:r>
        <w:t xml:space="preserve">[н] Crogan N. L., Evans B. C. The shortened food expectations — long-term care questionnaire: assessing nursing home residents’ satisfaction with food and food service // Journal of Gerontological Nursing. 2006. Vol. 32, № 11. P. 50–59. DOI: 10.3928/00989134-20061101-08.</w:t>
      </w:r>
    </w:p>
    <w:p>
      <w:pPr>
        <w:pStyle w:val="Compact"/>
        <w:numPr>
          <w:ilvl w:val="0"/>
          <w:numId w:val="1022"/>
        </w:numPr>
      </w:pPr>
      <w:r>
        <w:t xml:space="preserve">[н] Yaxley A., Pankhurst M., Morgillo S., Miller M. A world-first food service satisfaction questionnaire for use with family members of nursing home residents // The Journal of Nutrition, Health and Aging. 2024. Vol. 28, № 1. Art. 100015. DOI: 10.1016/j.jnha.2023.100015.</w:t>
      </w:r>
    </w:p>
    <w:p>
      <w:pPr>
        <w:pStyle w:val="Compact"/>
        <w:numPr>
          <w:ilvl w:val="0"/>
          <w:numId w:val="1022"/>
        </w:numPr>
      </w:pPr>
      <w:r>
        <w:t xml:space="preserve">[н] Trinca V., Chaudhury H., Slaughter S. E. et al. Making the Most of Mealtimes (M3): Association Between Relationship-Centered Care Practices, and Number of Staff and Residents at Mealtimes in Canadian Long-Term Care Homes // Journal of the American Medical Directors Association. 2021. Vol. 22, № 9. P. 1927–1932.e1. DOI: 10.1016/j.jamda.2020.11.020.</w:t>
      </w:r>
    </w:p>
    <w:p>
      <w:pPr>
        <w:pStyle w:val="Compact"/>
        <w:numPr>
          <w:ilvl w:val="0"/>
          <w:numId w:val="1022"/>
        </w:numPr>
      </w:pPr>
      <w:r>
        <w:t xml:space="preserve">[н] Keller H. H., Wu S. A., Iraniparast M. et al. Relationship-Centered Mealtime Training Program Demonstrates Efficacy to Improve the Dining Environment in Long-Term Care // Journal of the American Medical Directors Association. 2021. Vol. 22, № 9. P. 1933–1938.e2. DOI: 10.1016/j.jamda.2020.11.008.</w:t>
      </w:r>
    </w:p>
    <w:p>
      <w:pPr>
        <w:pStyle w:val="Compact"/>
        <w:numPr>
          <w:ilvl w:val="0"/>
          <w:numId w:val="1022"/>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URL: https://pravo.ppt.ru/postanovlenie/pravitelstvo/n-999-251824 (дата обращения: 05.10.2026).</w:t>
      </w:r>
    </w:p>
    <w:p>
      <w:pPr>
        <w:pStyle w:val="Compact"/>
        <w:numPr>
          <w:ilvl w:val="0"/>
          <w:numId w:val="1022"/>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URL: https://base.garant.ru/403267034/ (дата обращения: 05.10.2026).</w:t>
      </w:r>
    </w:p>
    <w:p>
      <w:pPr>
        <w:pStyle w:val="Compact"/>
        <w:numPr>
          <w:ilvl w:val="0"/>
          <w:numId w:val="1022"/>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URL: https://www.gov.spb.ru/gov/otrasl/socpit/kachestvo-prodovolstvennogo-obespecheniya-socialnyh-uchrezhdenij/ (дата обращения: 05.10.2026).</w:t>
      </w:r>
    </w:p>
    <w:p>
      <w:pPr>
        <w:pStyle w:val="Compact"/>
        <w:numPr>
          <w:ilvl w:val="0"/>
          <w:numId w:val="1022"/>
        </w:numPr>
      </w:pPr>
      <w:r>
        <w:t xml:space="preserve">[о] Федеральный закон от 30.03.1999 № 52-ФЗ «О санитарно-эпидемиологическом благополучии населения». — URL: https://www.consultant.ru/document/cons_doc_LAW_22481/ (дата обращения: 05.10.2026).</w:t>
      </w:r>
    </w:p>
    <w:p>
      <w:pPr>
        <w:pStyle w:val="Compact"/>
        <w:numPr>
          <w:ilvl w:val="0"/>
          <w:numId w:val="1022"/>
        </w:numPr>
      </w:pPr>
      <w:r>
        <w:t xml:space="preserve">[о] Федеральный закон от 02.01.2000 № 29-ФЗ «О качестве и безопасности пищевых продуктов». — URL: https://base.garant.ru/12117866/ (дата обращения: 05.10.2026).</w:t>
      </w:r>
    </w:p>
    <w:p>
      <w:pPr>
        <w:pStyle w:val="Compact"/>
        <w:numPr>
          <w:ilvl w:val="0"/>
          <w:numId w:val="1022"/>
        </w:numPr>
      </w:pPr>
      <w:r>
        <w:t xml:space="preserve">[о] Федеральный закон от 21.11.2011 № 323-ФЗ «Об основах охраны здоровья граждан в Российской Федерации». — URL: https://www.consultant.ru/document/cons_doc_LAW_121895/ (дата обращения: 05.10.2026).</w:t>
      </w:r>
    </w:p>
    <w:bookmarkEnd w:id="158"/>
    <w:bookmarkStart w:id="159" w:name="Xb35b60ca42e1fb0a8817bb56218638990a6c82f"/>
    <w:p>
      <w:pPr>
        <w:pStyle w:val="Heading1"/>
      </w:pPr>
      <w:r>
        <w:t xml:space="preserve">Приложение А. Реестр нормативных и иных актов</w:t>
      </w:r>
    </w:p>
    <w:p>
      <w:pPr>
        <w:pStyle w:val="FirstParagraph"/>
      </w:pPr>
      <w:r>
        <w:t xml:space="preserve">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 на 05.10.2026.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[35]</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[36]</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[141]</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[142]</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w:t>
            </w:r>
          </w:p>
        </w:tc>
        <w:tc>
          <w:tcPr/>
          <w:p>
            <w:pPr>
              <w:pStyle w:val="Compact"/>
            </w:pPr>
            <w:r>
              <w:t xml:space="preserve">[143]</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[53]</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[54]</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[62]</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[40]</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w:t>
            </w:r>
          </w:p>
        </w:tc>
        <w:tc>
          <w:tcPr/>
          <w:p>
            <w:pPr>
              <w:pStyle w:val="Compact"/>
            </w:pPr>
            <w:r>
              <w:t xml:space="preserve">[2]</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[42]</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[48]</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[49]</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[50]</w:t>
            </w:r>
          </w:p>
        </w:tc>
      </w:tr>
      <w:tr>
        <w:tc>
          <w:tcPr/>
          <w:p>
            <w:pPr>
              <w:pStyle w:val="Compact"/>
            </w:pPr>
            <w:r>
              <w:t xml:space="preserve">22</w:t>
            </w:r>
          </w:p>
        </w:tc>
        <w:tc>
          <w:tcPr/>
          <w:p>
            <w:pPr>
              <w:pStyle w:val="Compact"/>
            </w:pPr>
            <w:r>
              <w:t xml:space="preserve">Пост. Правительства СПб от 29.12.2014 № 1284 (ред. 27.06.2022 № 561)</w:t>
            </w:r>
          </w:p>
        </w:tc>
        <w:tc>
          <w:tcPr/>
          <w:p>
            <w:pPr>
              <w:pStyle w:val="Compact"/>
            </w:pPr>
            <w:r>
              <w:t xml:space="preserve">Н</w:t>
            </w:r>
          </w:p>
        </w:tc>
        <w:tc>
          <w:tcPr/>
          <w:p>
            <w:pPr>
              <w:pStyle w:val="Compact"/>
            </w:pPr>
            <w:r>
              <w:t xml:space="preserve">Нормы питания СПб; две нормы для ПНИ</w:t>
            </w:r>
          </w:p>
        </w:tc>
        <w:tc>
          <w:tcPr/>
          <w:p>
            <w:pPr>
              <w:pStyle w:val="Compact"/>
            </w:pPr>
            <w:r>
              <w:t xml:space="preserve">[33]</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[71]</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w:t>
            </w:r>
          </w:p>
        </w:tc>
        <w:tc>
          <w:tcPr/>
          <w:p>
            <w:pPr>
              <w:pStyle w:val="Compact"/>
            </w:pPr>
            <w:r>
              <w:t xml:space="preserve">[72, 73]</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[70]</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[67]</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[43]</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[68, 77]</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[79]</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w:t>
            </w:r>
          </w:p>
        </w:tc>
        <w:tc>
          <w:tcPr/>
          <w:p>
            <w:pPr>
              <w:pStyle w:val="Compact"/>
            </w:pPr>
            <w:r>
              <w:t xml:space="preserve">[80]</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[44, 81]</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заказное питание</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[117]</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[119]</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[120]</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[123]</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[138]</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[38]</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[139]</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[75, 76]</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[45, 82]</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[69, 83]</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[46]</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[47, 78]</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[56]</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 по вторичным источникам)</w:t>
            </w:r>
          </w:p>
        </w:tc>
        <w:tc>
          <w:tcPr/>
          <w:p>
            <w:pPr>
              <w:pStyle w:val="Compact"/>
            </w:pPr>
            <w:r>
              <w:t xml:space="preserve">С</w:t>
            </w:r>
          </w:p>
        </w:tc>
        <w:tc>
          <w:tcPr/>
          <w:p>
            <w:pPr>
              <w:pStyle w:val="Compact"/>
            </w:pPr>
            <w:r>
              <w:t xml:space="preserve">Текст определения по существу не найден; обзор [59] излагает позицию через цель закупки</w:t>
            </w:r>
          </w:p>
        </w:tc>
        <w:tc>
          <w:tcPr/>
          <w:p>
            <w:pPr>
              <w:pStyle w:val="Compact"/>
            </w:pPr>
            <w:r>
              <w:t xml:space="preserve">[58, 59]</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[118]</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[121, 122]</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[124]</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[126]</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[128]</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[129]</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[131, 132]</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bl>
    <w:bookmarkEnd w:id="159"/>
    <w:bookmarkStart w:id="160"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Нетто, граммы на человека в сутки, если не указано иное [33]. Столбцы: (1) учреждения, кроме ПНИ; (2) ПНИ, норма с СБКС; (3) лица с сахарным диабетом; (4) лица с заболеваниями ЖКТ; (5) ПНИ, норма без СБКС; (6)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100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150</w:t>
            </w:r>
          </w:p>
        </w:tc>
      </w:tr>
      <w:tr>
        <w:tc>
          <w:tcPr/>
          <w:p>
            <w:pPr>
              <w:pStyle w:val="Compact"/>
            </w:pPr>
            <w:r>
              <w:t xml:space="preserve">Мука пшеничная</w:t>
            </w:r>
          </w:p>
        </w:tc>
        <w:tc>
          <w:tcPr/>
          <w:p>
            <w:pPr>
              <w:pStyle w:val="Compact"/>
            </w:pPr>
            <w:r>
              <w:t xml:space="preserve">45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r>
      <w:tr>
        <w:tc>
          <w:tcPr/>
          <w:p>
            <w:pPr>
              <w:pStyle w:val="Compact"/>
            </w:pPr>
            <w:r>
              <w:t xml:space="preserve">Мука картофельная (крахмал)</w:t>
            </w:r>
          </w:p>
        </w:tc>
        <w:tc>
          <w:tcPr/>
          <w:p>
            <w:pPr>
              <w:pStyle w:val="Compact"/>
            </w:pPr>
            <w:r>
              <w:t xml:space="preserve">2,5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80</w:t>
            </w:r>
          </w:p>
        </w:tc>
      </w:tr>
      <w:tr>
        <w:tc>
          <w:tcPr/>
          <w:p>
            <w:pPr>
              <w:pStyle w:val="Compact"/>
            </w:pPr>
            <w:r>
              <w:t xml:space="preserve">Овощи (все группы)</w:t>
            </w:r>
          </w:p>
        </w:tc>
        <w:tc>
          <w:tcPr/>
          <w:p>
            <w:pPr>
              <w:pStyle w:val="Compact"/>
            </w:pPr>
            <w:r>
              <w:t xml:space="preserve">318</w:t>
            </w:r>
          </w:p>
        </w:tc>
        <w:tc>
          <w:tcPr/>
          <w:p>
            <w:pPr>
              <w:pStyle w:val="Compact"/>
            </w:pPr>
            <w:r>
              <w:t xml:space="preserve">380</w:t>
            </w:r>
          </w:p>
        </w:tc>
        <w:tc>
          <w:tcPr/>
          <w:p>
            <w:pPr>
              <w:pStyle w:val="Compact"/>
            </w:pPr>
            <w:r>
              <w:t xml:space="preserve">402</w:t>
            </w:r>
          </w:p>
        </w:tc>
        <w:tc>
          <w:tcPr/>
          <w:p>
            <w:pPr>
              <w:pStyle w:val="Compact"/>
            </w:pPr>
            <w:r>
              <w:t xml:space="preserve">233,6</w:t>
            </w:r>
          </w:p>
        </w:tc>
        <w:tc>
          <w:tcPr/>
          <w:p>
            <w:pPr>
              <w:pStyle w:val="Compact"/>
            </w:pPr>
            <w:r>
              <w:t xml:space="preserve">380</w:t>
            </w:r>
          </w:p>
        </w:tc>
        <w:tc>
          <w:tcPr/>
          <w:p>
            <w:pPr>
              <w:pStyle w:val="Compact"/>
            </w:pPr>
            <w:r>
              <w:t xml:space="preserve">394,5¹</w:t>
            </w:r>
          </w:p>
        </w:tc>
      </w:tr>
      <w:tr>
        <w:tc>
          <w:tcPr/>
          <w:p>
            <w:pPr>
              <w:pStyle w:val="Compact"/>
            </w:pPr>
            <w:r>
              <w:t xml:space="preserve">Картофель</w:t>
            </w:r>
          </w:p>
        </w:tc>
        <w:tc>
          <w:tcPr/>
          <w:p>
            <w:pPr>
              <w:pStyle w:val="Compact"/>
            </w:pPr>
            <w:r>
              <w:t xml:space="preserve">168</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r>
      <w:tr>
        <w:tc>
          <w:tcPr/>
          <w:p>
            <w:pPr>
              <w:pStyle w:val="Compact"/>
            </w:pPr>
            <w:r>
              <w:t xml:space="preserve">Фрукты и ягоды свежие</w:t>
            </w:r>
          </w:p>
        </w:tc>
        <w:tc>
          <w:tcPr/>
          <w:p>
            <w:pPr>
              <w:pStyle w:val="Compact"/>
            </w:pPr>
            <w:r>
              <w:t xml:space="preserve">200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r>
      <w:tr>
        <w:tc>
          <w:tcPr/>
          <w:p>
            <w:pPr>
              <w:pStyle w:val="Compact"/>
            </w:pPr>
            <w:r>
              <w:t xml:space="preserve">Сухофрукты, шиповник</w:t>
            </w:r>
          </w:p>
        </w:tc>
        <w:tc>
          <w:tcPr/>
          <w:p>
            <w:pPr>
              <w:pStyle w:val="Compact"/>
            </w:pPr>
            <w:r>
              <w:t xml:space="preserve">10</w:t>
            </w:r>
          </w:p>
        </w:tc>
        <w:tc>
          <w:tcPr/>
          <w:p>
            <w:pPr>
              <w:pStyle w:val="Compact"/>
            </w:pPr>
            <w:r>
              <w:t xml:space="preserve">16</w:t>
            </w:r>
          </w:p>
        </w:tc>
        <w:tc>
          <w:tcPr/>
          <w:p>
            <w:pPr>
              <w:pStyle w:val="Compact"/>
            </w:pPr>
            <w:r>
              <w:t xml:space="preserve">81</w:t>
            </w:r>
          </w:p>
        </w:tc>
        <w:tc>
          <w:tcPr/>
          <w:p>
            <w:pPr>
              <w:pStyle w:val="Compact"/>
            </w:pPr>
            <w:r>
              <w:t xml:space="preserve">10</w:t>
            </w:r>
          </w:p>
        </w:tc>
        <w:tc>
          <w:tcPr/>
          <w:p>
            <w:pPr>
              <w:pStyle w:val="Compact"/>
            </w:pPr>
            <w:r>
              <w:t xml:space="preserve">16</w:t>
            </w:r>
          </w:p>
        </w:tc>
        <w:tc>
          <w:tcPr/>
          <w:p>
            <w:pPr>
              <w:pStyle w:val="Compact"/>
            </w:pPr>
            <w:r>
              <w:t xml:space="preserve">20 + 15²</w:t>
            </w:r>
          </w:p>
        </w:tc>
      </w:tr>
      <w:tr>
        <w:tc>
          <w:tcPr/>
          <w:p>
            <w:pPr>
              <w:pStyle w:val="Compact"/>
            </w:pPr>
            <w:r>
              <w:t xml:space="preserve">Соки</w:t>
            </w:r>
          </w:p>
        </w:tc>
        <w:tc>
          <w:tcPr/>
          <w:p>
            <w:pPr>
              <w:pStyle w:val="Compact"/>
            </w:pPr>
            <w:r>
              <w:t xml:space="preserve">60</w:t>
            </w:r>
          </w:p>
        </w:tc>
        <w:tc>
          <w:tcPr/>
          <w:p>
            <w:pPr>
              <w:pStyle w:val="Compact"/>
            </w:pPr>
            <w:r>
              <w:t xml:space="preserve">60</w:t>
            </w:r>
          </w:p>
        </w:tc>
        <w:tc>
          <w:tcPr/>
          <w:p>
            <w:pPr>
              <w:pStyle w:val="Compact"/>
            </w:pPr>
            <w:r>
              <w:t xml:space="preserve">66³</w:t>
            </w:r>
          </w:p>
        </w:tc>
        <w:tc>
          <w:tcPr/>
          <w:p>
            <w:pPr>
              <w:pStyle w:val="Compact"/>
            </w:pPr>
            <w:r>
              <w:t xml:space="preserve">74</w:t>
            </w:r>
          </w:p>
        </w:tc>
        <w:tc>
          <w:tcPr/>
          <w:p>
            <w:pPr>
              <w:pStyle w:val="Compact"/>
            </w:pPr>
            <w:r>
              <w:t xml:space="preserve">60</w:t>
            </w:r>
          </w:p>
        </w:tc>
        <w:tc>
          <w:tcPr/>
          <w:p>
            <w:pPr>
              <w:pStyle w:val="Compact"/>
            </w:pPr>
            <w:r>
              <w:t xml:space="preserve">100 мл</w:t>
            </w:r>
          </w:p>
        </w:tc>
      </w:tr>
      <w:tr>
        <w:tc>
          <w:tcPr/>
          <w:p>
            <w:pPr>
              <w:pStyle w:val="Compact"/>
            </w:pPr>
            <w:r>
              <w:t xml:space="preserve">Мясо (говядина, свинина)</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90</w:t>
            </w:r>
          </w:p>
        </w:tc>
      </w:tr>
      <w:tr>
        <w:tc>
          <w:tcPr/>
          <w:p>
            <w:pPr>
              <w:pStyle w:val="Compact"/>
            </w:pPr>
            <w:r>
              <w:t xml:space="preserve">Птица</w:t>
            </w:r>
          </w:p>
        </w:tc>
        <w:tc>
          <w:tcPr/>
          <w:p>
            <w:pPr>
              <w:pStyle w:val="Compact"/>
            </w:pPr>
            <w:r>
              <w:t xml:space="preserve">40</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r>
      <w:tr>
        <w:tc>
          <w:tcPr/>
          <w:p>
            <w:pPr>
              <w:pStyle w:val="Compact"/>
            </w:pPr>
            <w:r>
              <w:t xml:space="preserve">Колбаса, колбасные изделия</w:t>
            </w:r>
          </w:p>
        </w:tc>
        <w:tc>
          <w:tcPr/>
          <w:p>
            <w:pPr>
              <w:pStyle w:val="Compact"/>
            </w:pPr>
            <w:r>
              <w:t xml:space="preserve">25</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r>
      <w:tr>
        <w:tc>
          <w:tcPr/>
          <w:p>
            <w:pPr>
              <w:pStyle w:val="Compact"/>
            </w:pPr>
            <w:r>
              <w:t xml:space="preserve">Рыба, рыбопродукты</w:t>
            </w:r>
          </w:p>
        </w:tc>
        <w:tc>
          <w:tcPr/>
          <w:p>
            <w:pPr>
              <w:pStyle w:val="Compact"/>
            </w:pPr>
            <w:r>
              <w:t xml:space="preserve">41,8</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r>
      <w:tr>
        <w:tc>
          <w:tcPr/>
          <w:p>
            <w:pPr>
              <w:pStyle w:val="Compact"/>
            </w:pPr>
            <w:r>
              <w:t xml:space="preserve">Сыр</w:t>
            </w:r>
          </w:p>
        </w:tc>
        <w:tc>
          <w:tcPr/>
          <w:p>
            <w:pPr>
              <w:pStyle w:val="Compact"/>
            </w:pPr>
            <w:r>
              <w:t xml:space="preserve">14</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r>
      <w:tr>
        <w:tc>
          <w:tcPr/>
          <w:p>
            <w:pPr>
              <w:pStyle w:val="Compact"/>
            </w:pPr>
            <w:r>
              <w:t xml:space="preserve">Яйцо</w:t>
            </w:r>
          </w:p>
        </w:tc>
        <w:tc>
          <w:tcPr/>
          <w:p>
            <w:pPr>
              <w:pStyle w:val="Compact"/>
            </w:pPr>
            <w:r>
              <w:t xml:space="preserve">4 шт./нед</w:t>
            </w:r>
          </w:p>
        </w:tc>
        <w:tc>
          <w:tcPr/>
          <w:p>
            <w:pPr>
              <w:pStyle w:val="Compact"/>
            </w:pPr>
            <w:r>
              <w:t xml:space="preserve">4 шт./нед</w:t>
            </w:r>
          </w:p>
        </w:tc>
        <w:tc>
          <w:tcPr/>
          <w:p>
            <w:pPr>
              <w:pStyle w:val="Compact"/>
            </w:pPr>
            <w:r>
              <w:t xml:space="preserve">3,5 шт./нед</w:t>
            </w:r>
          </w:p>
        </w:tc>
        <w:tc>
          <w:tcPr/>
          <w:p>
            <w:pPr>
              <w:pStyle w:val="Compact"/>
            </w:pPr>
            <w:r>
              <w:t xml:space="preserve">4 шт./нед</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продукты</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 мл</w:t>
            </w:r>
          </w:p>
        </w:tc>
      </w:tr>
      <w:tr>
        <w:tc>
          <w:tcPr/>
          <w:p>
            <w:pPr>
              <w:pStyle w:val="Compact"/>
            </w:pPr>
            <w:r>
              <w:t xml:space="preserve">Творог</w:t>
            </w:r>
          </w:p>
        </w:tc>
        <w:tc>
          <w:tcPr/>
          <w:p>
            <w:pPr>
              <w:pStyle w:val="Compact"/>
            </w:pPr>
            <w:r>
              <w:t xml:space="preserve">40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20 мл</w:t>
            </w:r>
          </w:p>
        </w:tc>
      </w:tr>
      <w:tr>
        <w:tc>
          <w:tcPr/>
          <w:p>
            <w:pPr>
              <w:pStyle w:val="Compact"/>
            </w:pPr>
            <w:r>
              <w:t xml:space="preserve">Маргарин</w:t>
            </w:r>
          </w:p>
        </w:tc>
        <w:tc>
          <w:tcPr/>
          <w:p>
            <w:pPr>
              <w:pStyle w:val="Compact"/>
            </w:pPr>
            <w:r>
              <w:t xml:space="preserve">10</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r>
      <w:tr>
        <w:tc>
          <w:tcPr/>
          <w:p>
            <w:pPr>
              <w:pStyle w:val="Compact"/>
            </w:pPr>
            <w:r>
              <w:t xml:space="preserve">Сметана</w:t>
            </w:r>
          </w:p>
        </w:tc>
        <w:tc>
          <w:tcPr/>
          <w:p>
            <w:pPr>
              <w:pStyle w:val="Compact"/>
            </w:pPr>
            <w:r>
              <w:t xml:space="preserve">10</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50⁴</w:t>
            </w:r>
          </w:p>
        </w:tc>
      </w:tr>
      <w:tr>
        <w:tc>
          <w:tcPr/>
          <w:p>
            <w:pPr>
              <w:pStyle w:val="Compact"/>
            </w:pPr>
            <w:r>
              <w:t xml:space="preserve">Сахар</w:t>
            </w:r>
          </w:p>
        </w:tc>
        <w:tc>
          <w:tcPr/>
          <w:p>
            <w:pPr>
              <w:pStyle w:val="Compact"/>
            </w:pPr>
            <w:r>
              <w:t xml:space="preserve">57</w:t>
            </w:r>
          </w:p>
        </w:tc>
        <w:tc>
          <w:tcPr/>
          <w:p>
            <w:pPr>
              <w:pStyle w:val="Compact"/>
            </w:pPr>
            <w:r>
              <w:t xml:space="preserve">57</w:t>
            </w:r>
          </w:p>
        </w:tc>
        <w:tc>
          <w:tcPr/>
          <w:p>
            <w:pPr>
              <w:pStyle w:val="Compact"/>
            </w:pPr>
            <w:r>
              <w:t xml:space="preserve">15⁵</w:t>
            </w:r>
          </w:p>
        </w:tc>
        <w:tc>
          <w:tcPr/>
          <w:p>
            <w:pPr>
              <w:pStyle w:val="Compact"/>
            </w:pPr>
            <w:r>
              <w:t xml:space="preserve">53</w:t>
            </w:r>
          </w:p>
        </w:tc>
        <w:tc>
          <w:tcPr/>
          <w:p>
            <w:pPr>
              <w:pStyle w:val="Compact"/>
            </w:pPr>
            <w:r>
              <w:t xml:space="preserve">57</w:t>
            </w:r>
          </w:p>
        </w:tc>
        <w:tc>
          <w:tcPr/>
          <w:p>
            <w:pPr>
              <w:pStyle w:val="Compact"/>
            </w:pPr>
            <w:r>
              <w:t xml:space="preserve">(в составе 50⁴)</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кофейный напиток, какао</w:t>
            </w:r>
          </w:p>
        </w:tc>
        <w:tc>
          <w:tcPr/>
          <w:p>
            <w:pPr>
              <w:pStyle w:val="Compact"/>
            </w:pPr>
            <w:r>
              <w:t xml:space="preserve">1,5</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r>
      <w:tr>
        <w:tc>
          <w:tcPr/>
          <w:p>
            <w:pPr>
              <w:pStyle w:val="Compact"/>
            </w:pPr>
            <w:r>
              <w:t xml:space="preserve">Соль</w:t>
            </w:r>
          </w:p>
        </w:tc>
        <w:tc>
          <w:tcPr/>
          <w:p>
            <w:pPr>
              <w:pStyle w:val="Compact"/>
            </w:pPr>
            <w:r>
              <w:t xml:space="preserve">10</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r>
      <w:tr>
        <w:tc>
          <w:tcPr/>
          <w:p>
            <w:pPr>
              <w:pStyle w:val="Compact"/>
            </w:pPr>
            <w:r>
              <w:t xml:space="preserve">СБКС</w:t>
            </w:r>
          </w:p>
        </w:tc>
        <w:tc>
          <w:tcPr/>
          <w:p>
            <w:pPr>
              <w:pStyle w:val="Compact"/>
            </w:pPr>
            <w:r>
              <w:t xml:space="preserve">27</w:t>
            </w:r>
          </w:p>
        </w:tc>
        <w:tc>
          <w:tcPr/>
          <w:p>
            <w:pPr>
              <w:pStyle w:val="Compact"/>
            </w:pPr>
            <w:r>
              <w:t xml:space="preserve">27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1 драже 3 раза в неделю</w:t>
            </w:r>
          </w:p>
        </w:tc>
        <w:tc>
          <w:tcPr/>
          <w:p>
            <w:pPr>
              <w:pStyle w:val="Compact"/>
            </w:pPr>
            <w:r>
              <w:t xml:space="preserve">1 драже 3 раза в неделю</w:t>
            </w:r>
          </w:p>
        </w:tc>
        <w:tc>
          <w:tcPr/>
          <w:p>
            <w:pPr>
              <w:pStyle w:val="Compact"/>
            </w:pPr>
            <w:r>
              <w:t xml:space="preserve">—</w:t>
            </w:r>
          </w:p>
        </w:tc>
        <w:tc>
          <w:tcPr/>
          <w:p>
            <w:pPr>
              <w:pStyle w:val="Compact"/>
            </w:pPr>
            <w:r>
              <w:t xml:space="preserve">—</w:t>
            </w:r>
          </w:p>
        </w:tc>
        <w:tc>
          <w:tcPr/>
          <w:p>
            <w:pPr>
              <w:pStyle w:val="Compact"/>
            </w:pPr>
            <w:r>
              <w:t xml:space="preserve">1 драже 3 раза в неделю</w:t>
            </w:r>
          </w:p>
        </w:tc>
        <w:tc>
          <w:tcPr/>
          <w:p>
            <w:pPr>
              <w:pStyle w:val="Compact"/>
            </w:pPr>
            <w:r>
              <w:t xml:space="preserve">50–100 % физиол. нормы по мед. показаниям</w:t>
            </w:r>
          </w:p>
        </w:tc>
      </w:tr>
    </w:tbl>
    <w:p>
      <w:pPr>
        <w:pStyle w:val="BodyText"/>
      </w:pPr>
      <w:r>
        <w:t xml:space="preserve">¹ Сумма: свежие 340 + солёные и маринованные 15 + зелень 14,8 + консервированные 24,7. ² Сухофрукты 20 и шиповник 15 указаны в приказе № 520н раздельно. ³ Для лиц с сахарным диабетом — «сок без сахара». ⁴ В приказе № 520н — единая позиция «сахар, варенье, печенье, кондитерские изделия». ⁵ Для лиц с сахарным диабетом сахар не входит в рецептуру блюд и выдаётся отдельно (примечание к постановлению № 1284).</w:t>
      </w:r>
    </w:p>
    <w:bookmarkEnd w:id="160"/>
    <w:bookmarkStart w:id="164"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62]</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71, 72, 74]</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[117–130]</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41, 51, 85–90, 94, 95, 97, 98, 103–106, 108–110, 116]</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72, 85, 116]</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61"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расширен только за счёт новых источников; число позиций в списке источников выросло с 98 до 132 (по данным сборки), в третьем проходе — до 136, в четвёртом — до 143. Ниже — что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61"/>
    <w:bookmarkStart w:id="162"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вычитан и переписан литературно: убраны канцелярские связки и пустые обороты, длинные абзацы о деле № А73-20917/2024 разбиты, формулировки сокращены. Каждое утверждение с источником, числа, ссылки, классы утверждений, словарь различений, 40 противоречий, 16 сценариев и 24 предложения сохранены; сверка ссылок и чисел до и после правки проведена по каждой главе. Новые факты внесены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[68]; изменения красноярского акта постановлениями № 74-п (2024) и № 892-п (2025) и отдельный раздел норм для ПНИ (с 2026 г. — ДСО) [81]; изменение ленинградского приказа от 04.08.2025 № 04-81 [82]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[124]</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112–115]</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[38]</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62"/>
    <w:bookmarkStart w:id="163" w:name="X4bb1c9e9b3804963a91cce012a1711de9d8f73d"/>
    <w:p>
      <w:pPr>
        <w:pStyle w:val="Heading2"/>
      </w:pPr>
      <w:r>
        <w:t xml:space="preserve">Четвёртый проход: незакрытые вопросы (октябрь 2026 г.)</w:t>
      </w:r>
    </w:p>
    <w:p>
      <w:pPr>
        <w:pStyle w:val="FirstParagraph"/>
      </w:pPr>
      <w:r>
        <w:t xml:space="preserve">Проверены вопросы, оставшиеся открытыми после третьего прохода. Новые факты внесены только с источниками; где первоисточник не найден, вопрос закрыт как непроверенный с перечнем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с бокса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[58, 59];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[67, 76];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[78];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[81];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[83];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[34];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[87];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[85]</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63"/>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2026-10-05T14:29:17Z</dcterms:created>
  <dcterms:modified xsi:type="dcterms:W3CDTF">2026-10-05T14:29:17Z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октября 2026 г.</vt:lpwstr>
  </property>
  <property fmtid="{D5CDD505-2E9C-101B-9397-08002B2CF9AE}" pid="3" name="subtitle">
    <vt:lpwstr>Аналитический доклад. Вторая, расширенная и переработанная редакция</vt:lpwstr>
  </property>
  <property fmtid="{D5CDD505-2E9C-101B-9397-08002B2CF9AE}" pid="4" name="toc-title">
    <vt:lpwstr>Содержание</vt:lpwstr>
  </property>
</Properties>
</file>