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6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позиции, перепроверенные в седьмом проходе, — на 06.10.2026 (прил.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десяти субъектов, причём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подробно разобрано постановление Правительства Санкт-Петербурга от 29.12.2014 № 1284. Изучены описанные в открытых источниках практики восьми российских учреждений и сообщение министра Иркутской области, нормы и процедуры проверки десяти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он возникает там, где его вводит само учреждение, и исчезает вместе с тем, кто его ввёл.</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Руководитель учреждения формулирует вопрос предельно просто: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Простого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1"/>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1"/>
        </w:numPr>
      </w:pPr>
      <w:r>
        <w:t xml:space="preserve">описать российские практики с указанием того, что источник сообщает и о чём умалчивает (глава 4);</w:t>
      </w:r>
    </w:p>
    <w:p>
      <w:pPr>
        <w:pStyle w:val="Compact"/>
        <w:numPr>
          <w:ilvl w:val="0"/>
          <w:numId w:val="1001"/>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1"/>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1"/>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и подменять их доклад не берётся.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содержимого тарелки жителя: пост для проживающего в ПНИ — его право, а не снисхождение пищеблока.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что для ПНИ составляет заметный пропуск.</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 из их смешения проистекает бо́льшая часть споров — как с проверяющими, так и внутри самих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формула «четырнадцать дней без повторов» характеризует меню, а не свободу человека.</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защищает норму, а не выбор; гречка, заменённая рисом «по остаткам», есть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разграничивает один вопрос: что изменилось сегодня в тарелке конкретного жителя и кто принял это решение?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 и это расхождение необходимо удерживать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для проверки: его исполнение видно в журнале и на линии раздачи. Широкое удобно для отчёта, поскольку под него подпадает почти любая перемена. Доклад пользуется узким определением и особо оговаривает случаи предварительного заказа. Заказ накануне, на котором построена практика ДСО «Серафимовский» [21], по узкому определению признаётся выбором при условии, что заказанное блюдо фактически подаётся заказавшему; заказ на неделю вперёд представляет собой выбор с отсрочкой, при котором право изменить решение в день подачи становится самостоятельным вопросом.</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w:t>
      </w:r>
      <w:r>
        <w:t xml:space="preserve"> </w:t>
      </w:r>
      <w:r>
        <w:rPr>
          <w:b/>
          <w:bCs/>
        </w:rPr>
        <w:t xml:space="preserve">Выбор в момент еды</w:t>
      </w:r>
      <w:r>
        <w:t xml:space="preserve"> </w:t>
      </w:r>
      <w:r>
        <w:t xml:space="preserve">— на линии раздачи или у тележки — представляет узкое определение в чистом виде.</w:t>
      </w:r>
      <w:r>
        <w:t xml:space="preserve"> </w:t>
      </w:r>
      <w:r>
        <w:rPr>
          <w:b/>
          <w:bCs/>
        </w:rPr>
        <w:t xml:space="preserve">Предварительный заказ</w:t>
      </w:r>
      <w:r>
        <w:t xml:space="preserve">, накануне или на неделю, признаётся выбором при условии, что заказанное подано заказавшему и в день подачи решение может быть изменено.</w:t>
      </w:r>
      <w:r>
        <w:t xml:space="preserve"> </w:t>
      </w:r>
      <w:r>
        <w:rPr>
          <w:b/>
          <w:bCs/>
        </w:rPr>
        <w:t xml:space="preserve">Самостоятельная комплектация</w:t>
      </w:r>
      <w:r>
        <w:t xml:space="preserve"> </w:t>
      </w:r>
      <w:r>
        <w:t xml:space="preserve">— линия самообслуживания или ежедневный «шведский стол» — соответствует модели М3. Предварительный заказ без права изменить решение в день подачи доклад квалифицирует как выбор с отсрочкой и предлагает отмечать его в отчёте особо (толкование).</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 главный источник путаницы, причём в отчётах она встречается чаще, чем в спорах.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необходима потому, что в современной практике одновременно действуют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FirstParagraph"/>
      </w:pPr>
      <w:r>
        <w:t xml:space="preserve">Понятийный аппарат доклада держится на нескольких разграничениях, каждое из которых имеет практическое следствие.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 Эти разграничения задают рамку анализа федерального права в главе 2.</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два вторых блюда из них не вывести; выводится иное: ограничения в повседневной жизни жителя должны иметь основание, а не проистекать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«может ли этот человек выбрать» следует ставить как вопрос о том, какая поддержка необходима, чтобы выбор принадлежал ему, а не закрывать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противоречия нет, есть лишь разная глубина ссылки.</w:t>
      </w:r>
    </w:p>
    <w:p>
      <w:pPr>
        <w:pStyle w:val="BodyText"/>
      </w:pPr>
      <w:r>
        <w:t xml:space="preserve">Для вариативного меню существеннее другое.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Им установлено,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весомее Примерного порядка: в отличие от приказа № 935н, Правила обращены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Из сказанного вытекают три следствия для вариативного меню (толкование). Прежде всего,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Далее, выбора блюд как такового Правила не требуют, и обосновывать приказом № 305н ежедневный выбор из двух вторых значило бы толковать его расширительно. Наконец,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Именно здесь находится основное законное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что по существу это верно, однако правовой адрес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[45–47].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[48]. Это локальная форма, а не норма, но она свидетельствует, что механизм, необходимый вариативному меню, во многих учреждениях уже существует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Следовательно (толкование), механизм эквивалентной замены для взрослых в социальном обслуживании существует, но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Для руководителя учреждения отсюда вытекает практическое правило: применяемая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[49]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49].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[49];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 каким бы удачным он ни был.</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Особого внимания заслуживает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Вопрос «почему сегодня два вторых» поэтому к предмету санитарного надзора не относится, тогда как вопросы «где ТТК на второе Б», «где проба» и «сколько часов оно стоит на линии»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50–52].</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и формулировка точна.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[53].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[54],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представляет собой не «вариативность по желанию пищеблока», а условие осуществления права, закреплённого законом.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Питание зависит от закупки сильнее, чем от рецептуры: именно спецификация решает, окажется ли на складе второй продукт группы. Государственное бюджетное учреждение закупает по 44-ФЗ [55].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[56]. Положения 44-ФЗ распространяются на закупки автономного учреждения за счёт субсидий на капитальные вложения (ч. 4 ст. 15 44-ФЗ) [55].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[57].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[58].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[58].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[58].</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[59].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[58, 59]. Под тем же номером 303-ЭС25-15393 в открытой базе судебных актов обнаружено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[60]; определения по существу жалобы в открытых источниках найти не удалось, и приводимая в блоге цитата из него не поддаётся проверке. Факт и дату отказа подтверждает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[61].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[61]. Это пересказ обозревателя, а не текст определения; попытки найти само определение в октябре 2026 г. (база судебных актов, сайт Верховного Суда, веб-архив) результата не дали.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[62].</w:t>
      </w:r>
    </w:p>
    <w:p>
      <w:pPr>
        <w:pStyle w:val="BodyText"/>
      </w:pPr>
      <w:r>
        <w:t xml:space="preserve">Для стационарной организации социального обслуживания это различие имеет решающее значение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и не опирается на определение Верховного Суда по существу жалобы, текст которого не найден; известный по вторичному пересказу итог (отказ в передаче жалобы) [61] ему не противоречит.</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[63].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[64].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[65].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[66]; выбор состава, таким образом,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[67], УФАС по Челябинской области в 2025 г. — о картеле на 27 тендерах школьного питания со штрафом 5,1 млн руб. [68]. Вывод для вариативного меню узок: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FirstParagraph"/>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Итоговая квалификация утверждений приведена в таблице; региональный уровень, на котором рамка наполняется содержанием, рассматривается в главе 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7"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ключевым уровнем являются нормы питания, поскольку именно они определяют, из чего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45–47, 69–71]; для остальных субъектов он заимствован из первой редакции. Вариативное меню в России, следовательно, повсеместно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Классификация полезна, однако выведенное из неё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72]. Постановлением № 929 приложение изложено в новой редакции с 01.01.2020 [72];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2"/>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2"/>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2"/>
        </w:numPr>
      </w:pPr>
      <w:r>
        <w:t xml:space="preserve">нормы питания беременных женщин и кормящих матерей;</w:t>
      </w:r>
    </w:p>
    <w:p>
      <w:pPr>
        <w:pStyle w:val="Compact"/>
        <w:numPr>
          <w:ilvl w:val="0"/>
          <w:numId w:val="1002"/>
        </w:numPr>
      </w:pPr>
      <w:r>
        <w:t xml:space="preserve">нормы питания детей первого года жизни, проживающих с матерями;</w:t>
      </w:r>
    </w:p>
    <w:p>
      <w:pPr>
        <w:pStyle w:val="Compact"/>
        <w:numPr>
          <w:ilvl w:val="0"/>
          <w:numId w:val="1002"/>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2"/>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2"/>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Сопоставление позволяет сделать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чем региональный нормотворец «заменяет»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здесь важен прецедент: региональный акт сам содержит пару эквивалентных наборов. Выбирает между ними не житель, а врач и учреждение, однако логика «два пути к одной пищевой ценности» заложена в самой норме.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[73]. Тарифы на социальные услуги ежегодно утверждает Комитет по социальной политике: на 2025 г. — распоряжением от 13.12.2024 № 1366-р, на 2026 г. — распоряжением от 15.12.2025 № 1155-р [74, 75].</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зеркально следуют нормам постановления № 1284 и разбиты по тем же категориям [74, 75].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[75].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[76]. Распоряжение о таких нормативах на 2027 г. в открытых официальных источниках найти не удалось (повторный поиск — 06.10.2026), и его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[74]</w:t>
            </w:r>
          </w:p>
        </w:tc>
        <w:tc>
          <w:tcPr/>
          <w:p>
            <w:pPr>
              <w:pStyle w:val="Compact"/>
            </w:pPr>
            <w:r>
              <w:t xml:space="preserve">2026 г., руб. в день [75]</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[74, 75].</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75]. Тарифы 2025 г. рассчитаны на нормы в редакции 2022 г., тарифы 2026 г. — на нормы в редакции № 507; сопоставление тарифов двух лет есть поэтому сопоставление разных наборов продуктов, а не только разных цен.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[74, 75].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w:t>
      </w:r>
    </w:p>
    <w:p>
      <w:pPr>
        <w:pStyle w:val="BodyText"/>
      </w:pPr>
      <w:r>
        <w:t xml:space="preserve">Третье: в 2025 г. тариф для ПНИ превышал общий (571,63 против 560,87), а в 2026 г. соотношение стало обратным (574,43 против 581,33) [74, 75].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77].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[69].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[69].</w:t>
      </w:r>
    </w:p>
    <w:p>
      <w:pPr>
        <w:pStyle w:val="BodyText"/>
      </w:pPr>
      <w:r>
        <w:t xml:space="preserve">Для темы доклада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[69].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вдвойне: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[78]. Текст приказа № 1068 обнаружен в выгрузке справочной системы, сохранённой 03.05.2015 [79].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[79].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[69].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4"/>
    <w:bookmarkStart w:id="65"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[80].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[70].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[70].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[70].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Обнаружился, однако,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[48]. Положение подробно описывает устройство единого меню в типичном доме-интернате, то есть ту исходную точку, от которой отсчитывается любой выбор.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[48].</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[81].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состоит в том,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5"/>
    <w:bookmarkStart w:id="66"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[82].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[54]. Опубликованные меню и правила необходимы вариативному меню в любом регионе: житель и его семья должны знать, из чего производится выбор.</w:t>
      </w:r>
    </w:p>
    <w:bookmarkEnd w:id="66"/>
    <w:bookmarkStart w:id="67"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[84].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иллюстрирует общую закономерность: диетологическую логику региональные нормы заимствуют из здравоохранения.</w:t>
      </w:r>
    </w:p>
    <w:bookmarkEnd w:id="67"/>
    <w:bookmarkStart w:id="68"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норма заслуживает внимательного прочтения.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[47].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[47].</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[47]. СБКС (27 г) включена в нормы этих типов учреждений со сноской «по медицинским показаниям»; витаминно-минеральные комплексы — 50–100 % физиологической нормы [47].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Показательно, что в регионе с наиболее развитой практикой выбора норма не упоминает ни выбор, ни варианты блюд, ни замену продуктов (проверено по тексту [47]). Новосибирские учреждения строили вариативное питание на той же нормативной основе, что и все остальные (толкование).</w:t>
      </w:r>
    </w:p>
    <w:bookmarkEnd w:id="68"/>
    <w:bookmarkStart w:id="69"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[45].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[45].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[45].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[85].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[85].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[85]. На вопрос, меняли ли поправки граммы, отвечают их официальные тексты на Официальном интернет-портале правовой информации [85].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[45, 85].</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[45]. Так учреждение само раскрывает минимум сведений о питании; о выборе блюд в них не говорится.</w:t>
      </w:r>
    </w:p>
    <w:bookmarkEnd w:id="69"/>
    <w:bookmarkStart w:id="70"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[46, 86].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[86].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[46]. СБКС (27 г) и витаминно-минеральные комплексы (50–100 %) включены в норму стационарного обслуживания без оговорки о медицинских показаниях [46].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46].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0"/>
    <w:bookmarkStart w:id="71"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[71],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[71]. После 2014 г. постановление № 306-п изменялось постановлениями от 27.03.2015 № 85-п, 30.12.2016 № 569-п, 09.06.2017 № 231-п, 01.10.2021 № 406-п и 12.08.2024 № 306-п [87]. Приложение 1 (нормы в стационарной форме) затронуто лишь изменениями от 06.09.2014 и 09.06.2017: постановлением № 231-п оно изложено в новой редакции, действующей поныне [87].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[87].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[71, 87].</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[46, 87].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46, 71].</w:t>
      </w:r>
    </w:p>
    <w:bookmarkEnd w:id="71"/>
    <w:bookmarkStart w:id="72"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45–47, 70, 87].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[79],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[46]</w:t>
            </w:r>
          </w:p>
        </w:tc>
        <w:tc>
          <w:tcPr/>
          <w:p>
            <w:pPr>
              <w:pStyle w:val="Compact"/>
            </w:pPr>
            <w:r>
              <w:t xml:space="preserve">НСО, брутто [47]</w:t>
            </w:r>
          </w:p>
        </w:tc>
        <w:tc>
          <w:tcPr/>
          <w:p>
            <w:pPr>
              <w:pStyle w:val="Compact"/>
            </w:pPr>
            <w:r>
              <w:t xml:space="preserve">НСО, ≈ нетто</w:t>
            </w:r>
          </w:p>
        </w:tc>
        <w:tc>
          <w:tcPr/>
          <w:p>
            <w:pPr>
              <w:pStyle w:val="Compact"/>
            </w:pPr>
            <w:r>
              <w:t xml:space="preserve">Красноярский край, брутто [45]</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отсюда следует простое правило: проверять пары по своей региональной норме и в тех же единицах (брутто или нетто), в которых она выражена.</w:t>
      </w:r>
    </w:p>
    <w:bookmarkEnd w:id="72"/>
    <w:bookmarkStart w:id="73"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88]. Это учреждение здравоохранения, и его показатели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3"/>
    <w:bookmarkStart w:id="74"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[69]</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[48]</w:t>
            </w:r>
          </w:p>
        </w:tc>
        <w:tc>
          <w:tcPr/>
          <w:p>
            <w:pPr>
              <w:pStyle w:val="Compact"/>
            </w:pPr>
            <w:r>
              <w:t xml:space="preserve">Нормы в ред. № 617 проверены по тексту [70];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[84]</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[47]</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[45]; официальные тексты изменений 2024–2025 гг. прочитаны: граммы взрослых норм не менялись [85]</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 № 04-81 от 04.08.2025 прочитан — приложение 3 не затронуто; изменения 2022–2023 гг. не прочитаны [46, 86]</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[71, 87]</w:t>
            </w:r>
          </w:p>
        </w:tc>
      </w:tr>
    </w:tbl>
    <w:bookmarkEnd w:id="74"/>
    <w:bookmarkStart w:id="75"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которое на практике заполняет привычка: одно меню на всех, потому что так проще рассчитывать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[69].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[46]).</w:t>
      </w:r>
    </w:p>
    <w:bookmarkEnd w:id="75"/>
    <w:bookmarkStart w:id="76" w:name="выводы-по-главе-3"/>
    <w:p>
      <w:pPr>
        <w:pStyle w:val="Heading2"/>
      </w:pPr>
      <w:r>
        <w:rPr>
          <w:rStyle w:val="SectionNumber"/>
        </w:rPr>
        <w:t xml:space="preserve">3.16</w:t>
      </w:r>
      <w:r>
        <w:tab/>
      </w:r>
      <w:r>
        <w:t xml:space="preserve">Выводы по главе 3</w:t>
      </w:r>
    </w:p>
    <w:p>
      <w:pPr>
        <w:pStyle w:val="FirstParagraph"/>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Таким образом, нормативная рамка допускает выбор, но не поддерживает его; как учреждения пользуются этим допущением, показывает глава 4.</w:t>
      </w:r>
    </w:p>
    <w:bookmarkEnd w:id="76"/>
    <w:bookmarkEnd w:id="77"/>
    <w:bookmarkStart w:id="89"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8"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Каждое сообщение прочитано в двух планах: что источник утверждает и о чём умалчивает. Новость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демонстрируют организационные решения, но не доказывают эффекта.</w:t>
      </w:r>
    </w:p>
    <w:p>
      <w:pPr>
        <w:pStyle w:val="BodyText"/>
      </w:pPr>
      <w:r>
        <w:t xml:space="preserve">В отличие от первой редакции, где был описан единственный российский кейс (Болотнинский ПНИ) [1], здесь рассмотрены восемь учреждений и одно региональное сообщение, к которым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bookmarkEnd w:id="78"/>
    <w:bookmarkStart w:id="79"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что спустя два года практика сохраняется.</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79"/>
    <w:bookmarkStart w:id="80"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порядок величин для сценария 14 гл. 7 они задают: самообслуживание способно сокращать раздачу, а не удлинять её, если жители в состоянии подойти к линии. Для тех, кто к линии не подходит, вопрос остаётся открытым (п. 7.16).</w:t>
      </w:r>
    </w:p>
    <w:bookmarkEnd w:id="80"/>
    <w:bookmarkStart w:id="81"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1"/>
    <w:bookmarkStart w:id="82"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dyTex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здесь из обнаруженных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наглядно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2"/>
    <w:bookmarkStart w:id="83"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Повторный поиск оригинала сообщения министерства от 14.02.2025 в октябре 2026 г. (поисковые системы; веб-архив, недоступный из среды подготовки доклада; агрегатор, закрытый защитой от автоматического доступа) результата не дал, в том числе при последней попытке 06.10.2026;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dyTex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3"/>
    <w:bookmarkStart w:id="84"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свидетельствует, что к 2026 г. практика вышла за пределы отдельных учреждений и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4"/>
    <w:bookmarkStart w:id="85"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[89].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[89].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[90] (конфликт интересов раскрыт выше). Учреждение закупает услугу по 223-ФЗ («оказание услуг по организации питания», ОКПД2 56.29.19.000). По данным закупочных реестров [91, 92], цепочка 2026 г. выглядит так:</w:t>
      </w:r>
    </w:p>
    <w:p>
      <w:pPr>
        <w:pStyle w:val="Compact"/>
        <w:numPr>
          <w:ilvl w:val="0"/>
          <w:numId w:val="1003"/>
        </w:numPr>
      </w:pPr>
      <w:r>
        <w:t xml:space="preserve">договор на 2026 г. № 32515363453-01 от 02.12.2025 с ООО «АгроФуд» на 219 945 788 руб.;</w:t>
      </w:r>
    </w:p>
    <w:p>
      <w:pPr>
        <w:pStyle w:val="Compact"/>
        <w:numPr>
          <w:ilvl w:val="0"/>
          <w:numId w:val="1003"/>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3"/>
        </w:numPr>
      </w:pPr>
      <w:r>
        <w:t xml:space="preserve">конкурс на август — декабрь 2026 г. с начальной ценой 92 110 941,90 руб. (извещение № 32616197209);</w:t>
      </w:r>
    </w:p>
    <w:p>
      <w:pPr>
        <w:pStyle w:val="Compact"/>
        <w:numPr>
          <w:ilvl w:val="0"/>
          <w:numId w:val="1003"/>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Карточки извещений и начальные цены сверены по агрегаторам закупок; номера, даты и исполнители договоров взяты из реестра договоров Единой информационной системы, которая из среды подготовки доклада недоступна, а агрегаторы этих договоров не показывают, поэтому в докладе они</w:t>
      </w:r>
      <w:r>
        <w:t xml:space="preserve"> </w:t>
      </w:r>
      <w:r>
        <w:rPr>
          <w:b/>
          <w:bCs/>
        </w:rPr>
        <w:t xml:space="preserve">не сверены независимо</w:t>
      </w:r>
      <w:r>
        <w:t xml:space="preserve"> </w:t>
      </w:r>
      <w:r>
        <w:t xml:space="preserve">[92].</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[91].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w:t>
      </w:r>
      <w:r>
        <w:t xml:space="preserve"> </w:t>
      </w:r>
      <w:r>
        <w:rPr>
          <w:b/>
          <w:bCs/>
        </w:rPr>
        <w:t xml:space="preserve">цикличное, а не вариативное</w:t>
      </w:r>
      <w:r>
        <w:t xml:space="preserve"> </w:t>
      </w:r>
      <w:r>
        <w:t xml:space="preserve">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доклад не проверял (документация конкурса из среды подготовки доклада недоступна). Доли жителей и меню-пары здесь не приводятся.</w:t>
      </w:r>
    </w:p>
    <w:p>
      <w:pPr>
        <w:pStyle w:val="BodyText"/>
      </w:pPr>
      <w:r>
        <w:t xml:space="preserve">Тем самым ДСО «Серафимовский» оказывается единственным обнаруженным российским кейсом вариативного меню (заказ накануне, М1) при аутсорсинге питания. Оговорка двойная: это учреждение самого автора, и кейс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обнаруживает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dyTex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нередко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[93].</w:t>
      </w:r>
    </w:p>
    <w:bookmarkEnd w:id="85"/>
    <w:bookmarkStart w:id="86"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6"/>
    <w:bookmarkStart w:id="87" w:name="сводная-таблица"/>
    <w:p>
      <w:pPr>
        <w:pStyle w:val="Heading2"/>
      </w:pPr>
      <w:r>
        <w:rPr>
          <w:rStyle w:val="SectionNumber"/>
        </w:rPr>
        <w:t xml:space="preserve">4.10</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[90]</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7"/>
    <w:bookmarkStart w:id="88" w:name="X7f6c4da8ae6c9e43bf0f74d7d5577f15f7ccc21"/>
    <w:p>
      <w:pPr>
        <w:pStyle w:val="Heading2"/>
      </w:pPr>
      <w:r>
        <w:rPr>
          <w:rStyle w:val="SectionNumber"/>
        </w:rPr>
        <w:t xml:space="preserve">4.11</w:t>
      </w:r>
      <w:r>
        <w:tab/>
      </w:r>
      <w:r>
        <w:t xml:space="preserve">Выводы по главе 4: что следует из совокупности кейсов</w:t>
      </w:r>
    </w:p>
    <w:p>
      <w:pPr>
        <w:pStyle w:val="FirstParagraph"/>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Обоснованный вывод скромнее: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dyText"/>
      </w:pPr>
      <w:r>
        <w:t xml:space="preserve">Кейс вариативного меню при аутсорсинге питания обнаружен один — ДСО «Серафимовский», учреждение автора доклада: аутсорсинг подтверждён автором [90] и карточками закупок по 223-ФЗ [91], но условия договора о выборе не проверены.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которые российская практика пока не подтверждает опубликованными договорами [22, 23].</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невозможно ни подтвердить, ни опровергнуть. Российская практика, следовательно, доказывает осуществимость выбора, но не его последствия; что известно о последствиях из научной литературы, рассматривается в главе 5.</w:t>
      </w:r>
    </w:p>
    <w:bookmarkEnd w:id="88"/>
    <w:bookmarkEnd w:id="89"/>
    <w:bookmarkStart w:id="106" w:name="научные-данные"/>
    <w:p>
      <w:pPr>
        <w:pStyle w:val="Heading1"/>
      </w:pPr>
      <w:r>
        <w:rPr>
          <w:rStyle w:val="SectionNumber"/>
        </w:rPr>
        <w:t xml:space="preserve">5</w:t>
      </w:r>
      <w:r>
        <w:tab/>
      </w:r>
      <w:r>
        <w:t xml:space="preserve">Научные данные</w:t>
      </w:r>
    </w:p>
    <w:bookmarkStart w:id="90"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Глава излагает,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0"/>
    <w:bookmarkStart w:id="91"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[94].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ценен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[53].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1"/>
    <w:bookmarkStart w:id="92"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[95].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[95].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[96]. Вывод непосредственно касается российских ПНИ и домов-интернатов: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[93].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[97].</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называют цену: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[98].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2"/>
    <w:bookmarkStart w:id="93"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осуществляется даже тогда, когда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[99];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[100].</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[101].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[101]. Здесь прямо назван механизм неравенства, который вариативное меню способно не устранить, а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ценны как источник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3"/>
    <w:bookmarkStart w:id="94"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[102].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[103].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недорогих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[104].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[104]. Авторы признают, что рутинные данные удалось использовать лишь частично, а потери наблюдения и пропуски были велики. Работа поучительна как пример того,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[105].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[106].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4"/>
    <w:bookmarkStart w:id="95"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[107].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[107].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Вывод для доклада ограничен, но существен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95"/>
    <w:bookmarkStart w:id="96"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[108].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[109].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[110].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96"/>
    <w:bookmarkStart w:id="97"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[111].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[112].</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Их ценность в том, что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7"/>
    <w:bookmarkStart w:id="98"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[113]. Для сравнения обзор приводит больничные данные: по нарративному обзору Williams и Walton (2011), медиана отходов с тарелки в 32 исследованиях составила 30 % [114],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[113].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[115].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[115]. Авторы заключают, что потеря массы возможна даже тогда, когда расчёт по меню и отходам показывает положительный баланс. Для доклада отсюда следует двойное предостережение: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98"/>
    <w:bookmarkStart w:id="99"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[116].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[96] оно показывает, что вариативное меню, задуманное для ходячих и говорящих жителей, может не дойти до половины дома. Решения о консистенции являются клиническими и в докладе не рассматриваются.</w:t>
      </w:r>
    </w:p>
    <w:bookmarkEnd w:id="99"/>
    <w:bookmarkStart w:id="100"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[117].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[118]. Связь наблюдательная и причинности не доказывает, но согласуется с представлением о том,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[119].</w:t>
      </w:r>
    </w:p>
    <w:bookmarkEnd w:id="100"/>
    <w:bookmarkStart w:id="101"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судьба вариативного меню решается персоналом.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[120]</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[121]</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[122]</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[123]</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[122];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[120, 121, 123].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[121, 123];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проверить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1"/>
    <w:bookmarkStart w:id="102"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[124]. В докладе «Не просто накормить» 8 долларов названы стоимостью сырья [22], тогда как по тексту статьи это стоимость всего кейтеринга; вторая редакция это уточняет.</w:t>
      </w:r>
    </w:p>
    <w:p>
      <w:pPr>
        <w:pStyle w:val="BodyText"/>
      </w:pPr>
      <w:r>
        <w:t xml:space="preserve">Прямой пересчёт австралийских цифр в рубли невозможен: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[93]). Российских опубликованных расчётов стоимости вариативного меню не обнаружено.</w:t>
      </w:r>
    </w:p>
    <w:bookmarkEnd w:id="102"/>
    <w:bookmarkStart w:id="103"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[101].</w:t>
      </w:r>
    </w:p>
    <w:bookmarkEnd w:id="103"/>
    <w:bookmarkStart w:id="104"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[94]</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[95]</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[96]</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[102]</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[103]</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[105]</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[106]</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[93]</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[113]</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[118]</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[108]</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[98]</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[104]</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[99]</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[100]</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[101]</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[107]</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[115]</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[120–123]</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4"/>
    <w:bookmarkStart w:id="105" w:name="выводы-по-главе-5"/>
    <w:p>
      <w:pPr>
        <w:pStyle w:val="Heading2"/>
      </w:pPr>
      <w:r>
        <w:rPr>
          <w:rStyle w:val="SectionNumber"/>
        </w:rPr>
        <w:t xml:space="preserve">5.16</w:t>
      </w:r>
      <w:r>
        <w:tab/>
      </w:r>
      <w:r>
        <w:t xml:space="preserve">Выводы по главе 5</w:t>
      </w:r>
    </w:p>
    <w:p>
      <w:pPr>
        <w:pStyle w:val="FirstParagraph"/>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 Как эти данные преломляются в регулировании и практике других стран, рассматривается в главе 6.</w:t>
      </w:r>
    </w:p>
    <w:bookmarkEnd w:id="105"/>
    <w:bookmarkEnd w:id="106"/>
    <w:bookmarkStart w:id="120" w:name="зарубежное-регулирование"/>
    <w:p>
      <w:pPr>
        <w:pStyle w:val="Heading1"/>
      </w:pPr>
      <w:r>
        <w:rPr>
          <w:rStyle w:val="SectionNumber"/>
        </w:rPr>
        <w:t xml:space="preserve">6</w:t>
      </w:r>
      <w:r>
        <w:tab/>
      </w:r>
      <w:r>
        <w:t xml:space="preserve">Зарубежное регулирование</w:t>
      </w:r>
    </w:p>
    <w:bookmarkStart w:id="107"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Их ценность иная: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07"/>
    <w:bookmarkStart w:id="108"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[125].</w:t>
      </w:r>
    </w:p>
    <w:p>
      <w:pPr>
        <w:pStyle w:val="BodyText"/>
      </w:pPr>
      <w:r>
        <w:t xml:space="preserve">Конструкция поучительна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[125].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[126].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[126].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[126].</w:t>
      </w:r>
    </w:p>
    <w:p>
      <w:pPr>
        <w:pStyle w:val="BodyText"/>
      </w:pPr>
      <w:r>
        <w:t xml:space="preserve">Для российского читателя 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3.15) (толкование).</w:t>
      </w:r>
    </w:p>
    <w:bookmarkEnd w:id="108"/>
    <w:bookmarkStart w:id="109"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[127].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[127].</w:t>
      </w:r>
    </w:p>
    <w:p>
      <w:pPr>
        <w:pStyle w:val="BodyText"/>
      </w:pPr>
      <w:r>
        <w:t xml:space="preserve">Шотландские стандарты создают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09"/>
    <w:bookmarkStart w:id="110"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[128].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[128].</w:t>
      </w:r>
    </w:p>
    <w:p>
      <w:pPr>
        <w:pStyle w:val="BodyText"/>
      </w:pPr>
      <w:r>
        <w:t xml:space="preserve">Американская норма — наиболее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снимается: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[129].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[129].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[129].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[129].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[130].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[130].</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0"/>
    <w:bookmarkStart w:id="111"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[131].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[131].</w:t>
      </w:r>
    </w:p>
    <w:p>
      <w:pPr>
        <w:pStyle w:val="BodyText"/>
      </w:pPr>
      <w:r>
        <w:t xml:space="preserve">Онтарийская норма демонстрирует совместимость выбора и цикличности: цикл в 21 день сам предусматривает альтернативы на каждом приёме пищи. В ней видно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[132].</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1"/>
    <w:bookmarkStart w:id="112"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[133].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[133]. Выбор в питании стал в Австралии предметом государственного стандарта после серии исследований, показавших, насколько мало его в действительности [96].</w:t>
      </w:r>
    </w:p>
    <w:bookmarkEnd w:id="112"/>
    <w:bookmarkStart w:id="113"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[134]. Для российской дискуссии он ценен тем, что описывает выбор не как принцип, а как совокупность проверяемых операционных требований, которые удобнее привести перечнем:</w:t>
      </w:r>
    </w:p>
    <w:p>
      <w:pPr>
        <w:pStyle w:val="Compact"/>
        <w:numPr>
          <w:ilvl w:val="0"/>
          <w:numId w:val="1004"/>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[134]. На плане меню несколько линий должны быть представлены наглядно, а рекомендуемая — выделена (первой строкой, цветом или символом) [134];</w:t>
      </w:r>
    </w:p>
    <w:p>
      <w:pPr>
        <w:pStyle w:val="Compact"/>
        <w:numPr>
          <w:ilvl w:val="0"/>
          <w:numId w:val="1004"/>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[134];</w:t>
      </w:r>
    </w:p>
    <w:p>
      <w:pPr>
        <w:pStyle w:val="Compact"/>
        <w:numPr>
          <w:ilvl w:val="0"/>
          <w:numId w:val="1004"/>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[134].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04"/>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[134];</w:t>
      </w:r>
    </w:p>
    <w:p>
      <w:pPr>
        <w:pStyle w:val="Compact"/>
        <w:numPr>
          <w:ilvl w:val="0"/>
          <w:numId w:val="1004"/>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[134];</w:t>
      </w:r>
    </w:p>
    <w:p>
      <w:pPr>
        <w:pStyle w:val="Compact"/>
        <w:numPr>
          <w:ilvl w:val="0"/>
          <w:numId w:val="1004"/>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[134];</w:t>
      </w:r>
    </w:p>
    <w:p>
      <w:pPr>
        <w:pStyle w:val="Compact"/>
        <w:numPr>
          <w:ilvl w:val="0"/>
          <w:numId w:val="1004"/>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[134];</w:t>
      </w:r>
    </w:p>
    <w:p>
      <w:pPr>
        <w:pStyle w:val="Compact"/>
        <w:numPr>
          <w:ilvl w:val="0"/>
          <w:numId w:val="1004"/>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[134];</w:t>
      </w:r>
    </w:p>
    <w:p>
      <w:pPr>
        <w:pStyle w:val="Compact"/>
        <w:numPr>
          <w:ilvl w:val="0"/>
          <w:numId w:val="1004"/>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[134];</w:t>
      </w:r>
    </w:p>
    <w:p>
      <w:pPr>
        <w:pStyle w:val="Compact"/>
        <w:numPr>
          <w:ilvl w:val="0"/>
          <w:numId w:val="1004"/>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[134],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[134].</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[135].</w:t>
      </w:r>
    </w:p>
    <w:bookmarkEnd w:id="113"/>
    <w:bookmarkStart w:id="114"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[136].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[136].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[136].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[136].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[136].</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[136]. Базовое меню служит одновременно для расчёта пищевой ценности на уровне группы, для учёта потребления, для внутренних расчётов и для закупки [136]. Второй шаг — готовить в объёме, который реально съедается, и строить систему заказа так, чтобы минимизировать отходы [136]. Тем самым снимается российский вопрос о совместимости выбора с нормами (п. 3.15)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[136].</w:t>
      </w:r>
    </w:p>
    <w:bookmarkEnd w:id="114"/>
    <w:bookmarkStart w:id="115"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[137].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[137].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[137].</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15"/>
    <w:bookmarkStart w:id="116"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[138].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[139]. Критерии такого питания установлены приказом-уведомлением № 123 [140]:</w:t>
      </w:r>
    </w:p>
    <w:p>
      <w:pPr>
        <w:pStyle w:val="Compact"/>
        <w:numPr>
          <w:ilvl w:val="0"/>
          <w:numId w:val="1005"/>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5"/>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5"/>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5"/>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5"/>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5"/>
        </w:numPr>
      </w:pPr>
      <w:r>
        <w:t xml:space="preserve">договор заключается после ясного объяснения, что это дополнительная плата сверх обычной [140].</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16"/>
    <w:bookmarkStart w:id="117" w:name="X335a4f457402e0cee31dd52e726a999b64c151d"/>
    <w:p>
      <w:pPr>
        <w:pStyle w:val="Heading2"/>
      </w:pPr>
      <w:r>
        <w:rPr>
          <w:rStyle w:val="SectionNumber"/>
        </w:rPr>
        <w:t xml:space="preserve">6.11</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[141]</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[141]</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[125]</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[125]</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Каркас международного доклада проекта остаётся каркасом: проверка трёх опор не превращает его в обзор опыта стран (рабочая база знаний, wiki/gaps.md, п. 11) [23].</w:t>
      </w:r>
    </w:p>
    <w:bookmarkEnd w:id="117"/>
    <w:bookmarkStart w:id="118" w:name="сводная-таблица-2"/>
    <w:p>
      <w:pPr>
        <w:pStyle w:val="Heading2"/>
      </w:pPr>
      <w:r>
        <w:rPr>
          <w:rStyle w:val="SectionNumber"/>
        </w:rPr>
        <w:t xml:space="preserve">6.12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[125]</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[127]</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[128]</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[131]</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[133]</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[134]</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[136]</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[137]</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[138]; приказы-уведомления № 419 и № 123 [139, 140]</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18"/>
    <w:bookmarkStart w:id="119" w:name="выводы-по-главе-6"/>
    <w:p>
      <w:pPr>
        <w:pStyle w:val="Heading2"/>
      </w:pPr>
      <w:r>
        <w:rPr>
          <w:rStyle w:val="SectionNumber"/>
        </w:rPr>
        <w:t xml:space="preserve">6.13</w:t>
      </w:r>
      <w:r>
        <w:tab/>
      </w:r>
      <w:r>
        <w:t xml:space="preserve">Выводы по главе 6</w:t>
      </w:r>
    </w:p>
    <w:p>
      <w:pPr>
        <w:pStyle w:val="FirstParagraph"/>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Расширенный обзор настоящей редакции добавляет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 Каким образом эти приёмы могут быть реализованы в границах действующего российского права, показывает глава 7.</w:t>
      </w:r>
    </w:p>
    <w:bookmarkEnd w:id="119"/>
    <w:bookmarkEnd w:id="120"/>
    <w:bookmarkStart w:id="140"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1"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форма сценария сохранена потому, что каждый из них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1"/>
    <w:bookmarkStart w:id="122"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3.15).</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6"/>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6"/>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6"/>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2"/>
    <w:bookmarkStart w:id="123"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23"/>
    <w:bookmarkStart w:id="124"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[95]. По Wheeler и соавт., переход к выбору в момент еды увеличил производственные отходы с 55 до 90 г на жителя в день [93].</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4"/>
    <w:bookmarkStart w:id="125"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Проблема распространённая и малозаметная: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5"/>
    <w:bookmarkStart w:id="126"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7"/>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7"/>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7"/>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07"/>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26"/>
    <w:bookmarkStart w:id="127"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[55, 56].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[63].</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такой подвижности не выдерживает.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[55].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[55].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[56].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27"/>
    <w:bookmarkStart w:id="128"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Поэтому до начала пилота целесообразно собрать следующий комплект (рекомендация); перечень сохранён в форме контрольного списка, поскольку служит рабочим инструментом:</w:t>
      </w:r>
    </w:p>
    <w:p>
      <w:pPr>
        <w:pStyle w:val="Compact"/>
        <w:numPr>
          <w:ilvl w:val="0"/>
          <w:numId w:val="1008"/>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утверждённые приказом № 124 [28], таким актом не являются. Они упоминают «зал заказного питания (вариативное меню)» одной фразой о месте приёма пищи. Отдельного положения об организации вариативного питания учреждение в открытом доступе не публикует (п. 4.8). Пример показывает минимум, а не образец.</w:t>
      </w:r>
    </w:p>
    <w:p>
      <w:pPr>
        <w:pStyle w:val="Compact"/>
        <w:numPr>
          <w:ilvl w:val="0"/>
          <w:numId w:val="1008"/>
        </w:numPr>
      </w:pPr>
      <w:r>
        <w:t xml:space="preserve">Утверждённое цикличное меню с указанием вариантов.</w:t>
      </w:r>
    </w:p>
    <w:p>
      <w:pPr>
        <w:pStyle w:val="Compact"/>
        <w:numPr>
          <w:ilvl w:val="0"/>
          <w:numId w:val="1008"/>
        </w:numPr>
      </w:pPr>
      <w:r>
        <w:t xml:space="preserve">Таблица замен с указанием источника и расчёт выполнения норм за период с учётом замен.</w:t>
      </w:r>
    </w:p>
    <w:p>
      <w:pPr>
        <w:pStyle w:val="Compact"/>
        <w:numPr>
          <w:ilvl w:val="0"/>
          <w:numId w:val="1008"/>
        </w:numPr>
      </w:pPr>
      <w:r>
        <w:t xml:space="preserve">Технологические документы на каждый вариант.</w:t>
      </w:r>
    </w:p>
    <w:p>
      <w:pPr>
        <w:pStyle w:val="Compact"/>
        <w:numPr>
          <w:ilvl w:val="0"/>
          <w:numId w:val="1008"/>
        </w:numPr>
      </w:pPr>
      <w:r>
        <w:t xml:space="preserve">Журналы бракеража и суточных проб с записями по каждому варианту.</w:t>
      </w:r>
    </w:p>
    <w:p>
      <w:pPr>
        <w:pStyle w:val="Compact"/>
        <w:numPr>
          <w:ilvl w:val="0"/>
          <w:numId w:val="1008"/>
        </w:numPr>
      </w:pPr>
      <w:r>
        <w:t xml:space="preserve">Учёт выбора: лист заказа (при заказе накануне) или ежедневная статистика распределения выбора.</w:t>
      </w:r>
    </w:p>
    <w:p>
      <w:pPr>
        <w:pStyle w:val="Compact"/>
        <w:numPr>
          <w:ilvl w:val="0"/>
          <w:numId w:val="1008"/>
        </w:numPr>
      </w:pPr>
      <w:r>
        <w:t xml:space="preserve">Протоколы совета (комиссии) по питанию, если такой создан.</w:t>
      </w:r>
    </w:p>
    <w:p>
      <w:pPr>
        <w:pStyle w:val="Compact"/>
        <w:numPr>
          <w:ilvl w:val="0"/>
          <w:numId w:val="1008"/>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проверяющего предполагают столь же определённые ответы.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28"/>
    <w:bookmarkStart w:id="129"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4.11).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[93]. Средняя стоимость кейтеринга в австралийских учреждениях составляет 8,00 доллара в день, из них на сырьё приходится 6,08 доллара [124].</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[93].</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[75]. Если допустить, что организация выбора увеличит расходы на питание на 10–20 % (допущение, близкое к результату Wheeler и соавт. [93]),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4.11)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[74, 75], то есть допущенный прирост в 20–40 раз превышает годовую индексацию. Арифметика показывает лишь одно: полный переход крупного учреждения — вопрос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 Петербургское сообщение называет именно оборудование и сотрудников [21].</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ДСО «Серафимовский» как автономное учреждение закупает по 223-ФЗ и своему положению о закупке, причём предметом закупки служат не продукты, а услуга по организации питания (аутсорсинг подтверждён автором [90]; в 2026 г. — договор на год с одним исполнителем, затем краткосрочные закупки в июне — июле, конкурс № 32616197209 на август — декабрь с начальной ценой 92 110 941,90 руб. и договор с другим исполнителем от 17.08.2026 [91, 92]; п. 4.8). Цикличное меню, приложенное к закупочной документации, расписано по вариантам диеты (ОВД, ИП, ОВД2, летний вариант) с одним блюдом на позицию [91], а варианты диеты не являются выбором блюд (п. 1.2). При закупке услуги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при продуктовой закупке по рамочному договору с ценой единицы оно осуществляется заявками без изменения договора (сценарии 6 и 12) [56]. Как выбор закреплён в договоре «Серафимовского», доклад не проверял.</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держится на доброй воле исполнителя и исчезает при смене контрагента. Смена контрагента — не гипотеза: в ДСО «Серафимовский» исполнитель услуги питания сменился в середине 2026 г. (договор от 02.12.2025 на год, новый договор от 17.08.2026 по итогам конкурса на август — декабрь) [92]. Всё, что не записано в ТЗ, при такой смене приходится согласовывать заново, а цикл по вариантам диеты из документации без отдельного раздела о выборе блюд выбора не гарантирует (толкование). ДСО «Тесовый берег» как бюджетное учреждение закупает по 44-ФЗ открытым конкурсом [63]; та же задача решается здесь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[55].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29"/>
    <w:bookmarkStart w:id="130"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0"/>
    <w:bookmarkStart w:id="131"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[96].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Начать следует с того, чего в праве нет. 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[142]</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граница для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09"/>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09"/>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09"/>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09"/>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09"/>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09"/>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[128] и не более 11 часов в шведских рекомендациях [136].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31"/>
    <w:bookmarkStart w:id="132"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2"/>
    <w:bookmarkStart w:id="133"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[56].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текст определения ВС № 303-ЭС25-15393 не проверен) [58, 62].</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[46])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[55],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[136].</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[56].</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[67, 68].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3"/>
    <w:bookmarkStart w:id="134"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[48].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[48]</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[48];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4"/>
    <w:bookmarkStart w:id="135"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[134].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[48].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[120–123].</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[120–123]).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[120–123].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[121, 123].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5"/>
    <w:bookmarkStart w:id="136"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[101], в австралийских выбор был особенно низок у жителей на протёртой пище [96]. Для ПНИ и ДСО, где многие жители не говорят или говорят с трудом, этот вопрос не второстепенен.</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[134]; лондонские дома — сбор предпочтений при поступлении [101];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[134]</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[136]</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[140].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[143];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0"/>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0"/>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Для ПНИ это право по ч. 2 ст. 37 в силу ст. 43 Закона № 3185-1 [26], для всех организаций — обязанность по подп. 15 п. 20 Правил № 305н обеспечивать условия для соблюдения постов [27] (</w:t>
      </w:r>
      <w:r>
        <w:rPr>
          <w:b/>
          <w:bCs/>
        </w:rPr>
        <w:t xml:space="preserve">норма</w:t>
      </w:r>
      <w:r>
        <w:t xml:space="preserve">).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0"/>
        </w:numPr>
      </w:pPr>
      <w:r>
        <w:rPr>
          <w:i/>
          <w:iCs/>
        </w:rPr>
        <w:t xml:space="preserve">Текстура по шкале IDDSI</w:t>
      </w:r>
      <w:r>
        <w:t xml:space="preserve"> </w:t>
      </w:r>
      <w:r>
        <w:t xml:space="preserve">(уровни 0–7, п. 6.11) [141]: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Граница «пищеблок ≠ клиника» не сдвигается: ни один из приведённых пунктов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36"/>
    <w:bookmarkStart w:id="137"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1"/>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1"/>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1"/>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37"/>
    <w:bookmarkStart w:id="138"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4.11) их не публикуют. Отчасти это объясняется тем,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[113].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[113].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[144].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[93].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[145]. Wright и соавт. использовали Resident Foodservice Satisfaction Questionnaire и связали удовлетворённость с числом вариантов и временем между выбором и подачей [95]. Wheeler и соавт. ограничились пятибалльной шкалой Лайкерта [93].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[146]. Опросник дополняет анкеты для жителей и персонала, разработанные той же университетской группой [146].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[136].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[134].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[115].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[147].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[148]. Вывод для российского ДСО прост: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38"/>
    <w:bookmarkStart w:id="139" w:name="выводы-по-главе-7"/>
    <w:p>
      <w:pPr>
        <w:pStyle w:val="Heading2"/>
      </w:pPr>
      <w:r>
        <w:rPr>
          <w:rStyle w:val="SectionNumber"/>
        </w:rPr>
        <w:t xml:space="preserve">7.19</w:t>
      </w:r>
      <w:r>
        <w:tab/>
      </w:r>
      <w:r>
        <w:t xml:space="preserve">Выводы по главе 7</w:t>
      </w:r>
    </w:p>
    <w:p>
      <w:pPr>
        <w:pStyle w:val="FirstParagraph"/>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Главная трудность лежит не в санитарных правилах,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 Как эти решения выглядят с позиции проверяющего, рассматривает глава 8.</w:t>
      </w:r>
    </w:p>
    <w:bookmarkEnd w:id="139"/>
    <w:bookmarkEnd w:id="140"/>
    <w:bookmarkStart w:id="158" w:name="контроль-кто-и-что-проверяет"/>
    <w:p>
      <w:pPr>
        <w:pStyle w:val="Heading1"/>
      </w:pPr>
      <w:r>
        <w:rPr>
          <w:rStyle w:val="SectionNumber"/>
        </w:rPr>
        <w:t xml:space="preserve">8</w:t>
      </w:r>
      <w:r>
        <w:tab/>
      </w:r>
      <w:r>
        <w:t xml:space="preserve">Контроль: кто и что проверяет</w:t>
      </w:r>
    </w:p>
    <w:bookmarkStart w:id="141"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Большинство конфликтов при проверках возникает из смешения предметов контроля: учреждение отвечает санитарному инспектору о качестве социальной услуги, а ведомственному контролёру — о санитарных нормах. Поэтому глава последовательно разграничивает органы по предмету и показывает, какой вопрос о выборе каждый из них вправе поставить.</w:t>
      </w:r>
    </w:p>
    <w:bookmarkEnd w:id="141"/>
    <w:bookmarkStart w:id="142"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2"/>
    <w:bookmarkStart w:id="143"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[149].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149].</w:t>
      </w:r>
    </w:p>
    <w:p>
      <w:pPr>
        <w:pStyle w:val="BodyText"/>
      </w:pPr>
      <w:r>
        <w:rPr>
          <w:b/>
          <w:bCs/>
        </w:rPr>
        <w:t xml:space="preserve">Исправление.</w:t>
      </w:r>
      <w:r>
        <w:t xml:space="preserve"> </w:t>
      </w:r>
      <w:r>
        <w:t xml:space="preserve">В предыдущей версии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проверяющим органом является Роструд, тогда как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[150].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3"/>
    <w:bookmarkStart w:id="144"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150].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44"/>
    <w:bookmarkStart w:id="145"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[150]. Петербургское сообщение о вариативном меню прозвучало на заседании рабочей группы при Комитете по социальной политике [21]; такой формат, при котором учредитель извещён и практика с ним обсуждается, снижает риск того, что её примут за самовольное отступление от порядка.</w:t>
      </w:r>
    </w:p>
    <w:bookmarkEnd w:id="145"/>
    <w:bookmarkStart w:id="146"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[150]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[151].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[151]. Учреждению присваивается категория: высшая (100 баллов), 1-я (85–99), 2-я (60–84), 3-я (30–59), 4-я (менее 30) [151].</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[151].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[151]. Учреждения по итогам претензионной работы выставили поставщикам штрафы на 1 754 034,89 руб. за полугодие [151].</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[151].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вариативность предстанет в отчёте нарушением (рекомендация; противоречие внесено в гл. 9).</w:t>
      </w:r>
    </w:p>
    <w:bookmarkEnd w:id="146"/>
    <w:bookmarkStart w:id="147"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каждая замена должна иметь документальное основание (сценарий 13).</w:t>
      </w:r>
    </w:p>
    <w:bookmarkEnd w:id="147"/>
    <w:bookmarkStart w:id="149"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[65].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48"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[64]. К претензиям к питанию в стационаре применяется ст. 6.6 [65].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Ссылаться на «сложившуюся практику» в каком бы то ни было направлении нельзя.</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[143].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[142],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48"/>
    <w:bookmarkEnd w:id="149"/>
    <w:bookmarkStart w:id="150"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[67, 68]. Для вариативного меню риск состоит в том, что спецификацию, составленную под конкретный вариант блюда, сочтут ограничивающей конкуренцию.</w:t>
      </w:r>
    </w:p>
    <w:bookmarkEnd w:id="150"/>
    <w:bookmarkStart w:id="151"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[77], а не в организациях социального обслуживания взрослых (п. 3.2).</w:t>
      </w:r>
    </w:p>
    <w:bookmarkEnd w:id="151"/>
    <w:bookmarkStart w:id="152"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[48].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[134].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[115]; поэтому низкие возвраты не доказывают достаточности питания конкретного жителя (п. 5.9).</w:t>
      </w:r>
    </w:p>
    <w:bookmarkEnd w:id="152"/>
    <w:bookmarkStart w:id="153"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проверяется, как учреждение отвечает на волю жителя, и проверяется это в реальном приёме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[129, 130].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[132].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[126].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[136].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[137].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[140].</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3"/>
    <w:bookmarkStart w:id="154"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[130, 132]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[132]</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[130, 132]</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[129, 130]</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[130, 132]</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[132]</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[130]</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[132]</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[129]</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54"/>
    <w:bookmarkStart w:id="155"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[48]</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[134]</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55"/>
    <w:bookmarkStart w:id="156"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56"/>
    <w:bookmarkStart w:id="157" w:name="выводы-по-главе-8"/>
    <w:p>
      <w:pPr>
        <w:pStyle w:val="Heading2"/>
      </w:pPr>
      <w:r>
        <w:rPr>
          <w:rStyle w:val="SectionNumber"/>
        </w:rPr>
        <w:t xml:space="preserve">8.16</w:t>
      </w:r>
      <w:r>
        <w:tab/>
      </w:r>
      <w:r>
        <w:t xml:space="preserve">Выводы по главе 8</w:t>
      </w:r>
    </w:p>
    <w:p>
      <w:pPr>
        <w:pStyle w:val="FirstParagraph"/>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 выявленные расхождения между источниками и нормами систематизированы в главе 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57"/>
    <w:bookmarkEnd w:id="158"/>
    <w:bookmarkStart w:id="162"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59"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Сглаживать их значило бы скрыть от читателя степень достоверности каждого утверждения.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59"/>
    <w:bookmarkStart w:id="160"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[64]</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[93];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[77]</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[124]</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[55]</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[143]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[142];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[78]; в приказе № 228 прочитаны п. 1–2.1, в том числе допуск ±5 % калорийности по приёмам пищи при соблюдении среднего за неделю [69]; текст № 1068 прочитан: брутто, три графы, в том числе психоневрологические организации [79]. Оба приказа — акты одного ведомства, иерархии между ними нет; № 228 утверждает нормы для тех же адресатов позднее [69, 79]</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[83]; вид, дата и номер акта подтверждены справочной отметкой о признании утратившим силу прежнего приказа № 340 [84]</w:t>
            </w:r>
          </w:p>
        </w:tc>
        <w:tc>
          <w:tcPr/>
          <w:p>
            <w:pPr>
              <w:pStyle w:val="Compact"/>
            </w:pPr>
            <w:r>
              <w:t xml:space="preserve">Снято в седьмом проходе: акт является приказом Комитета по социальной защите от 14.07.2020 № 206 (п. 3.7)</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[46]</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149]; в Санкт-Петербурге полномочие Управления социального питания по контролю норм питания отменено с 01.01.2022 [150]</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[59])</w:t>
            </w:r>
          </w:p>
        </w:tc>
        <w:tc>
          <w:tcPr/>
          <w:p>
            <w:pPr>
              <w:pStyle w:val="Compact"/>
            </w:pPr>
            <w:r>
              <w:t xml:space="preserve">Постановление округа ставит критерием цель закупки, а не источник денег [58]; комментарий ГАРАНТ.РУ делает более узкий вывод [62]; блог неверно излагает предмет договора и позицию апелляции; под этим номером в открытой базе найдено только определение об отсрочке госпошлины [60]; дата (28.01.2026) и итог подтверждены вторым вторичным источником, который излагает позицию через цель закупки [61]</w:t>
            </w:r>
          </w:p>
        </w:tc>
        <w:tc>
          <w:tcPr/>
          <w:p>
            <w:pPr>
              <w:pStyle w:val="Compact"/>
            </w:pPr>
            <w:r>
              <w:t xml:space="preserve">Частично снято: отказ подтверждён вторично; текст определения по существу не найден;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[74, 75];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[134]</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46, 47, 71];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[87]</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[151]</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и ХМАО (ред. 2017 г.) — в обеих величинах [33, 34, 45–47, 70, 87];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[58, 60]</w:t>
            </w:r>
          </w:p>
        </w:tc>
        <w:tc>
          <w:tcPr/>
          <w:p>
            <w:pPr>
              <w:pStyle w:val="Compact"/>
            </w:pPr>
            <w:r>
              <w:t xml:space="preserve">Техническое расхождение</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49]</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[90]; закупки по 223-ФЗ — по карточкам агрегатора [91, 92]; цикличные меню из закупочной документации — по вариантам диеты, без выбора блюд; исполнитель сменился в середине 2026 г. [92]. Один кейс — учреждение автора; ТЗ конкурса на август — декабрь 2026 г. и договор не прочитаны, условия о выборе не проверены</w:t>
            </w:r>
          </w:p>
        </w:tc>
        <w:tc>
          <w:tcPr/>
          <w:p>
            <w:pPr>
              <w:pStyle w:val="Compact"/>
            </w:pPr>
            <w:r>
              <w:t xml:space="preserve">Снято: кейс внесён (п. 4.8) с оговоркой о непроверенных условиях договора</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125, 141]</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0"/>
    <w:bookmarkStart w:id="161" w:name="выводы-по-главе-9"/>
    <w:p>
      <w:pPr>
        <w:pStyle w:val="Heading2"/>
      </w:pPr>
      <w:r>
        <w:rPr>
          <w:rStyle w:val="SectionNumber"/>
        </w:rPr>
        <w:t xml:space="preserve">9.3</w:t>
      </w:r>
      <w:r>
        <w:tab/>
      </w:r>
      <w:r>
        <w:t xml:space="preserve">Выводы по главе 9</w:t>
      </w:r>
    </w:p>
    <w:p>
      <w:pPr>
        <w:pStyle w:val="FirstParagraph"/>
      </w:pPr>
      <w:r>
        <w:t xml:space="preserve">Перечень распадается на четыре группы, различающиеся по тому, как с ними следует обращаться. Пункты 1–6, 10, 12–14, 21–23, 25, 28, 30–32,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[84].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dyText"/>
      </w:pPr>
      <w:r>
        <w:t xml:space="preserve">Вторую группу составляют открытые вопросы — пункты 9, 15, 24, 26, 29, 33,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dyText"/>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Именно в этих точках читателю, применяющему доклад на практике, следует сверяться с первоисточником, а сами вопросы переходят в предложения главы 10.</w:t>
      </w:r>
    </w:p>
    <w:bookmarkEnd w:id="161"/>
    <w:bookmarkEnd w:id="162"/>
    <w:bookmarkStart w:id="167"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3"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2"/>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2"/>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2"/>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Единственной найденной региональной опорой для взрослых служит п. 2.1 московского приказа № 228, допускающий отклонение калорийности по приёмам пищи на ±5 % при соблюдении среднего за неделю [69]; он пригоден как образец формулировки.</w:t>
      </w:r>
    </w:p>
    <w:p>
      <w:pPr>
        <w:pStyle w:val="Compact"/>
        <w:numPr>
          <w:ilvl w:val="0"/>
          <w:numId w:val="1012"/>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2"/>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[128], и из онтарийской модели цикла меню с выбором, утверждаемого диетологом при участии совета жителей [131].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[129].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2"/>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2"/>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Из шести прочитанных региональных актов два выражены в брутто, один в нетто, три в обеих величинах, поэтому граммы нельзя напрямую сравнивать ни между ними, ни с № 520н (п. 3.12; гл. 9, позиция 39).</w:t>
      </w:r>
    </w:p>
    <w:p>
      <w:pPr>
        <w:pStyle w:val="Compact"/>
        <w:numPr>
          <w:ilvl w:val="0"/>
          <w:numId w:val="1012"/>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[93, 113]; пределы отходов как меры съеденного выявило исследование CLEVER [115].</w:t>
      </w:r>
    </w:p>
    <w:p>
      <w:pPr>
        <w:pStyle w:val="Compact"/>
        <w:numPr>
          <w:ilvl w:val="0"/>
          <w:numId w:val="1012"/>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[129, 132].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2"/>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[136] и онтарийского требования о рассмотрении времени приёмов пищи советом жителей [132].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[151].</w:t>
      </w:r>
    </w:p>
    <w:bookmarkEnd w:id="163"/>
    <w:bookmarkStart w:id="164"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3"/>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Образцом локальной формы служат таблицы взаимозаменяемости и замены по белкам и углеводам, утверждённые положением нижегородского дома-интерната [48].</w:t>
      </w:r>
    </w:p>
    <w:p>
      <w:pPr>
        <w:pStyle w:val="Compact"/>
        <w:numPr>
          <w:ilvl w:val="0"/>
          <w:numId w:val="1013"/>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В Санкт-Петербурге разница между двумя ПНИ-тарифами за год сократилась с 90,77 до 43,21 руб., хотя граммы обеих ПНИ-норм почти не изменились, а соотношение тарифов ПНИ и общего сменило знак одновременно с пересборкой общей нормы постановлением № 507. Опубликованные документы не позволяют разделить влияние состава набора, цен и методики (п. 3.2;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3"/>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3"/>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[151]),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3"/>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64"/>
    <w:bookmarkStart w:id="165"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4"/>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4"/>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4"/>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4"/>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4"/>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[134] и опроса семьи у Yaxley и соавт. [146]; эти сведения составляют основу решений за тех, кто не может выразить выбор (сценарий 15).</w:t>
      </w:r>
    </w:p>
    <w:p>
      <w:pPr>
        <w:pStyle w:val="Compact"/>
        <w:numPr>
          <w:ilvl w:val="0"/>
          <w:numId w:val="1014"/>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[115].</w:t>
      </w:r>
    </w:p>
    <w:p>
      <w:pPr>
        <w:pStyle w:val="Compact"/>
        <w:numPr>
          <w:ilvl w:val="0"/>
          <w:numId w:val="1014"/>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[130, 132].</w:t>
      </w:r>
    </w:p>
    <w:p>
      <w:pPr>
        <w:pStyle w:val="Compact"/>
        <w:numPr>
          <w:ilvl w:val="0"/>
          <w:numId w:val="1014"/>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14"/>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4.11), спор о пользе и вреде выбора будет спором мнений.</w:t>
      </w:r>
    </w:p>
    <w:bookmarkEnd w:id="165"/>
    <w:bookmarkStart w:id="166" w:name="выводы-по-главе-10"/>
    <w:p>
      <w:pPr>
        <w:pStyle w:val="Heading2"/>
      </w:pPr>
      <w:r>
        <w:rPr>
          <w:rStyle w:val="SectionNumber"/>
        </w:rPr>
        <w:t xml:space="preserve">10.4</w:t>
      </w:r>
      <w:r>
        <w:tab/>
      </w:r>
      <w:r>
        <w:t xml:space="preserve">Выводы по главе 10</w:t>
      </w:r>
    </w:p>
    <w:p>
      <w:pPr>
        <w:pStyle w:val="FirstParagraph"/>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66"/>
    <w:bookmarkEnd w:id="167"/>
    <w:bookmarkStart w:id="168" w:name="заключение"/>
    <w:p>
      <w:pPr>
        <w:pStyle w:val="Heading1"/>
      </w:pPr>
      <w:r>
        <w:rPr>
          <w:rStyle w:val="SectionNumber"/>
        </w:rPr>
        <w:t xml:space="preserve">11</w:t>
      </w:r>
      <w:r>
        <w:tab/>
      </w: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5"/>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149].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5"/>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превращают каждый дополнительный вариант в отдельный объект производственного контроля.</w:t>
      </w:r>
    </w:p>
    <w:p>
      <w:pPr>
        <w:numPr>
          <w:ilvl w:val="0"/>
          <w:numId w:val="1015"/>
        </w:numPr>
      </w:pPr>
      <w:r>
        <w:rPr>
          <w:b/>
          <w:bCs/>
        </w:rPr>
        <w:t xml:space="preserve">Главный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5"/>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5"/>
        </w:numPr>
      </w:pPr>
      <w:r>
        <w:rPr>
          <w:b/>
          <w:bCs/>
        </w:rPr>
        <w:t xml:space="preserve">Российская практика расширилась, но не измерена.</w:t>
      </w:r>
      <w:r>
        <w:t xml:space="preserve"> </w:t>
      </w:r>
      <w:r>
        <w:t xml:space="preserve">За 2024–2026 гг. найдены сообщения восьми учреждений и одного регионального органа;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Спектр форматов простирается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выбора при аутсорсинге питания; условия договора о выборе не проверены).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5"/>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[93]. Те же данные обнаруживают цену выбора в момент еды: рост производственных отходов и стоимости примерно на 9–20 % [93]. Систематические обзоры оценивают эффект вмешательств в организацию питания на пищевой статус как небольшой и плохо измеренный [105, 106].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[108] и в условиях нормированного набора не проверено.</w:t>
      </w:r>
    </w:p>
    <w:p>
      <w:pPr>
        <w:numPr>
          <w:ilvl w:val="0"/>
          <w:numId w:val="1015"/>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[125, 128, 131];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[134, 136, 140]. Ни один из изученных актов не устанавливает минимального числа вторых блюд. Перенос этих формул в российское право возможен только актом федерального или регионального уровня.</w:t>
      </w:r>
    </w:p>
    <w:p>
      <w:pPr>
        <w:numPr>
          <w:ilvl w:val="0"/>
          <w:numId w:val="1015"/>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[96], и канадские данные о том, что пища изменённой консистенции назначена 47 % жителей [116], свидетельствуют, что вариативное меню, рассчитанное на ходячих и говорящих,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5"/>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149].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[129, 130, 132].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5"/>
        </w:numPr>
      </w:pPr>
      <w:r>
        <w:rPr>
          <w:b/>
          <w:bCs/>
        </w:rPr>
        <w:t xml:space="preserve">Противоречия не устранены, а названы.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является не вопросом о допустимости, а вопросом о процедуре: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68"/>
    <w:bookmarkStart w:id="169"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6"/>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6"/>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6"/>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6"/>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6"/>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6"/>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6"/>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6"/>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6"/>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6"/>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6"/>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6"/>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6"/>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6"/>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6"/>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6"/>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6"/>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6"/>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6"/>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6"/>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6"/>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6"/>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6"/>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6"/>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6"/>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6"/>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6"/>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6"/>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6"/>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6"/>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6"/>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6"/>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6"/>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6"/>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6"/>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6"/>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6"/>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6"/>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6"/>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6"/>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6"/>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6"/>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6"/>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6"/>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6"/>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6"/>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6"/>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6"/>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6"/>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6"/>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6"/>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6"/>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6"/>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6"/>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6"/>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6"/>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6"/>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6"/>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6"/>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6"/>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 А73-20917/2024). — Текст : электронный // СудАкт. — URL: https://sudact.ru/vsrf/doc/aZCIdQcDpC5v/ (дата обращения: 05.10.2026).</w:t>
      </w:r>
    </w:p>
    <w:p>
      <w:pPr>
        <w:pStyle w:val="Compact"/>
        <w:numPr>
          <w:ilvl w:val="0"/>
          <w:numId w:val="1016"/>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6"/>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6"/>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6"/>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6"/>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6"/>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6"/>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6"/>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6"/>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6"/>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6"/>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6"/>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6"/>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6"/>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6"/>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6"/>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6"/>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6"/>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6"/>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6"/>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6"/>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6"/>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6"/>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6"/>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6"/>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6"/>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6"/>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6"/>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6"/>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6"/>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6"/>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w:t>
      </w:r>
    </w:p>
    <w:p>
      <w:pPr>
        <w:pStyle w:val="Compact"/>
        <w:numPr>
          <w:ilvl w:val="0"/>
          <w:numId w:val="1016"/>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w:t>
      </w:r>
    </w:p>
    <w:p>
      <w:pPr>
        <w:pStyle w:val="Compact"/>
        <w:numPr>
          <w:ilvl w:val="0"/>
          <w:numId w:val="1016"/>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6"/>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6"/>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6"/>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6"/>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6"/>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6"/>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6"/>
        </w:numPr>
      </w:pPr>
      <w:r>
        <w:t xml:space="preserve">[н] Bailey A., Bailey S., Bernoth M.</w:t>
      </w:r>
      <w:r>
        <w:t xml:space="preserve"> </w:t>
      </w:r>
      <w:r>
        <w:t xml:space="preserve">‘I’d rather die happy’</w:t>
      </w:r>
      <w:r>
        <w:t xml:space="preserve">: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6"/>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6"/>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6"/>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6"/>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6"/>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6"/>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6"/>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6"/>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6"/>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6"/>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6"/>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6"/>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6"/>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6"/>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6"/>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6"/>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6"/>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6"/>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6"/>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6"/>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6"/>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6"/>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6"/>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6"/>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6"/>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6"/>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6"/>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6"/>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6"/>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6"/>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6"/>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6"/>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6"/>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6"/>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6"/>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6"/>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6"/>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6"/>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6"/>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6"/>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6"/>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6"/>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6"/>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6"/>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6"/>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6"/>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6"/>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6"/>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6"/>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6"/>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6"/>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6"/>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6"/>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69"/>
    <w:bookmarkStart w:id="170"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[152]</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[153]</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[142]</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[55]</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[56]</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[64]</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49]</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[50]</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[51]</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[52]</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[73]</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[74, 75]</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[72]</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[69]</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[70, 80]</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[82]</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[83, 84]</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[45, 85]</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[125]</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[127]</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[128]</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[131]</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[149]</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[150]</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[78, 79]</w:t>
            </w:r>
          </w:p>
        </w:tc>
      </w:tr>
      <w:tr>
        <w:tc>
          <w:tcPr/>
          <w:p>
            <w:pPr>
              <w:pStyle w:val="Compact"/>
            </w:pPr>
            <w:r>
              <w:t xml:space="preserve">43</w:t>
            </w:r>
          </w:p>
        </w:tc>
        <w:tc>
          <w:tcPr/>
          <w:p>
            <w:pPr>
              <w:pStyle w:val="Compact"/>
            </w:pPr>
            <w:r>
              <w:t xml:space="preserve">Приказ КСЗН Ленинградской обл. от 30.12.2021 № 04-58, прил. 3 (изм. приказом от 04.08.2025 № 04-81,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[46, 86]</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[71, 87]</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[47]</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[48, 81]</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[58]</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 по вторичным источникам)</w:t>
            </w:r>
          </w:p>
        </w:tc>
        <w:tc>
          <w:tcPr/>
          <w:p>
            <w:pPr>
              <w:pStyle w:val="Compact"/>
            </w:pPr>
            <w:r>
              <w:t xml:space="preserve">С</w:t>
            </w:r>
          </w:p>
        </w:tc>
        <w:tc>
          <w:tcPr/>
          <w:p>
            <w:pPr>
              <w:pStyle w:val="Compact"/>
            </w:pPr>
            <w:r>
              <w:t xml:space="preserve">Текст определения по существу не найден; обзор [61] излагает позицию через цель закупки</w:t>
            </w:r>
          </w:p>
        </w:tc>
        <w:tc>
          <w:tcPr/>
          <w:p>
            <w:pPr>
              <w:pStyle w:val="Compact"/>
            </w:pPr>
            <w:r>
              <w:t xml:space="preserve">[60, 61]</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[126]</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[129, 130]</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[132]</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[134]</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[136]</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[137]</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[139, 140]</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[143]</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[141]</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w:t>
            </w:r>
          </w:p>
        </w:tc>
        <w:tc>
          <w:tcPr/>
          <w:p>
            <w:pPr>
              <w:pStyle w:val="Compact"/>
            </w:pPr>
            <w:r>
              <w:t xml:space="preserve">[90–92]</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2027 г. в открытых официальных источниках не найдено</w:t>
            </w:r>
          </w:p>
        </w:tc>
        <w:tc>
          <w:tcPr/>
          <w:p>
            <w:pPr>
              <w:pStyle w:val="Compact"/>
            </w:pPr>
            <w:r>
              <w:t xml:space="preserve">[76]</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[89]</w:t>
            </w:r>
          </w:p>
        </w:tc>
      </w:tr>
    </w:tbl>
    <w:bookmarkEnd w:id="170"/>
    <w:bookmarkStart w:id="171"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1"/>
    <w:bookmarkStart w:id="178"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64]</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73, 74, 77]</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 89]</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[125–138, 141]</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53, 93–98, 102, 103, 105, 106, 111–114, 116–118, 124]</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74, 93, 124]</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2"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только за счёт новых источников: число позиций в списке источников выросло с 98 до 132 (по данным сборки), в третьем проходе — до 136, в четвёртом — до 143. Ниже перечислено, что было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2"/>
    <w:bookmarkStart w:id="173"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был вычитан и подвергнут литературной правке: устранены канцелярские связки и пустые обороты, длинные абзацы о деле № А73-20917/2024 разделены, формулировки сокращены. Каждое утверждение с источником,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до и после правки проведена по каждой главе. Новые факты вносились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[70]; изменения красноярского акта постановлениями № 74-п (2024) и № 892-п (2025) и отдельный раздел норм для ПНИ (с 2026 г. — ДСО) [85]; изменение ленинградского приказа от 04.08.2025 № 04-81 [86]</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[132]</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120–123]</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3"/>
    <w:bookmarkStart w:id="174"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Новые факты вносились только с источниками;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[60, 61];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[69, 79];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[81];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[85];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[86];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[87];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[95];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[93]</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74"/>
    <w:bookmarkStart w:id="175"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Перед правкой были перечитаны доклад «Не просто накормить» [22], служащий для настоящей работы базовым,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Новые факты вносились только с источниками; доклад не говорит от имени Минтруда России и не назначает диет, текстур и лекарств. Число позиций в списке источников составило 147.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[49]</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143]</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[141]</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[91]. Автор как руководитель учреждения 05.10.2026 подтвердил аутсорсинг питания [90];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75"/>
    <w:bookmarkStart w:id="176"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 доклад внесены только факты, допускающие публикацию: нет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Каждый внесённый факт сопровождается публичным источником: официальной публикацией акта, сайтом учреждения или карточкой закупки. Если публичная сверка не проводилась, это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[76];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[91, 92];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[91];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89]</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76"/>
    <w:bookmarkStart w:id="177"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имел две задачи: короткую целевую проверку одиннадцати пробелов, остававшихся открытыми в рабочей базе знаний (позиции 35–45 перечня wiki/gaps.md) [23], и приведение всего текста к нормам академической прозы. Новые факты вносились только с публичными источниками; доклад по-прежнему не говорит от имени Минтруда России.</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[84]; позиция 25 главы 9 снята (п. 3.7).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остаются: суточная проба на собственном пищеблоке (повторная сверка с текстом СанПиН 4282-26 прямой нормы не выявила; сценарий 13); совместимость поста с нормами питания (официального разъяснения не найдено; сценарий 16);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(по состоянию на 06.10.2026 приказ № 1068 продолжает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(сценарий 15); первоисточник иркутского сообщения о формате «два первых, два вторых, гарниры». По каждому из них в соответствующем разделе указана дата последней попытки.</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(актуальность, объект, предмет, цель, задачи, методы, источники, ограничения). Каждая глава завершается выводами; заключение дополнено итоговым абзацем. Аргументативные перечни переведены в связный текст; таблицы, сценарии, чек-листы и пронумерованные предложения сохранены в прежней форме, поскольку на них ссылаются другие разделы. Список источников оформлен по ГОСТ Р 7.0.100-2018. После правки каждой главы сценарий сверки подтвердил сохранность всех ссылок [n] и чисел. Исправлена одна неточность: в заключении число противоречий главы 9 было указано как 40 вместо 47. Число позиций в списке источников — 153.</w:t>
      </w:r>
    </w:p>
    <w:bookmarkEnd w:id="177"/>
    <w:bookmarkEnd w:id="178"/>
    <w:bookmarkStart w:id="179"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[89]; положения о питании и журналов там нет; цикличные меню ТЗ 2026 г. перечислены в документации закупки [91]</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[74]</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[75]; приложен для сравнения с 2025 г. (сценарий 8)</w:t>
            </w:r>
          </w:p>
        </w:tc>
      </w:tr>
    </w:tbl>
    <w:bookmarkEnd w:id="1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2026-10-06T05:50:53Z</dcterms:created>
  <dcterms:modified xsi:type="dcterms:W3CDTF">2026-10-06T05:50:53Z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6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