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 (академическая редакция)</w:t>
      </w:r>
    </w:p>
    <w:p>
      <w:pPr>
        <w:pStyle w:val="Author"/>
      </w:pPr>
      <w:r>
        <w:t xml:space="preserve">Е. В. Чистяков, директор СПб ГАСУСОН «ДСО „Серафимовский“»</w:t>
      </w:r>
    </w:p>
    <w:p>
      <w:pPr>
        <w:pStyle w:val="Date"/>
      </w:pPr>
      <w:r>
        <w:t xml:space="preserve">Санкт-Петербург, 8 октября 2026 г.</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Настоящий текст представляет собой аналитический доклад автора. Он не является официальным толкованием законодательства и не выражает позиции Министерства труда и социальной защиты Российской Федерации, созданной при нём рабочей группы по вариативному меню или Правительства Санкт-Петербурга. Предложения раздела 10 сформулированы автором как рекомендации и не излагают действующих норм.</w:t>
      </w:r>
    </w:p>
    <w:p>
      <w:pPr>
        <w:pStyle w:val="BodyText"/>
      </w:pPr>
      <w:r>
        <w:rPr>
          <w:b/>
          <w:bCs/>
        </w:rPr>
        <w:t xml:space="preserve">Раскрытие конфликта интересов.</w:t>
      </w:r>
      <w:r>
        <w:t xml:space="preserve"> </w:t>
      </w:r>
      <w:r>
        <w:t xml:space="preserve">Автор руководит ДСО «Серафимовский» — одним из учреждений, практика которых рассматривается в главе 4. Сведения об этом учреждении приводятся только по публичным источникам; внутренние данные в доклад не включены, а утверждения, которые не удалось сверить независимо, помечены как «не сверено».</w:t>
      </w:r>
    </w:p>
    <w:p>
      <w:pPr>
        <w:pStyle w:val="BodyText"/>
      </w:pPr>
      <w:r>
        <w:rPr>
          <w:b/>
          <w:bCs/>
        </w:rPr>
        <w:t xml:space="preserve">Отношение к первой редакции.</w:t>
      </w:r>
      <w:r>
        <w:t xml:space="preserve"> </w:t>
      </w:r>
      <w:r>
        <w:t xml:space="preserve">Доклад развивает правовой обзор «Вариативное меню: НПА» (литературная редакция от 29.08.2026, данные на 16.07.2026; папка</w:t>
      </w:r>
      <w:r>
        <w:t xml:space="preserve"> </w:t>
      </w:r>
      <w:r>
        <w:rPr>
          <w:rStyle w:val="VerbatimChar"/>
        </w:rPr>
        <w:t xml:space="preserve">raw/sources/variativnoe-menu-npa-2026/</w:t>
      </w:r>
      <w:r>
        <w:t xml:space="preserve"> </w:t>
      </w:r>
      <w:r>
        <w:t xml:space="preserve">репозитория) [1]. Из обзора заимствованы региональный анализ и часть источников; обнаруженные в нём ошибки исправлены и перечислены в приложении В, тогда как разделы о научных данных, зарубежных нормах, российских практиках и операционных сценариях написаны заново. Всякое расхождение новой редакции с первой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позиции, перепроверенные в седьмом проходе, — на 06.10.2026, сведения об определении Верховного Суда № 303-ЭС25-15393 и о документации конкурса ДСО «Серафимовский» № 32616197209 — на 07.10.2026, сведения о закупках учреждений Самарской области — на 08.10.2026 (прил. В). Санитарные требования излагаются в двух временных слоях: СанПиН 2.3/2.4.3590-20 — для периода по 31.08.2026 включительно (в том числе для материалов семинара 25–27.08.2026), СанПиН 2.3/2.4.4282-26 — начиная с 01.09.2026 [2, 3].</w:t>
      </w:r>
    </w:p>
    <w:p>
      <w:pPr>
        <w:pStyle w:val="BodyText"/>
      </w:pPr>
      <w:r>
        <w:rPr>
          <w:b/>
          <w:bCs/>
        </w:rPr>
        <w:t xml:space="preserve">Классы утверждений.</w:t>
      </w:r>
      <w:r>
        <w:t xml:space="preserve"> </w:t>
      </w:r>
      <w:r>
        <w:t xml:space="preserve">Каждое существенное утверждение доклада отнесено к одному из четырёх классов; если принадлежность не следует из контекста, класс указан явно.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Содержание</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указываются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допускающий оспаривание</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Положение методического документа, научного руководства или предложение автора; обязательной силы не имеет</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обязательный только для него</w:t>
            </w:r>
          </w:p>
        </w:tc>
        <w:tc>
          <w:tcPr/>
          <w:p>
            <w:pPr>
              <w:pStyle w:val="Compact"/>
            </w:pPr>
            <w:r>
              <w:t xml:space="preserve">Приказ ДСО «Серафимовский» от 10.03.2026 № 124</w:t>
            </w:r>
          </w:p>
        </w:tc>
      </w:tr>
    </w:tbl>
    <w:p>
      <w:pPr>
        <w:pStyle w:val="BodyText"/>
      </w:pPr>
      <w:r>
        <w:rPr>
          <w:b/>
          <w:bCs/>
        </w:rPr>
        <w:t xml:space="preserve">Аппарат.</w:t>
      </w:r>
      <w:r>
        <w:t xml:space="preserve"> </w:t>
      </w:r>
      <w:r>
        <w:t xml:space="preserve">Источники обозначены номерами в квадратных скобках и приведены в конце доклада в списке, оформленном по ГОСТ Р 7.0.100-2018. Расчёты, сопровождаемые пометкой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порядку питания, при котором житель стационарной организации социального обслуживания в момент приёма пищи располагает не менее чем двумя вариантами блюда и сам определяет, какой из них получит. Исследуются правовые, организационные и доказательные основания такого порядка. Объектом служат дома социального обслуживания (бывшие дома-интернаты для престарелых и инвалидов) и психоневрологические интернаты России; предметом — нормы, определяющие, что, в каком количестве и каким образом подаётся на стол, а также тот зазор, который эти нормы оставляют выбору.</w:t>
      </w:r>
    </w:p>
    <w:p>
      <w:pPr>
        <w:pStyle w:val="BodyText"/>
      </w:pPr>
      <w:r>
        <w:t xml:space="preserve">Проанализированы федеральные законы и подзаконные акты, в том числе не учтённые первой редакцией приказ Минтруда России от 13.09.2022 № 520н, Правила организации деятельности организаций социального обслуживания, утверждённые приказом Минтруда России от 14.05.2025 № 305н, и СанПиН 2.3/2.4.4282-26, вступивший в силу 01.09.2026. Рассмотрены региональные нормы питания десяти субъектов, причём тексты шести из них — Санкт-Петербурга, Новосибирской области, Красноярского края, Ленинградской области, ХМАО — Югры и Нижегородской области — прочитаны полностью; подробно разобрано постановление Правительства Санкт-Петербурга от 29.12.2014 № 1284. Изучены описанные в открытых источниках практики восьми российских учреждений и сообщение министра Иркутской области, закупки шести учреждений Самарской области, в предмете которых значится вариативное меню, нормы и процедуры проверки десяти зарубежных систем, а также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считать правовой основой выбора, для взрослых закреплена лишь в методических рекомендациях 2002 г., восходящих к приказу Минторга СССР 1980 г.; таблица замен санитарных правил формально помещена в раздел о питании детей. Научные данные о выборе блюд в домах ухода за пожилыми получены преимущественно в пилотных и наблюдательных исследованиях: они согласованно свидетельствуют о росте удовлетворённости и неоднозначно — о влиянии на потребление и затраты. Рандомизированных исследований вариативного меню в психиатрических учреждениях социального обслуживания не обнаружено. Российские учреждения сообщают о введении выбора, но не о его последствиях. Практическая часть рассматривает два горячих блюда в пределах норм № 1284, санитарный контур второго варианта по СанПиН 4282-26, закупку по 44-ФЗ и 223-ФЗ, раздачу лежачим жителям,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а его проверочный лист 2026 г. содержит вопросы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наименованием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6.11; в докладе используется лишь как язык маркировки, а не как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обозначают разные вещи</w:t>
            </w:r>
          </w:p>
        </w:tc>
      </w:tr>
    </w:tbl>
    <w:bookmarkEnd w:id="22"/>
    <w:bookmarkStart w:id="23" w:name="глоссарий-основных-терминов"/>
    <w:p>
      <w:pPr>
        <w:pStyle w:val="Heading1"/>
      </w:pPr>
      <w:r>
        <w:t xml:space="preserve">Глоссарий основных терминов</w:t>
      </w:r>
    </w:p>
    <w:p>
      <w:pPr>
        <w:pStyle w:val="FirstParagraph"/>
      </w:pPr>
      <w:r>
        <w:t xml:space="preserve">Термины доклада образуют четыре словаря, смешение которых служит главным источником ошибок в отраслевых документах (подробнее — п. 1.2–1.4). Ниже приведены рабочие определения; класс каждого определения — толкование автора, если не указано иное.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Термин</w:t>
            </w:r>
          </w:p>
        </w:tc>
        <w:tc>
          <w:tcPr/>
          <w:p>
            <w:pPr>
              <w:pStyle w:val="Compact"/>
            </w:pPr>
            <w:r>
              <w:t xml:space="preserve">Рабочее определение</w:t>
            </w:r>
          </w:p>
        </w:tc>
        <w:tc>
          <w:tcPr/>
          <w:p>
            <w:pPr>
              <w:pStyle w:val="Compact"/>
            </w:pPr>
            <w:r>
              <w:t xml:space="preserve">С чем не смешивать</w:t>
            </w:r>
          </w:p>
        </w:tc>
      </w:tr>
      <w:tr>
        <w:tc>
          <w:tcPr/>
          <w:p>
            <w:pPr>
              <w:pStyle w:val="Compact"/>
            </w:pPr>
            <w:r>
              <w:t xml:space="preserve">Вариативное меню (вариативное питание)</w:t>
            </w:r>
          </w:p>
        </w:tc>
        <w:tc>
          <w:tcPr/>
          <w:p>
            <w:pPr>
              <w:pStyle w:val="Compact"/>
            </w:pPr>
            <w:r>
              <w:t xml:space="preserve">Порядок, при котором житель в момент приёма пищи располагает не менее чем двумя вариантами блюда и сам определяет, какой получит</w:t>
            </w:r>
          </w:p>
        </w:tc>
        <w:tc>
          <w:tcPr/>
          <w:p>
            <w:pPr>
              <w:pStyle w:val="Compact"/>
            </w:pPr>
            <w:r>
              <w:t xml:space="preserve">Цикличное меню; персонализация</w:t>
            </w:r>
          </w:p>
        </w:tc>
      </w:tr>
      <w:tr>
        <w:tc>
          <w:tcPr/>
          <w:p>
            <w:pPr>
              <w:pStyle w:val="Compact"/>
            </w:pPr>
            <w:r>
              <w:t xml:space="preserve">Цикличное меню</w:t>
            </w:r>
          </w:p>
        </w:tc>
        <w:tc>
          <w:tcPr/>
          <w:p>
            <w:pPr>
              <w:pStyle w:val="Compact"/>
            </w:pPr>
            <w:r>
              <w:t xml:space="preserve">Меню на повторяющийся период (как правило, 7–14 дней), обеспечивающее разнообразие во времени, но не выбор в точке подачи; варианты диеты внутри цикла (например, основной и диабетический) выбором не являются</w:t>
            </w:r>
          </w:p>
        </w:tc>
        <w:tc>
          <w:tcPr/>
          <w:p>
            <w:pPr>
              <w:pStyle w:val="Compact"/>
            </w:pPr>
            <w:r>
              <w:t xml:space="preserve">Вариативное меню</w:t>
            </w:r>
          </w:p>
        </w:tc>
      </w:tr>
      <w:tr>
        <w:tc>
          <w:tcPr/>
          <w:p>
            <w:pPr>
              <w:pStyle w:val="Compact"/>
            </w:pPr>
            <w:r>
              <w:t xml:space="preserve">Таблица замен</w:t>
            </w:r>
          </w:p>
        </w:tc>
        <w:tc>
          <w:tcPr/>
          <w:p>
            <w:pPr>
              <w:pStyle w:val="Compact"/>
            </w:pPr>
            <w:r>
              <w:t xml:space="preserve">Правило пересчёта одного продукта в другой с сохранением пищевой ценности; инструмент выполнения нормы, а не способ выбора</w:t>
            </w:r>
          </w:p>
        </w:tc>
        <w:tc>
          <w:tcPr/>
          <w:p>
            <w:pPr>
              <w:pStyle w:val="Compact"/>
            </w:pPr>
            <w:r>
              <w:t xml:space="preserve">Вариативное меню</w:t>
            </w:r>
          </w:p>
        </w:tc>
      </w:tr>
      <w:tr>
        <w:tc>
          <w:tcPr/>
          <w:p>
            <w:pPr>
              <w:pStyle w:val="Compact"/>
            </w:pPr>
            <w:r>
              <w:t xml:space="preserve">Персонализация</w:t>
            </w:r>
          </w:p>
        </w:tc>
        <w:tc>
          <w:tcPr/>
          <w:p>
            <w:pPr>
              <w:pStyle w:val="Compact"/>
            </w:pPr>
            <w:r>
              <w:t xml:space="preserve">Индивидуальное изменение рациона по назначению врача или решению совета по питанию (диета, текстура, замена блюда)</w:t>
            </w:r>
          </w:p>
        </w:tc>
        <w:tc>
          <w:tcPr/>
          <w:p>
            <w:pPr>
              <w:pStyle w:val="Compact"/>
            </w:pPr>
            <w:r>
              <w:t xml:space="preserve">Вариативное меню</w:t>
            </w:r>
          </w:p>
        </w:tc>
      </w:tr>
      <w:tr>
        <w:tc>
          <w:tcPr/>
          <w:p>
            <w:pPr>
              <w:pStyle w:val="Compact"/>
            </w:pPr>
            <w:r>
              <w:t xml:space="preserve">Заказ накануне</w:t>
            </w:r>
          </w:p>
        </w:tc>
        <w:tc>
          <w:tcPr/>
          <w:p>
            <w:pPr>
              <w:pStyle w:val="Compact"/>
            </w:pPr>
            <w:r>
              <w:t xml:space="preserve">Выбор рациона на следующий день из предложенного меню; по шкале раздачи соответствует модели М1, но выбор сделан не в момент еды</w:t>
            </w:r>
          </w:p>
        </w:tc>
        <w:tc>
          <w:tcPr/>
          <w:p>
            <w:pPr>
              <w:pStyle w:val="Compact"/>
            </w:pPr>
            <w:r>
              <w:t xml:space="preserve">Выбор в момент еды</w:t>
            </w:r>
          </w:p>
        </w:tc>
      </w:tr>
      <w:tr>
        <w:tc>
          <w:tcPr/>
          <w:p>
            <w:pPr>
              <w:pStyle w:val="Compact"/>
            </w:pPr>
            <w:r>
              <w:t xml:space="preserve">Модели М0–М5</w:t>
            </w:r>
          </w:p>
        </w:tc>
        <w:tc>
          <w:tcPr/>
          <w:p>
            <w:pPr>
              <w:pStyle w:val="Compact"/>
            </w:pPr>
            <w:r>
              <w:t xml:space="preserve">Шкала технологии раздачи: от единого меню (М0) до самостоятельного приготовления пищи жителями (М5)</w:t>
            </w:r>
          </w:p>
        </w:tc>
        <w:tc>
          <w:tcPr/>
          <w:p>
            <w:pPr>
              <w:pStyle w:val="Compact"/>
            </w:pPr>
            <w:r>
              <w:t xml:space="preserve">Ступени участия 0–5</w:t>
            </w:r>
          </w:p>
        </w:tc>
      </w:tr>
      <w:tr>
        <w:tc>
          <w:tcPr/>
          <w:p>
            <w:pPr>
              <w:pStyle w:val="Compact"/>
            </w:pPr>
            <w:r>
              <w:t xml:space="preserve">Ступени участия 0–5</w:t>
            </w:r>
          </w:p>
        </w:tc>
        <w:tc>
          <w:tcPr/>
          <w:p>
            <w:pPr>
              <w:pStyle w:val="Compact"/>
            </w:pPr>
            <w:r>
              <w:t xml:space="preserve">Шкала контроля жителя над собственной едой: от решения, принятого без него (0), до участия в формировании меню (4–5)</w:t>
            </w:r>
          </w:p>
        </w:tc>
        <w:tc>
          <w:tcPr/>
          <w:p>
            <w:pPr>
              <w:pStyle w:val="Compact"/>
            </w:pPr>
            <w:r>
              <w:t xml:space="preserve">Модели М0–М5</w:t>
            </w:r>
          </w:p>
        </w:tc>
      </w:tr>
      <w:tr>
        <w:tc>
          <w:tcPr/>
          <w:p>
            <w:pPr>
              <w:pStyle w:val="Compact"/>
            </w:pPr>
            <w:r>
              <w:t xml:space="preserve">44-ФЗ / 223-ФЗ</w:t>
            </w:r>
          </w:p>
        </w:tc>
        <w:tc>
          <w:tcPr/>
          <w:p>
            <w:pPr>
              <w:pStyle w:val="Compact"/>
            </w:pPr>
            <w:r>
              <w:t xml:space="preserve">Два режима закупок: государственное бюджетное учреждение закупает по 44-ФЗ, автономное — по 223-ФЗ и своему положению о закупке, с изъятиями (п. 2.10)</w:t>
            </w:r>
          </w:p>
        </w:tc>
        <w:tc>
          <w:tcPr/>
          <w:p>
            <w:pPr>
              <w:pStyle w:val="Compact"/>
            </w:pPr>
            <w:r>
              <w:t xml:space="preserve">—</w:t>
            </w:r>
          </w:p>
        </w:tc>
      </w:tr>
      <w:tr>
        <w:tc>
          <w:tcPr/>
          <w:p>
            <w:pPr>
              <w:pStyle w:val="Compact"/>
            </w:pPr>
            <w:r>
              <w:t xml:space="preserve">СанПиН 3590-20 / СанПиН 4282-26</w:t>
            </w:r>
          </w:p>
        </w:tc>
        <w:tc>
          <w:tcPr/>
          <w:p>
            <w:pPr>
              <w:pStyle w:val="Compact"/>
            </w:pPr>
            <w:r>
              <w:t xml:space="preserve">Санитарные правила общественного питания: первые действовали до 31.08.2026, вторые действуют с 01.09.2026; требования к организациям социального обслуживания совпадают текстуально (п. 2.7)</w:t>
            </w:r>
          </w:p>
        </w:tc>
        <w:tc>
          <w:tcPr/>
          <w:p>
            <w:pPr>
              <w:pStyle w:val="Compact"/>
            </w:pPr>
            <w:r>
              <w:t xml:space="preserve">—</w:t>
            </w:r>
          </w:p>
        </w:tc>
      </w:tr>
      <w:tr>
        <w:tc>
          <w:tcPr/>
          <w:p>
            <w:pPr>
              <w:pStyle w:val="Compact"/>
            </w:pPr>
            <w:r>
              <w:t xml:space="preserve">Норма / толкование / рекомендация / локальная форма</w:t>
            </w:r>
          </w:p>
        </w:tc>
        <w:tc>
          <w:tcPr/>
          <w:p>
            <w:pPr>
              <w:pStyle w:val="Compact"/>
            </w:pPr>
            <w:r>
              <w:t xml:space="preserve">Классы утверждений доклада (см. «Сведения о документе»)</w:t>
            </w:r>
          </w:p>
        </w:tc>
        <w:tc>
          <w:tcPr/>
          <w:p>
            <w:pPr>
              <w:pStyle w:val="Compact"/>
            </w:pPr>
            <w:r>
              <w:t xml:space="preserve">—</w:t>
            </w:r>
          </w:p>
        </w:tc>
      </w:tr>
    </w:tbl>
    <w:bookmarkEnd w:id="23"/>
    <w:bookmarkStart w:id="24" w:name="введение"/>
    <w:p>
      <w:pPr>
        <w:pStyle w:val="Heading1"/>
      </w:pPr>
      <w:r>
        <w:t xml:space="preserve">Введение</w:t>
      </w:r>
    </w:p>
    <w:p>
      <w:pPr>
        <w:pStyle w:val="FirstParagraph"/>
      </w:pPr>
      <w:r>
        <w:rPr>
          <w:b/>
          <w:bCs/>
        </w:rPr>
        <w:t xml:space="preserve">Актуальность.</w:t>
      </w:r>
      <w:r>
        <w:t xml:space="preserve"> </w:t>
      </w:r>
      <w:r>
        <w:t xml:space="preserve">Только в психоневрологических интернатах России, по подсчёту проекта «Если быть точным», на 2024 г. насчитывалось 466 учреждений и около 139 тыс. жителей, 74 % которых признаны недееспособными [4]; к ним присоединяются жители домов-интернатов общего типа, общая численность которых в источниках с проверяемыми реквизитами не найдена. Приём пищи повторяется в их жизни несколько раз в день и составляет ту её часть, где выбор технически осуществим. Между тем питание в таких учреждениях организовано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он возникает там, где его вводит само учреждение, и исчезает вместе с тем, кто его ввёл.</w:t>
      </w:r>
    </w:p>
    <w:p>
      <w:pPr>
        <w:pStyle w:val="BodyText"/>
      </w:pPr>
      <w:r>
        <w:t xml:space="preserve">С 2024 г. в открытых источниках появляются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Руководитель учреждения формулирует вопрос предельно просто: допустимо ли подавать два вторых блюда, не нарушая норм питания, санитарных правил и закупочного законодательства, и какие документы держать наготове на случай проверки. Простого ответа нет, поскольку три слоя права — социальный, санитарный и закупочный — складывались независимо друг от друга, и ни один из них о выборе не говорит.</w:t>
      </w:r>
    </w:p>
    <w:p>
      <w:pPr>
        <w:pStyle w:val="BodyText"/>
      </w:pPr>
      <w:r>
        <w:rPr>
          <w:b/>
          <w:bCs/>
        </w:rPr>
        <w:t xml:space="preserve">Объект исследования</w:t>
      </w:r>
      <w:r>
        <w:t xml:space="preserve"> </w:t>
      </w:r>
      <w:r>
        <w:t xml:space="preserve">— организация питания в стационарных организациях социального обслуживания России: домах социального обслуживания и психоневрологических интернатах.</w:t>
      </w:r>
    </w:p>
    <w:p>
      <w:pPr>
        <w:pStyle w:val="BodyText"/>
      </w:pPr>
      <w:r>
        <w:rPr>
          <w:b/>
          <w:bCs/>
        </w:rPr>
        <w:t xml:space="preserve">Предмет исследования</w:t>
      </w:r>
      <w:r>
        <w:t xml:space="preserve"> </w:t>
      </w:r>
      <w:r>
        <w:t xml:space="preserve">— нормы федерального, регионального и локального уровня, определяющие состав, количество и порядок подачи пищи, и пространство, которое они оставляют выбору блюд жителем, а также опубликованные данные о последствиях такого выбора.</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обобщить известное о последствиях выбора из исследований и практики; предложить организационные решения, допускающие проверку и не выдаваемые за нормы.</w:t>
      </w:r>
    </w:p>
    <w:p>
      <w:pPr>
        <w:pStyle w:val="BodyText"/>
      </w:pPr>
      <w:r>
        <w:rPr>
          <w:b/>
          <w:bCs/>
        </w:rPr>
        <w:t xml:space="preserve">Задачи</w:t>
      </w:r>
      <w:r>
        <w:t xml:space="preserve"> </w:t>
      </w:r>
      <w:r>
        <w:t xml:space="preserve">вытекают из цели и определяют структуру доклада:</w:t>
      </w:r>
    </w:p>
    <w:p>
      <w:pPr>
        <w:pStyle w:val="Compact"/>
        <w:numPr>
          <w:ilvl w:val="0"/>
          <w:numId w:val="1001"/>
        </w:numPr>
      </w:pPr>
      <w:r>
        <w:t xml:space="preserve">развести понятия, смешиваемые в отраслевой речи (цикличное меню, вариативное меню, таблица замен, персонализация питания), и шкалы, которыми описывается внедрение (глава 1);</w:t>
      </w:r>
    </w:p>
    <w:p>
      <w:pPr>
        <w:pStyle w:val="Compact"/>
        <w:numPr>
          <w:ilvl w:val="0"/>
          <w:numId w:val="1001"/>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 (глава 2);</w:t>
      </w:r>
    </w:p>
    <w:p>
      <w:pPr>
        <w:pStyle w:val="Compact"/>
        <w:numPr>
          <w:ilvl w:val="0"/>
          <w:numId w:val="1001"/>
        </w:numPr>
      </w:pPr>
      <w:r>
        <w:t xml:space="preserve">сопоставить региональные нормы питания, прежде всего постановление Правительства Санкт-Петербурга № 1284 (глава 3);</w:t>
      </w:r>
    </w:p>
    <w:p>
      <w:pPr>
        <w:pStyle w:val="Compact"/>
        <w:numPr>
          <w:ilvl w:val="0"/>
          <w:numId w:val="1001"/>
        </w:numPr>
      </w:pPr>
      <w:r>
        <w:t xml:space="preserve">описать российские практики с указанием того, что источник сообщает и о чём умалчивает (глава 4);</w:t>
      </w:r>
    </w:p>
    <w:p>
      <w:pPr>
        <w:pStyle w:val="Compact"/>
        <w:numPr>
          <w:ilvl w:val="0"/>
          <w:numId w:val="1001"/>
        </w:numPr>
      </w:pPr>
      <w:r>
        <w:t xml:space="preserve">обобщить научные данные и зарубежные нормы о выборе блюд в учреждениях долговременного ухода (главы 5 и 6);</w:t>
      </w:r>
    </w:p>
    <w:p>
      <w:pPr>
        <w:pStyle w:val="Compact"/>
        <w:numPr>
          <w:ilvl w:val="0"/>
          <w:numId w:val="1001"/>
        </w:numPr>
      </w:pPr>
      <w:r>
        <w:t xml:space="preserve">разобрать операционные сценарии внедрения с опорой на действующие нормы и описать систему контроля (главы 7 и 8);</w:t>
      </w:r>
    </w:p>
    <w:p>
      <w:pPr>
        <w:pStyle w:val="Compact"/>
        <w:numPr>
          <w:ilvl w:val="0"/>
          <w:numId w:val="1001"/>
        </w:numPr>
      </w:pPr>
      <w:r>
        <w:t xml:space="preserve">систематизировать противоречия и пробелы и сформулировать предложения с явным указанием их статуса (главы 9 и 10).</w:t>
      </w:r>
    </w:p>
    <w:p>
      <w:pPr>
        <w:pStyle w:val="FirstParagraph"/>
      </w:pPr>
      <w:r>
        <w:rPr>
          <w:b/>
          <w:bCs/>
        </w:rPr>
        <w:t xml:space="preserve">Методы.</w:t>
      </w:r>
      <w:r>
        <w:t xml:space="preserve"> </w:t>
      </w:r>
      <w:r>
        <w:t xml:space="preserve">Применён формально-юридический анализ текстов нормативных актов в действующих редакциях по официальным публикациям, справочным системам «Гарант» и «КонсультантПлюс» и ведомственным сайтам;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и представляет собой целевой, а не систематический обзор); анализ публичных сообщений учреждений и органов власти. Каждое утверждение отнесено к одному из четырёх классов, а расхождения между слоями материалов сведены в перечень противоречий (глава 9).</w:t>
      </w:r>
    </w:p>
    <w:p>
      <w:pPr>
        <w:pStyle w:val="BodyText"/>
      </w:pPr>
      <w:r>
        <w:rPr>
          <w:b/>
          <w:bCs/>
        </w:rPr>
        <w:t xml:space="preserve">Источниковая база.</w:t>
      </w:r>
      <w:r>
        <w:t xml:space="preserve"> </w:t>
      </w:r>
      <w:r>
        <w:t xml:space="preserve">Первичными источниками служат нормативные акты, научные публикации и сообщения учреждений и органов власти, перечисленные в списке источников.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там, где проверка оказалась невозможной, это оговорено.</w:t>
      </w:r>
    </w:p>
    <w:p>
      <w:pPr>
        <w:pStyle w:val="BodyText"/>
      </w:pPr>
      <w:r>
        <w:rPr>
          <w:b/>
          <w:bCs/>
        </w:rPr>
        <w:t xml:space="preserve">Ограничения.</w:t>
      </w:r>
      <w:r>
        <w:t xml:space="preserve"> </w:t>
      </w:r>
      <w:r>
        <w:t xml:space="preserve">Доклад не назначает диет, текстур и лечебного питания: эти решения принадлежат врачу, и подменять их доклад не берётся. Сведения о практике учреждений извлечены из их публичных сообщений и аудитом не являются. Стоимость питания приводится лишь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о чём сказано при их изложении. Автор возглавляет одно из описываемых учреждений; этот конфликт интересов раскрыт выше и учтён при изложении соответствующего кейса.</w:t>
      </w:r>
    </w:p>
    <w:p>
      <w:pPr>
        <w:pStyle w:val="BodyText"/>
      </w:pPr>
      <w:r>
        <w:rPr>
          <w:b/>
          <w:bCs/>
        </w:rPr>
        <w:t xml:space="preserve">Новизна второй редакции.</w:t>
      </w:r>
      <w:r>
        <w:t xml:space="preserve"> </w:t>
      </w:r>
      <w:r>
        <w:t xml:space="preserve">По сравнению с первой редакцией [1]: (а) в анализ введён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применительно к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восьми российских кейсах;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семи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(м) текст прошёл академическую редакцию, введены глоссарий, выводы по главам и библиографический список по ГОСТ Р 7.0.100-2018. Полный перечень изменений приведён в приложении В.</w:t>
      </w:r>
    </w:p>
    <w:p>
      <w:pPr>
        <w:pStyle w:val="BodyText"/>
      </w:pPr>
      <w:r>
        <w:rPr>
          <w:b/>
          <w:bCs/>
        </w:rPr>
        <w:t xml:space="preserve">Структура доклада.</w:t>
      </w:r>
      <w:r>
        <w:t xml:space="preserve"> </w:t>
      </w:r>
      <w:r>
        <w:t xml:space="preserve">Доклад состоит из введения, десяти глав, заключения, списка источников и четырёх приложений. Глава 1 вводит понятийный аппарат; главы 2 и 3 анализируют федеральное и региональное право; глава 4 описывает российские практики; главы 5 и 6 обобщают научные данные и зарубежное регулирование; глава 7 содержит шестнадцать операционных сценариев; глава 8 посвящена контролю; глава 9 сводит противоречия, глава 10 — предложения. Каждая глава завершается выводами.</w:t>
      </w:r>
    </w:p>
    <w:bookmarkEnd w:id="24"/>
    <w:bookmarkStart w:id="34" w:name="понятия-и-разграничения"/>
    <w:p>
      <w:pPr>
        <w:pStyle w:val="Heading1"/>
      </w:pPr>
      <w:r>
        <w:rPr>
          <w:rStyle w:val="SectionNumber"/>
        </w:rPr>
        <w:t xml:space="preserve">1</w:t>
      </w:r>
      <w:r>
        <w:tab/>
      </w:r>
      <w:r>
        <w:t xml:space="preserve">Понятия и разграничения</w:t>
      </w:r>
    </w:p>
    <w:bookmarkStart w:id="25"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 её пределах действуют учреждения двух типов, и различие между ними для темы доклада существенно.</w:t>
      </w:r>
    </w:p>
    <w:p>
      <w:pPr>
        <w:pStyle w:val="BodyText"/>
      </w:pPr>
      <w:r>
        <w:t xml:space="preserve">Дома-интернаты для престарелых и инвалидов функционируют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подчинены тому же закону, но к ним применяется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связывает со ст. 39 и законодательством о социальном обслуживании [26]. В числе прав ч. 2 ст. 37 названо право «исполнять религиозные обряды, соблюдать религиозные каноны, в том числе пост», если это не нарушает внутреннего распорядка [26]. Это единственная обнаруженная норма федерального закона, прямо касающаяся содержимого тарелки жителя: пост для проживающего в ПНИ — его право, а не снисхождение пищеблока.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что для ПНИ составляет заметный пропуск.</w:t>
      </w:r>
    </w:p>
    <w:p>
      <w:pPr>
        <w:pStyle w:val="BodyText"/>
      </w:pPr>
      <w:r>
        <w:t xml:space="preserve">Переименование ПНИ в дома социального обслуживания, проведённое к концу 2025 г., по данным проекта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изменяет. В Санкт-Петербурге, согласно сообщению Комитета по социальной политике от 22.07.2025, психоневрологических интернатов более нет: все они переименованы в дома социального обслуживания, а их уставы обновляются [21]. Сайт ДСО «Серафимовский» прежде располагался на домене pni9.ru, ныне прекратившем работу; действующий адрес учреждения — sdso-spb.ru [28]. Для применения ст. 43 Закона № 3185-1 значимо назначение организации, а не её наименование. В ДСО, где проживают люди без психиатрического диагноза, опорой остаётся 442-ФЗ. Поэтому решения главы 7 для бывшего ПНИ проверяются по двум законам, для дома-интерната общего типа — по одному.</w:t>
      </w:r>
    </w:p>
    <w:bookmarkEnd w:id="25"/>
    <w:bookmarkStart w:id="26" w:name="четыре-словаря"/>
    <w:p>
      <w:pPr>
        <w:pStyle w:val="Heading2"/>
      </w:pPr>
      <w:r>
        <w:rPr>
          <w:rStyle w:val="SectionNumber"/>
        </w:rPr>
        <w:t xml:space="preserve">1.2</w:t>
      </w:r>
      <w:r>
        <w:tab/>
      </w:r>
      <w:r>
        <w:t xml:space="preserve">Четыре словаря</w:t>
      </w:r>
    </w:p>
    <w:p>
      <w:pPr>
        <w:pStyle w:val="FirstParagraph"/>
      </w:pPr>
      <w:r>
        <w:t xml:space="preserve">Словосочетанием «вариативное меню» в отрасли обозначают по меньшей мере четыре различных явления, и из их смешения проистекает бо́льшая часть споров — как с проверяющими, так и внутри самих учреждений.</w:t>
      </w:r>
    </w:p>
    <w:p>
      <w:pPr>
        <w:pStyle w:val="BodyText"/>
      </w:pPr>
      <w:r>
        <w:rPr>
          <w:b/>
          <w:bCs/>
        </w:rPr>
        <w:t xml:space="preserve">Цикличное меню</w:t>
      </w:r>
      <w:r>
        <w:t xml:space="preserve"> </w:t>
      </w:r>
      <w:r>
        <w:t xml:space="preserve">обеспечивает разнообразие во времени: набор блюд повторяется через 7, 10, 14 или 21 день. Для детских организаций цикличное меню обязательно в силу санитарных правил (не менее двух недель, п. 59 подп. 4 СанПиН 4282-26 [3]), тогда как во взрослых учреждениях оно сложилось как устойчивая практика. Выбора жителю оно не предоставляет: формула «четырнадцать дней без повторов» характеризует меню, а не свободу человека.</w:t>
      </w:r>
    </w:p>
    <w:p>
      <w:pPr>
        <w:pStyle w:val="BodyText"/>
      </w:pPr>
      <w:r>
        <w:rPr>
          <w:b/>
          <w:bCs/>
        </w:rPr>
        <w:t xml:space="preserve">Таблица замен</w:t>
      </w:r>
      <w:r>
        <w:t xml:space="preserve"> </w:t>
      </w:r>
      <w:r>
        <w:t xml:space="preserve">(нормы взаимозаменяемости) служит инструментом склада и раскладки: при отсутствии продукта он заменяется другим в количестве, эквивалентном по пищевой ценности. Таблица защищает норму, а не выбор; гречка, заменённая рисом «по остаткам», есть замена, а не вариант. Место таблицы замен для взрослых в системе права рассмотрено в п. 2.6.</w:t>
      </w:r>
    </w:p>
    <w:p>
      <w:pPr>
        <w:pStyle w:val="BodyText"/>
      </w:pPr>
      <w:r>
        <w:rPr>
          <w:b/>
          <w:bCs/>
        </w:rPr>
        <w:t xml:space="preserve">Персонализация питания</w:t>
      </w:r>
      <w:r>
        <w:t xml:space="preserve"> </w:t>
      </w:r>
      <w:r>
        <w:t xml:space="preserve">охватывает индивидуальные решения по медицинским показаниям — диету, консистенцию, обогащение, режим. Её основанием служит назначение врача, которое пищеблок исполняет. Выбором в смысле доклада персонализация не является и подменять его не должна: житель, которому назначена протёртая пища, вправе выбирать среди протёртых блюд, но не отменять назначение посредством «выбора».</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из них получит. Это определение (толкование) принято в докладе «Не просто накормить» [22] и используется здесь как основное.</w:t>
      </w:r>
    </w:p>
    <w:p>
      <w:pPr>
        <w:pStyle w:val="BodyText"/>
      </w:pPr>
      <w:r>
        <w:t xml:space="preserve">Четыре словаря разграничивает один вопрос: что изменилось сегодня в тарелке конкретного жителя и кто принял это решение? Если решили регион и пищеблок, речь идёт о цикле или замене; если врач — о персонализации; если сам житель (а при невозможности высказаться — по наблюдаемым признакам его воли) — о выборе.</w:t>
      </w:r>
    </w:p>
    <w:bookmarkEnd w:id="26"/>
    <w:bookmarkStart w:id="28"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неодинаково, и это расхождение необходимо удерживать в поле зрения.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Узкое определение удобно для проверки: его исполнение видно в журнале и на линии раздачи. Широкое удобно для отчёта, поскольку под него подпадает почти любая перемена. Доклад пользуется узким определением и особо оговаривает случаи предварительного заказа. Заказ накануне, на котором построена практика ДСО «Серафимовский» [21], по узкому определению признаётся выбором при условии, что заказанное блюдо фактически подаётся заказавшему; заказ на неделю вперёд представляет собой выбор с отсрочкой, при котором право изменить решение в день подачи становится самостоятельным вопросом.</w:t>
      </w:r>
    </w:p>
    <w:bookmarkStart w:id="27" w:name="что-вариативным-меню-не-является"/>
    <w:p>
      <w:pPr>
        <w:pStyle w:val="Heading3"/>
      </w:pPr>
      <w:r>
        <w:rPr>
          <w:rStyle w:val="SectionNumber"/>
        </w:rPr>
        <w:t xml:space="preserve">1.3.1</w:t>
      </w:r>
      <w:r>
        <w:tab/>
      </w:r>
      <w:r>
        <w:t xml:space="preserve">Что вариативным меню не является</w:t>
      </w:r>
    </w:p>
    <w:p>
      <w:pPr>
        <w:pStyle w:val="FirstParagraph"/>
      </w:pPr>
      <w:r>
        <w:t xml:space="preserve">Таблица антипримеров составлена по определению узкого слоя [22] и разграничениям рабочей базы знаний (wiki/gaps.md) [23]. Критерий проверки един и совпадает с первым элементом определения: располагает ли житель в момент еды не менее чем двумя реальными вариантами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Формы, которые доклад признаёт выбором, различаются моментом решения.</w:t>
      </w:r>
      <w:r>
        <w:t xml:space="preserve"> </w:t>
      </w:r>
      <w:r>
        <w:rPr>
          <w:b/>
          <w:bCs/>
        </w:rPr>
        <w:t xml:space="preserve">Выбор в момент еды</w:t>
      </w:r>
      <w:r>
        <w:t xml:space="preserve"> </w:t>
      </w:r>
      <w:r>
        <w:t xml:space="preserve">— на линии раздачи или у тележки — представляет узкое определение в чистом виде.</w:t>
      </w:r>
      <w:r>
        <w:t xml:space="preserve"> </w:t>
      </w:r>
      <w:r>
        <w:rPr>
          <w:b/>
          <w:bCs/>
        </w:rPr>
        <w:t xml:space="preserve">Предварительный заказ</w:t>
      </w:r>
      <w:r>
        <w:t xml:space="preserve">, накануне или на неделю, признаётся выбором при условии, что заказанное подано заказавшему и в день подачи решение может быть изменено.</w:t>
      </w:r>
      <w:r>
        <w:t xml:space="preserve"> </w:t>
      </w:r>
      <w:r>
        <w:rPr>
          <w:b/>
          <w:bCs/>
        </w:rPr>
        <w:t xml:space="preserve">Самостоятельная комплектация</w:t>
      </w:r>
      <w:r>
        <w:t xml:space="preserve"> </w:t>
      </w:r>
      <w:r>
        <w:t xml:space="preserve">— линия самообслуживания или ежедневный «шведский стол» — соответствует модели М3. Предварительный заказ без права изменить решение в день подачи доклад квалифицирует как выбор с отсрочкой и предлагает отмечать его в отчёте особо (толкование).</w:t>
      </w:r>
    </w:p>
    <w:bookmarkEnd w:id="27"/>
    <w:bookmarkEnd w:id="28"/>
    <w:bookmarkStart w:id="30"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выбора описывается в материалах семинара тремя независимыми шкалами.</w:t>
      </w:r>
    </w:p>
    <w:p>
      <w:pPr>
        <w:pStyle w:val="BodyText"/>
      </w:pPr>
      <w:r>
        <w:rPr>
          <w:b/>
          <w:bCs/>
        </w:rPr>
        <w:t xml:space="preserve">Модели раздачи М0–М5</w:t>
      </w:r>
      <w:r>
        <w:t xml:space="preserve"> </w:t>
      </w:r>
      <w:r>
        <w:t xml:space="preserve">образуют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образуют ось жителя и показывают, в какой мере контроль над едой возвращён человеку: на ступени 0 еду определили регион, пищеблок и смена; на ступени 1 жителя спросили, но тарелка осталась прежней; на ступени 2 выбор дошёл до тарелки; на ступени 3 к нему добавились время и место; на ступени 4 житель влияет на меню через совет; на ступени 5 еда вновь становится частью жизни, а не процедурой [22, 23].</w:t>
      </w:r>
    </w:p>
    <w:p>
      <w:pPr>
        <w:pStyle w:val="BodyText"/>
      </w:pPr>
      <w:r>
        <w:rPr>
          <w:b/>
          <w:bCs/>
        </w:rPr>
        <w:t xml:space="preserve">Пять моделей обзора НПА</w:t>
      </w:r>
      <w:r>
        <w:t xml:space="preserve"> </w:t>
      </w:r>
      <w:r>
        <w:t xml:space="preserve">(§ 4.2) описывают организационные формы: двухвариантное меню, меню-заказ на неделю, шведский стол, смешанную модель (выбор несколько раз в неделю) и событийную модель (праздничные меню) [1].</w:t>
      </w:r>
    </w:p>
    <w:p>
      <w:pPr>
        <w:pStyle w:val="BodyText"/>
      </w:pPr>
      <w:r>
        <w:t xml:space="preserve">Шкалы измеряют разное. Учреждение может работать по модели М2 (два вторых ежедневно), тогда как жители отделения милосердия остаются на ступени 0, если выбор существует лишь в столовой, куда они не спускаются. Нумерации не совпадают: «модель 1» обзора НПА не равна М1, а «ступень 2» не равна М2. В первой редакции обзора Болотнинский ПНИ отнесён одновременно к модели 1 и к модели 4 [1]; по шкале М0–М5 это М1, а по пятичленной шкале обзора — смешанная модель (выбор несколько раз в неделю). Шкалу моделей обзора НПА доклад приводит лишь в цитатах.</w:t>
      </w:r>
    </w:p>
    <w:bookmarkStart w:id="29" w:name="Xab984200417caef3bb7175fa640ab0ceeb7f88d"/>
    <w:p>
      <w:pPr>
        <w:pStyle w:val="Heading3"/>
      </w:pPr>
      <w:r>
        <w:rPr>
          <w:rStyle w:val="SectionNumber"/>
        </w:rPr>
        <w:t xml:space="preserve">1.4.1</w:t>
      </w:r>
      <w:r>
        <w:tab/>
      </w:r>
      <w:r>
        <w:t xml:space="preserve">М1 и ступень 1: одинаковая цифра, разные вещи</w:t>
      </w:r>
    </w:p>
    <w:p>
      <w:pPr>
        <w:pStyle w:val="FirstParagraph"/>
      </w:pPr>
      <w:r>
        <w:t xml:space="preserve">Совпадение цифр у двух шкал — главный источник путаницы, причём в отчётах она встречается чаще, чем в спорах.</w:t>
      </w:r>
      <w:r>
        <w:t xml:space="preserve"> </w:t>
      </w:r>
      <w:r>
        <w:rPr>
          <w:b/>
          <w:bCs/>
        </w:rPr>
        <w:t xml:space="preserve">М1</w:t>
      </w:r>
      <w:r>
        <w:t xml:space="preserve"> </w:t>
      </w:r>
      <w:r>
        <w:t xml:space="preserve">характеризует пищеблок: на линии есть второй вариант одной позиции.</w:t>
      </w:r>
      <w:r>
        <w:t xml:space="preserve"> </w:t>
      </w:r>
      <w:r>
        <w:rPr>
          <w:b/>
          <w:bCs/>
        </w:rPr>
        <w:t xml:space="preserve">Ступень 1</w:t>
      </w:r>
      <w:r>
        <w:t xml:space="preserve"> </w:t>
      </w:r>
      <w:r>
        <w:t xml:space="preserve">характеризует жителя: его спросили, но в тарелке то же, что у всех. Одно из другого не выводится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Отсюда правило отчёта (рекомендация): по каждому отделению указываются обе величины через косую черту — например, «М1 / ступень 2 в общем отделении, М1 / ступень 0 в отделении милосердия». Одна цифра без указания шкалы в отчёте не употребляется.</w:t>
      </w:r>
    </w:p>
    <w:bookmarkEnd w:id="29"/>
    <w:bookmarkEnd w:id="30"/>
    <w:bookmarkStart w:id="31"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 Согласно первому из них, при расчёте объёма услуг учитываются нормы и нормативы, в том числе нормы питания, установленные в соответствии с 442-ФЗ, а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 Согласно второму, 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BodyText"/>
      </w:pPr>
      <w:r>
        <w:t xml:space="preserve">Тот же п. 19 обнаруживает показательное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применительно к одежде, но не к еде: питание оценивается по доброкачественности, калорийности и соответствию нормам. Запрета учитывать вкус отсюда не вытекает. Вытекает лишь то, что критерий качества этого не требует, и учреждение, вводящее выбор блюд, опирается не на п. 19, а на общие права получателя (ст. 9 442-ФЗ) и собственные локальные акты (толкование).</w:t>
      </w:r>
    </w:p>
    <w:bookmarkEnd w:id="31"/>
    <w:bookmarkStart w:id="32"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Хронология необходима потому, что в современной практике одновременно действуют документы пяти десятилетий.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2025</w:t>
            </w:r>
          </w:p>
        </w:tc>
        <w:tc>
          <w:tcPr/>
          <w:p>
            <w:pPr>
              <w:pStyle w:val="Compact"/>
            </w:pPr>
            <w:r>
              <w:t xml:space="preserve">Постановление Правительства СПб от 18.07.2025 № 507</w:t>
            </w:r>
          </w:p>
        </w:tc>
        <w:tc>
          <w:tcPr/>
          <w:p>
            <w:pPr>
              <w:pStyle w:val="Compact"/>
            </w:pPr>
            <w:r>
              <w:t xml:space="preserve">Новая редакция норм № 1284 с 01.01.2026: общая норма приведена к № 520н, отдельные столбцы для ПНИ и ДСО, СБКС и витамины по медицинским показаниям [34]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охарактеризовав его как «действующее, но морально устаревшее»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[35].</w:t>
      </w:r>
    </w:p>
    <w:bookmarkEnd w:id="32"/>
    <w:bookmarkStart w:id="33" w:name="выводы-по-главе-1"/>
    <w:p>
      <w:pPr>
        <w:pStyle w:val="Heading2"/>
      </w:pPr>
      <w:r>
        <w:rPr>
          <w:rStyle w:val="SectionNumber"/>
        </w:rPr>
        <w:t xml:space="preserve">1.7</w:t>
      </w:r>
      <w:r>
        <w:tab/>
      </w:r>
      <w:r>
        <w:t xml:space="preserve">Выводы по главе 1</w:t>
      </w:r>
    </w:p>
    <w:p>
      <w:pPr>
        <w:pStyle w:val="FirstParagraph"/>
      </w:pPr>
      <w:r>
        <w:t xml:space="preserve">Понятийный аппарат доклада держится на нескольких разграничениях, каждое из которых имеет практическое следствие. Во-первых, стационарные организации социального обслуживания существуют в двух правовых режимах: дом-интернат общего типа подчинён 442-ФЗ, бывший ПНИ — также Закону № 3185-1, причём переименование учреждения этого режима не меняет. Во-вторых, вариативное меню отличается от цикличного меню, таблицы замен и персонализации тем, кто принимает решение о содержимом тарелки; рабочим служит узкое определение — выбор в момент еды, а предварительный заказ признаётся выбором лишь при фактической подаче заказанного. В-третьих, модели раздачи М0–М5 и ступени участия 0–5 измеряют разные величины и в отчёте указываются раздельно. Наконец, федеральный критерий качества социально-бытовых услуг учитывает предпочтения получателя в одежде, но не в еде, поэтому учреждение, вводящее выбор, опирается на общие права получателя и собственные локальные акты. Эти разграничения задают рамку анализа федерального права в главе 2.</w:t>
      </w:r>
    </w:p>
    <w:bookmarkEnd w:id="33"/>
    <w:bookmarkEnd w:id="34"/>
    <w:bookmarkStart w:id="55" w:name="федеральное-право"/>
    <w:p>
      <w:pPr>
        <w:pStyle w:val="Heading1"/>
      </w:pPr>
      <w:r>
        <w:rPr>
          <w:rStyle w:val="SectionNumber"/>
        </w:rPr>
        <w:t xml:space="preserve">2</w:t>
      </w:r>
      <w:r>
        <w:tab/>
      </w:r>
      <w:r>
        <w:t xml:space="preserve">Федеральное право</w:t>
      </w:r>
    </w:p>
    <w:bookmarkStart w:id="35"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упоминает. Для темы значимы три её положения: охрана достоинства личности, которое ничто не может умалять (ст. 21), социальный характер государства, гарантирующего государственную поддержку пожилых граждан и инвалидов (ст. 7, 39), и право на охрану здоровья (ст. 41) [36]. Права на два вторых блюда из них не вывести; выводится иное: ограничения в повседневной жизни жителя должны иметь основание, а не проистекать из удобства организации (толкование).</w:t>
      </w:r>
    </w:p>
    <w:p>
      <w:pPr>
        <w:pStyle w:val="BodyText"/>
      </w:pPr>
      <w:r>
        <w:t xml:space="preserve">Из Конвенции ООН о правах инвалидов, ратифицированной Россией в 2012 г., к предмету доклада относятся три нормы: право на самостоятельный образ жизни и вовлечённость в местное сообщество (ст. 19), право на здоровье (ст. 25) и право на достаточный жизненный уровень, «включающий достаточное питание» (ст. 28) [37]. Комитет ООН по правам инвалидов в Замечании общего порядка № 1 (2014) к ст. 12 разъяснил, что замещающее принятие решений должно уступить место поддерживаемому [38]. Для ПНИ, где большинство жителей признаны недееспособными [4], это означает, что вопрос «может ли этот человек выбрать» следует ставить как вопрос о том, какая поддержка необходима, чтобы выбор принадлежал ему, а не закрывать ссылкой на недееспособность (толкование; правовые последствия Замечания для российских судов не исследуются).</w:t>
      </w:r>
    </w:p>
    <w:bookmarkEnd w:id="35"/>
    <w:bookmarkStart w:id="36" w:name="закон-442-фз"/>
    <w:p>
      <w:pPr>
        <w:pStyle w:val="Heading2"/>
      </w:pPr>
      <w:r>
        <w:rPr>
          <w:rStyle w:val="SectionNumber"/>
        </w:rPr>
        <w:t xml:space="preserve">2.2</w:t>
      </w:r>
      <w:r>
        <w:tab/>
      </w:r>
      <w:r>
        <w:t xml:space="preserve">Закон № 442-ФЗ</w:t>
      </w:r>
    </w:p>
    <w:p>
      <w:pPr>
        <w:pStyle w:val="FirstParagraph"/>
      </w:pPr>
      <w:r>
        <w:t xml:space="preserve">По 442-ФЗ содержимое тарелки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однако регион не обязан их воспроизводить (толкование, основанное на рекомендательном характере обоих актов).</w:t>
      </w:r>
    </w:p>
    <w:p>
      <w:pPr>
        <w:pStyle w:val="BodyText"/>
      </w:pPr>
      <w:r>
        <w:t xml:space="preserve">Для выбора блюд существенна группа положений закона [24] —</w:t>
      </w:r>
      <w:r>
        <w:t xml:space="preserve"> </w:t>
      </w:r>
      <w:r>
        <w:rPr>
          <w:b/>
          <w:bCs/>
        </w:rPr>
        <w:t xml:space="preserve">нормы</w:t>
      </w:r>
      <w:r>
        <w:t xml:space="preserve">. 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 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 Индивидуальная программа определяет форму, вид, объём, периодичность и условия предоставления услуг (ст. 16), договор — их состав и стоимость (ст. 17). Наконец, 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BodyText"/>
      </w:pPr>
      <w:r>
        <w:t xml:space="preserve">К последнему положению материалы семинара дают две различные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Источником нормы служит закон, приказ её воспроизводит; противоречия нет, есть лишь разная глубина ссылки.</w:t>
      </w:r>
    </w:p>
    <w:p>
      <w:pPr>
        <w:pStyle w:val="BodyText"/>
      </w:pPr>
      <w:r>
        <w:t xml:space="preserve">Для вариативного меню существеннее другое. Право на отказ от услуги (ст. 9) охватывает и отказ от конкретного блюда (толкование), но закон не определяет, что учреждение должно предложить взамен. Право на участие в составлении ИППСУ позволяет внести в программу пищевые предпочтения, однако федеральная форма программы для этого не предназначена; прямого права на ежедневный выбор блюда закон не содержит [23]. В режиме 442-ФЗ выбор возможен, но не гарантирован.</w:t>
      </w:r>
    </w:p>
    <w:bookmarkEnd w:id="36"/>
    <w:bookmarkStart w:id="37"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Им установлено, что объём услуг рассчитывается с учётом норм питания (п. 16), а качество социально-бытовых услуг оценивается, в частности, по питанию из доброкачественных продуктов, удовлетворяющему потребности по калорийности и соответствующему нормам и санитарным требованиям (подп. 5 п. 19). Критерии полноты, своевременности и результативности (п. 18) общие для всех услуг. Как показано в п. 1.5, критерий качества упоминает «запросы» получателя применительно к одежде, но не к питанию.</w:t>
      </w:r>
    </w:p>
    <w:p>
      <w:pPr>
        <w:pStyle w:val="BodyText"/>
      </w:pPr>
      <w:r>
        <w:t xml:space="preserve">Статус приказа требует точности: Примерный порядок служит ориентиром для субъектов, а не прямым регулятором учреждения, поскольку порядок предоставления услуг утверждает субъект (ст. 8 442-ФЗ) [24]. Поэтому ссылка вида «по п. 19 приказа № 935н питание должно быть разнообразным» неверна дважды: пункт этого не утверждает, а учреждение подчиняется региональному порядку (толкование).</w:t>
      </w:r>
    </w:p>
    <w:bookmarkEnd w:id="37"/>
    <w:bookmarkStart w:id="38"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хотя для темы он весомее Примерного порядка: в отличие от приказа № 935н, Правила обращены непосредственно к организациям, а не к субъектам в качестве образца.</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 Первая касается распределения компетенции: нормы питания в организациях, находящихся в ведении субъекта, устанавливаются актами субъекта в рамках полномочий по ст. 8 442-ФЗ (п. 15); федеральный акт подтверждает это распределение, но собственных норм не вводит. Вторая группа описывает обязанности организации: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 Третья группа — обязанность «обеспечивать условия для исполнения религиозных обрядов, соблюдения религиозных канонов, в том числе постов» (подп. 15 п. 20), возложенная на все организации социального обслуживания, а не только на ПНИ, как по ст. 43 Закона № 3185-1. Четвёртая определяет типологию: 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BodyText"/>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обнаруженное в федеральном акте признание того, что житель стационара может сам готовить себе еду; модель М5 (п. 1.4)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во втором случае она относится к подготовке к сопровождаемому проживанию, а не к организации основного питания.</w:t>
      </w:r>
    </w:p>
    <w:p>
      <w:pPr>
        <w:pStyle w:val="BodyText"/>
      </w:pPr>
      <w:r>
        <w:t xml:space="preserve">Из сказанного вытекают три следствия для вариативного меню (толкование). Прежде всего, обязанность обеспечить условия для соблюдения поста превращает постное блюдо из пожелания в предмет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[39]. Учреждение должно уметь показать, как житель, соблюдающий пост, получает питание в пределах норм. Наиболее простой способ — постный вариант в составе вариативного меню; альтернативами служат индивидуальная замена по заявлению и отдельный постный рацион. Юрист проекта «Регион заботы» А. Гаганов в комментарии к приказу пришёл к тому же выводу: норма «склоняет интернаты к необходимости обеспечивать вариативное питание хотя бы во время религиозных постов» [40]. Далее, выбора блюд как такового Правила не требуют, и обосновывать приказом № 305н ежедневный выбор из двух вторых значило бы толковать его расширительно. Наконец, предпочтения получателя упоминаются в Правилах применительно к размещению по спальням, но не к питанию, — та же асимметрия, что и в критериях качества приказа № 935н (п. 1.5).</w:t>
      </w:r>
    </w:p>
    <w:bookmarkEnd w:id="38"/>
    <w:bookmarkStart w:id="42"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9"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а федеральной опорой норм названо постановление № 12 от 2002 г. [1]. Между тем с 2022 г. федеральным ориентиром продуктового набора для взрослых служит № 520н, а не таблицы 2002 г.</w:t>
      </w:r>
    </w:p>
    <w:p>
      <w:pPr>
        <w:pStyle w:val="BodyText"/>
      </w:pPr>
      <w:r>
        <w:t xml:space="preserve">Для выбора блюд существенны два свойства приказа. Первое состоит в том, что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показано в п. 3.2, устроена иначе. Второе свойство — группировка продуктов: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предписывает. Именно здесь находится основное законное пространство для вариантов: две каши из одной группы круп не требуют пересчёта нормы (толкование).</w:t>
      </w:r>
    </w:p>
    <w:bookmarkEnd w:id="39"/>
    <w:bookmarkStart w:id="40"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Действующая редакция содержит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тогда как таблица по белку и углеводам позволяет сопоставлять разные блюда.</w:t>
      </w:r>
    </w:p>
    <w:p>
      <w:pPr>
        <w:pStyle w:val="BodyText"/>
      </w:pPr>
      <w:r>
        <w:t xml:space="preserve">Пункт 3 рекомендаций формулирует требования, непосредственно касающиеся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коррекцию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очерчивает рамку выбора: житель может выбирать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[41]; их содержание в докладе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[42]. Если это положение подтвердится по первоисточнику, оно окажется единственным обнаруженным федеральным упоминанием индивидуального объёма порции в социальном обслуживании (полный текст рекомендаций в ходе подготовки доклада получен не был;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Представляется обоснованным следующее прочтение (толкование): продуктовый набор определяется по № 520н как более позднему и специальному акту, а организационные приёмы, меню-раскладки и нормы взаимозаменяемости — по № 12, пока не принято иное. В академическом слое материалов семинара упоминается приказ «№ 774н» как акт о нормах питания [23]; по открытым источникам этот номер не подтверждён.</w:t>
      </w:r>
    </w:p>
    <w:bookmarkEnd w:id="40"/>
    <w:bookmarkStart w:id="41"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[43]. Продуктовых наборов они не устанавливают и порядка подачи не регулируют —</w:t>
      </w:r>
      <w:r>
        <w:t xml:space="preserve"> </w:t>
      </w:r>
      <w:r>
        <w:rPr>
          <w:b/>
          <w:bCs/>
        </w:rPr>
        <w:t xml:space="preserve">рекомендация</w:t>
      </w:r>
      <w:r>
        <w:t xml:space="preserve">.</w:t>
      </w:r>
    </w:p>
    <w:bookmarkEnd w:id="41"/>
    <w:bookmarkEnd w:id="42"/>
    <w:bookmarkStart w:id="43"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Почти все отраслевые материалы, включая обе прежние работы семинара, утверждают, что таблицы замен «легализуют» вариативность: если вариант Б эквивалентен варианту А по таблице, норма соблюдена [1, 22]. Сверка с источниками показывает, что по существу это верно, однако правовой адрес требует уточнения.</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составляет приложение № 11 к СанПиН 4282-26 (как ранее —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содержалась в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есть норма для детских организованных коллективов, а для взрослых — допустимый ориентир, применяемый по аналогии (толкование). Свердловская область возвела эту аналогию в норму регионального уровня, предусмотрев в своём акте о нормах питания замену по приложению № 11 [1, 44].</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обнаруженный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положений о замене продуктов для взрослых не содержит ни в редакции от 27.06.2022, ни в действующей с 01.01.2026 редакции постановления № 507; в действующей редакции примечание о замене по таблице приложения № 11 к СанПиН 2.3/2.4.3590-20 имеется лишь в разделе норм для детей и отсылает к санитарным правилам, утратившим силу с 01.09.2026 (п. 2.7) [33, 34].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настоящей редакции, положений о взаимозаменяемости продуктов для совершеннолетних также не обнаружено [45–47]. Там, где региональный акт молчит, таблицу замен вводит локальный акт. Так,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[48]. Это локальная форма, а не норма, но она свидетельствует, что механизм, необходимый вариативному меню, во многих учреждениях уже существует —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однако этот подпункт адресован медицинским организациям [3].</w:t>
      </w:r>
    </w:p>
    <w:p>
      <w:pPr>
        <w:pStyle w:val="BodyText"/>
      </w:pPr>
      <w:r>
        <w:t xml:space="preserve">Следовательно (толкование), механизм эквивалентной замены для взрослых в социальном обслуживании существует, но опирается на документы рекомендательного характера, на аналогию с детским разделом санитарных правил и на региональные акты там, где они это предусмотрели. Для руководителя учреждения отсюда вытекает практическое правило: применяемая таблица замен должна быть утверждена локальным актом со ссылкой на источник — приложение № 7 к рекомендациям 2002 г., приложение № 11 к СанПиН 4282-26 или региональный акт. Ссылка «по СанПиН» без такого акта во взрослом учреждении уязвима.</w:t>
      </w:r>
    </w:p>
    <w:bookmarkEnd w:id="43"/>
    <w:bookmarkStart w:id="49"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4"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Из общего принципа действия акта во времени следуют два правила (толкование). Журналы, технологическая документация и программа производственного контроля, оформленные до 31.08.2026 по формам СанПиН 3590-20, законны в том виде, в каком составлены; переоформлять их задним числом не требуется и нецелесообразно. С 01.09.2026 действуют формы и требования СанПиН 4282-26, и документы, ссылающиеся на пункты утратившего силу акта, подлежат перепривязке.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4"/>
    <w:bookmarkStart w:id="45"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распознанный для доклада) [49] и по тексту СанПиН 4282-26 [3]. Изменения, внесённые в СанПиН 3590-20 постановлением от 22.08.2024 № 9, по официальному тексту не сверялись, поэтому строки таблицы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В первой редакции этой таблицы, заполненной по нумерации из материалов семинара, левый столбец содержал прочерки для бракеража, рекомендательных норм и трёх часов на раздаче. Сверка их устраняет: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5"/>
    <w:bookmarkStart w:id="46" w:name="Xcbb45f275b84c07a7d2821b4de98ccb719cb262"/>
    <w:p>
      <w:pPr>
        <w:pStyle w:val="Heading3"/>
      </w:pPr>
      <w:r>
        <w:rPr>
          <w:rStyle w:val="SectionNumber"/>
        </w:rPr>
        <w:t xml:space="preserve">2.7.3</w:t>
      </w:r>
      <w:r>
        <w:tab/>
      </w:r>
      <w:r>
        <w:t xml:space="preserve">Подп. 11 п. 56: что осталось, что изменилось, риски</w:t>
      </w:r>
    </w:p>
    <w:p>
      <w:pPr>
        <w:pStyle w:val="FirstParagraph"/>
      </w:pPr>
      <w:r>
        <w:rPr>
          <w:b/>
          <w:bCs/>
        </w:rPr>
        <w:t xml:space="preserve">Сохранились</w:t>
      </w:r>
      <w:r>
        <w:t xml:space="preserve"> </w:t>
      </w:r>
      <w:r>
        <w:t xml:space="preserve">(норма) кратность «не менее 3-х раз в день», диетическое (лечебное) питание «по медицинским показаниям» и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49]. Ни прежний, ни новый текст не говорит о выборе, числе вариантов или меню как документе социального обслуживания.</w:t>
      </w:r>
    </w:p>
    <w:p>
      <w:pPr>
        <w:pStyle w:val="BodyText"/>
      </w:pPr>
      <w:r>
        <w:rPr>
          <w:b/>
          <w:bCs/>
        </w:rPr>
        <w:t xml:space="preserve">Изменились</w:t>
      </w:r>
      <w:r>
        <w:t xml:space="preserve"> </w:t>
      </w:r>
      <w:r>
        <w:t xml:space="preserve">(норма) номер (п. 7.1.11 → подп. 11 п. 56), реквизиты (постановление № 32 от 27.10.2020 → постановление № 18 от 02.06.2026) и срок действия. По постановлению № 32 СанПиН 3590-20 должен был действовать с 01.01.2021 до 01.01.2027 [49]; постановление № 18 признало его утратившим силу ранее — с 01.09.2026, без переходного периода [3].</w:t>
      </w:r>
    </w:p>
    <w:p>
      <w:pPr>
        <w:pStyle w:val="BodyText"/>
      </w:pPr>
      <w:r>
        <w:rPr>
          <w:b/>
          <w:bCs/>
        </w:rPr>
        <w:t xml:space="preserve">Риски сентября — декабря 2026 г.</w:t>
      </w:r>
      <w:r>
        <w:t xml:space="preserve"> </w:t>
      </w:r>
      <w:r>
        <w:t xml:space="preserve">(толкование) связаны с тем, что дата 01.01.2027 переходит из документа в документ, подготовленный до июня 2026 г., в том числе в первую редакцию обзора [1]. Из неё проистекают три ошибки. Первая — ссылка локального акта учреждения (положения о питании, приказа о бракеражной комиссии, программы производственного контроля) на «п. 7.1.11 СанПиН 3590-20» как на действующий: содержание требования верно, ссылка — нет. Она исправляется заменой реквизитов при очередном пересмотре, а журналы, заполненные до 31.08.2026, переписывать не нужно. Вторая — указание в договоре с организатором питания (аутсорсинг) СанПиН 3590-20 в качестве обязательного требования к исполнителю. Если договор не содержит оговорки «или акт, его заменяющий», вопрос становится предметом дополнительного соглашения; в споре о качестве ссылка на утративший силу акт ослабляет позицию заказчика. Третья касается региональных актов, в преамбуле которых назван СанПиН 3590-20 (нормы Новосибирской области в редакции № 769-НПА, нормы Красноярского края № 607-п в редакции № 74-п, п. 3.9 и следующие гл. 3). Формально они не теряют силы, поскольку ссылка в преамбуле не делает региональную норму недействующей, однако при проверке ответ должен опираться на подп. 11 п. 56 СанПиН 4282-26, а не на преамбулу регионального акта.</w:t>
      </w:r>
    </w:p>
    <w:p>
      <w:pPr>
        <w:pStyle w:val="BodyText"/>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6"/>
    <w:bookmarkStart w:id="47" w:name="что-новый-санпин-говорит-о-выборе"/>
    <w:p>
      <w:pPr>
        <w:pStyle w:val="Heading3"/>
      </w:pPr>
      <w:r>
        <w:rPr>
          <w:rStyle w:val="SectionNumber"/>
        </w:rPr>
        <w:t xml:space="preserve">2.7.4</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Вместе с тем четыре положения нового СанПиН непосредственно определяют условия, при которых вариативное меню может быть организовано законно.</w:t>
      </w:r>
    </w:p>
    <w:p>
      <w:pPr>
        <w:pStyle w:val="BodyText"/>
      </w:pPr>
      <w:r>
        <w:t xml:space="preserve">Первое положение —</w:t>
      </w:r>
      <w:r>
        <w:t xml:space="preserve"> </w:t>
      </w: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является нарушением, каким бы удачным он ни был.</w:t>
      </w:r>
    </w:p>
    <w:p>
      <w:pPr>
        <w:pStyle w:val="BodyText"/>
      </w:pPr>
      <w:r>
        <w:t xml:space="preserve">Второе —</w:t>
      </w:r>
      <w:r>
        <w:t xml:space="preserve"> </w:t>
      </w:r>
      <w:r>
        <w:rPr>
          <w:b/>
          <w:bCs/>
        </w:rPr>
        <w:t xml:space="preserve">три часа на раздаче</w:t>
      </w:r>
      <w:r>
        <w:t xml:space="preserve"> </w:t>
      </w:r>
      <w:r>
        <w:t xml:space="preserve">(п. 32). Ограничение касается блюд, требующих разогревания перед употреблением, и исчисляется с момента изготовления. Для варианта, приготовленного «с запасом» в ожидании спроса, это прямой предел. Остатки нельзя реализовать на следующий день и нельзя заморозить для последующей реализации. Тот же пункт запрещает размещать на раздаче холодные блюда, кондитерские изделия и напитки вне охлаждаемой витрины (холодильного оборудования) [3]. Специальных правил для «шведского стола» или линии самообслуживания СанПиН 4282-26 не содержит; из п. 32 следует лишь, что линия, на которой житель сам берёт холодные закуски, салаты и напитки, должна быть оснащена охлаждаемой витриной. Запрет п. 32 на привлечение к порционированию и раздаче «посторонних лиц» обращён к персоналу и иным лицам, раздающим пищу другим; житель, накладывающий еду себе, таким лицом не является (толкование; сверка полного текста п. 32 проведена 06.10.2026).</w:t>
      </w:r>
    </w:p>
    <w:p>
      <w:pPr>
        <w:pStyle w:val="BodyText"/>
      </w:pPr>
      <w:r>
        <w:t xml:space="preserve">Третье —</w:t>
      </w:r>
      <w:r>
        <w:t xml:space="preserve"> </w:t>
      </w: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BodyText"/>
      </w:pPr>
      <w:r>
        <w:t xml:space="preserve">Четвёртое —</w:t>
      </w:r>
      <w:r>
        <w:t xml:space="preserve"> </w:t>
      </w: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причём лишь для случая готовых блюд от стороннего предприятия: пробы отбирает ответственный работник пищеблока в соответствии с подп. 4.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которого будет ожидать проверяющий (толкование; вопрос целесообразно уточнить у территориального органа Роспотребнадзора).</w:t>
      </w:r>
    </w:p>
    <w:p>
      <w:pPr>
        <w:pStyle w:val="BodyText"/>
      </w:pPr>
      <w:r>
        <w:t xml:space="preserve">Особого внимания заслуживает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обязательны, но их соблюдение проверяет не Роспотребнадзор, а государственный контроль в сфере социального обслуживания — для организаций субъекта Роструд, для негосударственных поставщиков орган субъекта (п. 8.3–8.4; толкование). Вопрос «почему сегодня два вторых» поэтому к предмету санитарного надзора не относится, тогда как вопросы «где ТТК на второе Б», «где проба» и «сколько часов оно стоит на линии» — относятся.</w:t>
      </w:r>
    </w:p>
    <w:bookmarkEnd w:id="47"/>
    <w:bookmarkStart w:id="48" w:name="подп.-5-п.-56-кто-раздаёт-пищу"/>
    <w:p>
      <w:pPr>
        <w:pStyle w:val="Heading3"/>
      </w:pPr>
      <w:r>
        <w:rPr>
          <w:rStyle w:val="SectionNumber"/>
        </w:rPr>
        <w:t xml:space="preserve">2.7.5</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Прямого аналога для организаций социального обслуживания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рассмотрено в п. 7.5).</w:t>
      </w:r>
    </w:p>
    <w:bookmarkEnd w:id="48"/>
    <w:bookmarkEnd w:id="49"/>
    <w:bookmarkStart w:id="50"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но не определяет, каким образом. Номенклатура стандартных диет и порядок лечебного питания установлены актами Минздрава России для медицинских организаций: приказом от 05.08.2003 № 330 (с изменениями, последнее — приказ от 19.02.2024 № 70н), приказом от 21.06.2013 № 395н «Об утверждении норм лечебного питания» и приказом от 23.09.2020 № 1008н «Об утверждении порядка обеспечения пациентов лечебным питанием» [3, сноски 13 и 23; 50–52].</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охарактеризовала это как «недостаточную связность социального и медицинского регулирования» [1], и формулировка точна. Для вариативного меню отсюда следует правило (толкование): пищеблок не назначает и не отменяет диету, житель с назначенной диетой выбирает внутри неё. Какие диеты и консистенции кому назначать, доклад не рассматривает: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[53]. Для социального учреждения это ориентир организации медицинской части, а не норма для пищеблока.</w:t>
      </w:r>
    </w:p>
    <w:bookmarkEnd w:id="50"/>
    <w:bookmarkStart w:id="51"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изложенному добавляются три положения Закона № 3185-1 [26]. Согласно ч. 2 ст. 5,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это общая гарантия, из которой материалы семинара выводят недопустимость лишения еды как меры воздействия [23] —</w:t>
      </w:r>
      <w:r>
        <w:t xml:space="preserve"> </w:t>
      </w:r>
      <w:r>
        <w:rPr>
          <w:b/>
          <w:bCs/>
        </w:rPr>
        <w:t xml:space="preserve">толкование</w:t>
      </w:r>
      <w:r>
        <w:t xml:space="preserve">. Часть 2 ст. 37, применяемая в силу ст. 43, закрепляет право исполнять религиозные обряды и соблюдать религиозные каноны, в том числе пост, если это не нарушает внутреннего распорядка, —</w:t>
      </w:r>
      <w:r>
        <w:t xml:space="preserve"> </w:t>
      </w:r>
      <w:r>
        <w:rPr>
          <w:b/>
          <w:bCs/>
        </w:rPr>
        <w:t xml:space="preserve">норма</w:t>
      </w:r>
      <w:r>
        <w:t xml:space="preserve">. Часть 3 ст. 37 допускает временные ограничения прав, в том числе на получение посылок и на приобретение предметов первой необходимости, решением заведующего отделением или главного врача по рекомендации лечащего врача, а порядок устанавливается Правительством РФ —</w:t>
      </w:r>
      <w:r>
        <w:t xml:space="preserve"> </w:t>
      </w:r>
      <w:r>
        <w:rPr>
          <w:b/>
          <w:bCs/>
        </w:rPr>
        <w:t xml:space="preserve">норма</w:t>
      </w:r>
      <w:r>
        <w:t xml:space="preserve">; однако её применимость к жителям ПНИ сомнительна, поскольку ст. 43 отсылает только к ч. 2 и 4 ст. 37 (</w:t>
      </w:r>
      <w:r>
        <w:rPr>
          <w:b/>
          <w:bCs/>
        </w:rPr>
        <w:t xml:space="preserve">толкование</w:t>
      </w:r>
      <w:r>
        <w:t xml:space="preserve">).</w:t>
      </w:r>
    </w:p>
    <w:p>
      <w:pPr>
        <w:pStyle w:val="BodyText"/>
      </w:pPr>
      <w:r>
        <w:t xml:space="preserve">Последнее положение касается продуктовых передач. Перечни продуктов, «запрещённых к передаче» в ПНИ, которые публикуют учреждения [54], являются локальными формами, и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Для поста следствие прямое: постный вариант блюда представляет собой не «вариативность по желанию пищеблока», а условие осуществления права, закреплённого законом. Если у жителя есть медицинские назначения, соблюдение поста согласуется с врачом; отказ от поста остаётся таким же правом в любой день.</w:t>
      </w:r>
    </w:p>
    <w:bookmarkEnd w:id="51"/>
    <w:bookmarkStart w:id="52" w:name="закупки-44-фз-и-223-фз"/>
    <w:p>
      <w:pPr>
        <w:pStyle w:val="Heading2"/>
      </w:pPr>
      <w:r>
        <w:rPr>
          <w:rStyle w:val="SectionNumber"/>
        </w:rPr>
        <w:t xml:space="preserve">2.10</w:t>
      </w:r>
      <w:r>
        <w:tab/>
      </w:r>
      <w:r>
        <w:t xml:space="preserve">Закупки: 44-ФЗ и 223-ФЗ</w:t>
      </w:r>
    </w:p>
    <w:p>
      <w:pPr>
        <w:pStyle w:val="FirstParagraph"/>
      </w:pPr>
      <w:r>
        <w:t xml:space="preserve">Питание зависит от закупки сильнее, чем от рецептуры: именно спецификация решает, окажется ли на складе второй продукт группы. Государственное бюджетное учреждение закупает по 44-ФЗ [55]. Автономное учреждение относится к заказчикам по 223-ФЗ (п. 1 ч. 2 ст. 1 223-ФЗ) и закупает по своему положению о закупке, а при неразмещении положения применяет 44-ФЗ [56]. Положения 44-ФЗ распространяются на закупки автономного учреждения за счёт субсидий на капитальные вложения (ч. 4 ст. 15 44-ФЗ) [55]. Применимость 44-ФЗ к закупкам автономного учреждения за счёт субсидии на выполнение государственного задания остаётся предметом многолетнего спора; Минфин России разъяснял порядок использования автономными учреждениями бюджетных средств в письме от 29.12.2014 № 02-02-08/68298 [57]. В 2025–2026 гг. спор получил судебную иллюстрацию, которую отраслевая печать пересказывает шире, чем она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[58]. Мотивом суда послужил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тогда как 223-ФЗ применим, «когда закупка осуществляется для нужд самих поименованных в данном законе юридических лиц, в том числе автономных учреждений» [58]. По тексту постановления ход дела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[58].</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представляет это как «окончательную точку» в споре и называет ключевым критерием источник финансирования [59].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[58, 59]. При проверках 05–06.10.2026 под тем же номером 303-ЭС25-15393 в открытой базе судебных актов обнаруживалось лишь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[60]. Факт и дату отказа тогда подтверждал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[61]. Обзор излагает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[61]. Это пересказ обозревателя, а не текст определения.</w:t>
      </w:r>
    </w:p>
    <w:p>
      <w:pPr>
        <w:pStyle w:val="BodyText"/>
      </w:pPr>
      <w:r>
        <w:t xml:space="preserve">Текст самого определения от 28.01.2026 получен 07.10.2026 из банка судебных актов на официальном сайте Верховного Суда [62]. Это определение судьи об отказе в передаче кассационной жалобы для рассмотрения в судебном заседании Судебной коллегии по экономическим спорам, вынесенное по стандартной формуле: доводы жалобы «не подтверждают наличие оснований, предусмотренных статьями 291.6, 291.11 Арбитражного процессуального кодекса Российской Федерации», поскольку «не позволяют сделать вывод о том, что при рассмотрении дела допущены нарушения норм материального права и (или) норм процессуального права, приведшие к судебной ошибке существенного и непреодолимого характера» [62]. Кроме отказа, определение взыскивает с учреждения 80 000 руб. государственной пошлины, уплата которой была отсрочена определением от 29.12.2025 [60, 62]. Ни 44-ФЗ, ни 223-ФЗ, ни государственное задание, ни источник финансирования, ни цель закупки в тексте не упоминаются, и приводимой в блоге цитаты «из определения» в нём нет [59, 62]. Следовательно, ни «окончательной точки» в споре о применимом законе, ни критерия источника денег Верховный Суд в этом деле не формулировал: определение лишь констатирует отсутствие оснований для пересмотра, а правовая позиция по делу содержится в постановлении суда округа, которое после отказа остаётся в силе (толкование). В определении от 28.01.2026 номер дела указан верно — А73-20917/2024, что подтверждает техническую опечатку в определении от 29.12.2025 (гл. 9, поз. 40) [60, 62].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тогда как 44-ФЗ обязателен, когда учреждению поручена реализация полномочий органа власти в интересах неограниченного круга лиц [63].</w:t>
      </w:r>
    </w:p>
    <w:p>
      <w:pPr>
        <w:pStyle w:val="BodyText"/>
      </w:pPr>
      <w:r>
        <w:t xml:space="preserve">Для стационарной организации социального обслуживания это различие имеет решающее значение (толкование). Продукты для жителей закупаются ради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не заменяет правовой экспертизы учредителя. Определение Верховного Суда от 28.01.2026 ему не противоречит, но и не подкрепляет его: позиции по существу спора оно не содержит, а отказ в передаче жалобы оставляет в силе постановление округа, на логике которого толкование построено [62].</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примером последнего служит извещение № 0372200070825000244 от 24.11.2025 об открытом конкурсе на поставку продуктов питания [64]. Закупочные решения для вариативного меню сопоставлены в п. 7.7.</w:t>
      </w:r>
    </w:p>
    <w:bookmarkEnd w:id="52"/>
    <w:bookmarkStart w:id="53"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предусмотрен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[65]. Первая редакция обзора называет ст. 6.3 [1], доклад «Не просто накормить» — ст. 6.6 [22]. Противоречия здесь нет: речь идёт о соотношении общей и специальной нормы, и к нарушениям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[66]. Верховный Суд РФ в постановлении от 21.02.2019 № 11-АД19-4 переквалифицировал нарушение со ст. 6.6 на ст. 6.7 КоАП применительно к организации, для которой специальной являлась норма об условиях воспитания и обучения [67]; выбор состава, таким образом, зависит от вида организации.</w:t>
      </w:r>
    </w:p>
    <w:p>
      <w:pPr>
        <w:pStyle w:val="BodyText"/>
      </w:pPr>
      <w:r>
        <w:rPr>
          <w:b/>
          <w:bCs/>
        </w:rPr>
        <w:t xml:space="preserve">Антимонопольная.</w:t>
      </w:r>
      <w:r>
        <w:t xml:space="preserve"> </w:t>
      </w:r>
      <w:r>
        <w:t xml:space="preserve">Сырьё для социальных учреждений — сфера с публичными картельными делами: ФАС России в 2024 г. сообщила о картеле на 543 торгах поставки социально значимых продуктов на сумму 4,7 млрд руб. [68], УФАС по Челябинской области в 2025 г. — о картеле на 27 тендерах школьного питания со штрафом 5,1 млн руб. [69]. Вывод для вариативного меню узок: избыточно детализированная спецификация, составленная «под второе блюдо», сама способна ограничить конкуренцию, поэтому спецификация строится по группам продуктов, а не под поставщика (толкование).</w:t>
      </w:r>
    </w:p>
    <w:bookmarkEnd w:id="53"/>
    <w:bookmarkStart w:id="54" w:name="выводы-по-главе-2"/>
    <w:p>
      <w:pPr>
        <w:pStyle w:val="Heading2"/>
      </w:pPr>
      <w:r>
        <w:rPr>
          <w:rStyle w:val="SectionNumber"/>
        </w:rPr>
        <w:t xml:space="preserve">2.12</w:t>
      </w:r>
      <w:r>
        <w:tab/>
      </w:r>
      <w:r>
        <w:t xml:space="preserve">Выводы по главе 2</w:t>
      </w:r>
    </w:p>
    <w:p>
      <w:pPr>
        <w:pStyle w:val="FirstParagraph"/>
      </w:pPr>
      <w:r>
        <w:t xml:space="preserve">Федеральное право задаёт для вариативного меню рамку, но не содержание. Нормы питания утверждает субъект, федеральные продуктовые наборы носят рекомендательный характер, а обязанности предоставлять выбор блюда не содержит ни один из проанализированных федеральных актов. Санитарные правила выбора не ограничивают, однако обусловливают его технологической картой на каждый вариант, пределом в три часа на раздаче, охлаждаемой витриной для холодных блюд, бракеражем каждого блюда и суточными пробами. Механизм эквивалентной замены для взрослых держится на рекомендациях 2002 г., аналогии с детским разделом СанПиН и региональных актах. Единственная прямая федеральная опора выбора — право на соблюдение поста, закреплённое для ПНИ законом, а для всех организаций с 01.09.2025 — приказом № 305н. В закупках для автономных учреждений сохраняется неопределённость между 223-ФЗ и 44-ФЗ, которую известные судебные акты не снимают окончательно. Итоговая квалификация утверждений приведена в таблице; региональный уровень, на котором рамка наполняется содержанием, рассматривается в главе 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4"/>
    <w:bookmarkEnd w:id="55"/>
    <w:bookmarkStart w:id="77" w:name="региональные-нормы-питания"/>
    <w:p>
      <w:pPr>
        <w:pStyle w:val="Heading1"/>
      </w:pPr>
      <w:r>
        <w:rPr>
          <w:rStyle w:val="SectionNumber"/>
        </w:rPr>
        <w:t xml:space="preserve">3</w:t>
      </w:r>
      <w:r>
        <w:tab/>
      </w:r>
      <w:r>
        <w:t xml:space="preserve">Региональные нормы питания</w:t>
      </w:r>
    </w:p>
    <w:bookmarkStart w:id="56"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действует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темы доклада ключевым уровнем являются нормы питания, поскольку именно они определяют, из чего пищеблок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и Нижегородской областей, Красноярского края, Ленинградской области и ХМАО — Югры, а для Москвы — по открытой части приказа № 228 [33, 45–47, 70–72]; для остальных субъектов он заимствован из первой редакции. Вариативное меню в России, следовательно, повсеместно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классифицировать нормы по степени дифференциации: «многовариантные» (наборы различаются по типу учреждения и по состоянию здоровья; пример — Санкт-Петербург), «типовые» (только по типу учреждения; пример — Псковская область) и «укрупнённые» (единый набор с оговорками о замене по медицинским показаниям) [1]. Классификация полезна, однако выведенное из неё положение — «чем богаче нормативный ассортимент, тем шире легальное пространство выбора» — нуждается в поправке. Дифференциация по диагнозам расширяет пространство персонализации, а не выбора: житель с диабетом получает иной набор, но не право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6"/>
    <w:bookmarkStart w:id="62"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7"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от 27.06.2022 № 561 и от 18.07.2025 № 507 [33, 34, 73]. Постановлением № 929 приложение изложено в новой редакции с 01.01.2020 [73]; постановлением № 561 изменены, в частности, нормы по крупам и мясу [33].</w:t>
      </w:r>
    </w:p>
    <w:p>
      <w:pPr>
        <w:pStyle w:val="BodyText"/>
      </w:pPr>
      <w:r>
        <w:rPr>
          <w:b/>
          <w:bCs/>
        </w:rPr>
        <w:t xml:space="preserve">Действующая редакция — с 01.01.2026.</w:t>
      </w:r>
      <w:r>
        <w:t xml:space="preserve"> </w:t>
      </w:r>
      <w:r>
        <w:t xml:space="preserve">Постановлением от 18.07.2025 № 507 приложение к постановлению № 1284 изложено в новой редакции; изменения вступили в силу с 1 января 2026 г. (п. 1.2 и п. 2 постановления № 507; официальное опубликование на портале правовой информации 24.07.2025) [34]. В первой и второй редакциях обзора нормы Санкт-Петербурга приводились по редакции от 27.06.2022 № 561 [33], действовавшей до 31.12.2025; ниже она упоминается как историческая. Все граммы в настоящем разделе, в сценариях гл. 7 и в прил. Б приведены по действующей редакции, кроме случаев, когда прямо названа редакция 2022 г.</w:t>
      </w:r>
    </w:p>
    <w:p>
      <w:pPr>
        <w:pStyle w:val="BodyText"/>
      </w:pPr>
      <w:r>
        <w:t xml:space="preserve">Приложение в действующей редакции состоит из восьми самостоятельных норм [34]:</w:t>
      </w:r>
    </w:p>
    <w:p>
      <w:pPr>
        <w:pStyle w:val="Compact"/>
        <w:numPr>
          <w:ilvl w:val="0"/>
          <w:numId w:val="1002"/>
        </w:numPr>
      </w:pPr>
      <w:r>
        <w:t xml:space="preserve">нормы питания в стационарной форме для получателей 18 лет и старше — в четырёх парах столбцов (брутто и нетто): организации, кроме ПНИ и ДСО; ПНИ и ДСО; лица с сахарным диабетом; лица с заболеваниями желудочно-кишечного тракта;</w:t>
      </w:r>
    </w:p>
    <w:p>
      <w:pPr>
        <w:pStyle w:val="Compact"/>
        <w:numPr>
          <w:ilvl w:val="0"/>
          <w:numId w:val="1002"/>
        </w:numPr>
      </w:pPr>
      <w:r>
        <w:t xml:space="preserve">такие же нормы</w:t>
      </w:r>
      <w:r>
        <w:t xml:space="preserve"> </w:t>
      </w:r>
      <w:r>
        <w:rPr>
          <w:b/>
          <w:bCs/>
        </w:rPr>
        <w:t xml:space="preserve">без смеси белковой композитной сухой</w:t>
      </w:r>
      <w:r>
        <w:t xml:space="preserve"> </w:t>
      </w:r>
      <w:r>
        <w:t xml:space="preserve">— теперь в двух парах столбцов: для организаций, кроме ПНИ и ДСО, и для ПНИ и ДСО (в редакции 2022 г. такая таблица существовала только для ПНИ [33]);</w:t>
      </w:r>
    </w:p>
    <w:p>
      <w:pPr>
        <w:pStyle w:val="Compact"/>
        <w:numPr>
          <w:ilvl w:val="0"/>
          <w:numId w:val="1002"/>
        </w:numPr>
      </w:pPr>
      <w:r>
        <w:t xml:space="preserve">нормы питания беременных женщин и кормящих матерей;</w:t>
      </w:r>
    </w:p>
    <w:p>
      <w:pPr>
        <w:pStyle w:val="Compact"/>
        <w:numPr>
          <w:ilvl w:val="0"/>
          <w:numId w:val="1002"/>
        </w:numPr>
      </w:pPr>
      <w:r>
        <w:t xml:space="preserve">нормы питания детей первого года жизни, проживающих с матерями;</w:t>
      </w:r>
    </w:p>
    <w:p>
      <w:pPr>
        <w:pStyle w:val="Compact"/>
        <w:numPr>
          <w:ilvl w:val="0"/>
          <w:numId w:val="1002"/>
        </w:numPr>
      </w:pPr>
      <w:r>
        <w:t xml:space="preserve">нормы питания детей от 1 года до 18 лет и лиц из числа детей-сирот от 18 до 23 лет (с примечанием о допустимости замены продуктов по таблице замены приложения № 11 к СанПиН 2.3/2.4.3590-20; это примечание относится к детскому разделу);</w:t>
      </w:r>
    </w:p>
    <w:p>
      <w:pPr>
        <w:pStyle w:val="Compact"/>
        <w:numPr>
          <w:ilvl w:val="0"/>
          <w:numId w:val="1002"/>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Compact"/>
        <w:numPr>
          <w:ilvl w:val="0"/>
          <w:numId w:val="1002"/>
        </w:numPr>
      </w:pPr>
      <w:r>
        <w:t xml:space="preserve">и 8. нормы питания в полустационарной форме с пребыванием свыше четырёх часов — для взрослых и для детей (в нетто).</w:t>
      </w:r>
    </w:p>
    <w:p>
      <w:pPr>
        <w:pStyle w:val="FirstParagraph"/>
      </w:pPr>
      <w:r>
        <w:t xml:space="preserve">Смесь белковая композитная сухая (27 г) и витаминно-минеральные комплексы (50–100 % физиологической нормы) в действующей редакции отмечены сноской «по медицинским показаниям» [34]. В редакции 2022 г. СБКС входила в общую норму без такой оговорки, а витамины выдавались по схеме «1 драже 3 раза в неделю» [33].</w:t>
      </w:r>
    </w:p>
    <w:bookmarkEnd w:id="57"/>
    <w:bookmarkStart w:id="58" w:name="что-изменилось-с-01.01.2026"/>
    <w:p>
      <w:pPr>
        <w:pStyle w:val="Heading3"/>
      </w:pPr>
      <w:r>
        <w:rPr>
          <w:rStyle w:val="SectionNumber"/>
        </w:rPr>
        <w:t xml:space="preserve">3.2.2</w:t>
      </w:r>
      <w:r>
        <w:tab/>
      </w:r>
      <w:r>
        <w:t xml:space="preserve">Что изменилось с 01.01.2026</w:t>
      </w:r>
    </w:p>
    <w:p>
      <w:pPr>
        <w:pStyle w:val="FirstParagraph"/>
      </w:pPr>
      <w:r>
        <w:t xml:space="preserve">Основное изменение затронуло столбец «организации, кроме ПНИ и ДСО», то есть дома-интернаты общего типа и иные стационары, кроме ПНИ и ДСО. Он фактически переписан по образцу федеральной рекомендации (приказ № 520н): нетто-значения совпадают с ней по всем сопоставленным позициям, кроме сахара и кондитерских изделий (в Санкт-Петербурге 50 + 15 г, в приказе № 520н 50 г вместе) [32, 34]. Столбец «ПНИ и ДСО» изменился мало: сохранились граммы по хлебу, крупам, мясу, птице, рыбе, творогу и молочным продуктам, изменились нормы по яйцу (½ шт. в сутки вместо 4 шт. в неделю), по витаминам и отметка о медицинских показаниях для СБКС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кроме ПНИ и ДСО, с 2026 г. [34]</w:t>
            </w:r>
          </w:p>
        </w:tc>
        <w:tc>
          <w:tcPr/>
          <w:p>
            <w:pPr>
              <w:pStyle w:val="Compact"/>
            </w:pPr>
            <w:r>
              <w:t xml:space="preserve">СПб, кроме ПНИ, ред. 2022 г. [33]</w:t>
            </w:r>
          </w:p>
        </w:tc>
        <w:tc>
          <w:tcPr/>
          <w:p>
            <w:pPr>
              <w:pStyle w:val="Compact"/>
            </w:pPr>
            <w:r>
              <w:t xml:space="preserve">СПб, ПНИ и ДСО, с 2026 г. [34]</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(свежие, солёные, зелень, консервированные — сумма строк)¹</w:t>
            </w:r>
          </w:p>
        </w:tc>
        <w:tc>
          <w:tcPr/>
          <w:p>
            <w:pPr>
              <w:pStyle w:val="Compact"/>
            </w:pPr>
            <w:r>
              <w:t xml:space="preserve">394,5</w:t>
            </w:r>
          </w:p>
        </w:tc>
        <w:tc>
          <w:tcPr/>
          <w:p>
            <w:pPr>
              <w:pStyle w:val="Compact"/>
            </w:pPr>
            <w:r>
              <w:t xml:space="preserve">394,5</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Сухофрукты и шиповник</w:t>
            </w:r>
          </w:p>
        </w:tc>
        <w:tc>
          <w:tcPr/>
          <w:p>
            <w:pPr>
              <w:pStyle w:val="Compact"/>
            </w:pPr>
            <w:r>
              <w:t xml:space="preserve">20 + 15</w:t>
            </w:r>
          </w:p>
        </w:tc>
        <w:tc>
          <w:tcPr/>
          <w:p>
            <w:pPr>
              <w:pStyle w:val="Compact"/>
            </w:pPr>
            <w:r>
              <w:t xml:space="preserve">20 + 15</w:t>
            </w:r>
          </w:p>
        </w:tc>
        <w:tc>
          <w:tcPr/>
          <w:p>
            <w:pPr>
              <w:pStyle w:val="Compact"/>
            </w:pPr>
            <w:r>
              <w:t xml:space="preserve">10</w:t>
            </w:r>
          </w:p>
        </w:tc>
        <w:tc>
          <w:tcPr/>
          <w:p>
            <w:pPr>
              <w:pStyle w:val="Compact"/>
            </w:pPr>
            <w:r>
              <w:t xml:space="preserve">11 + 5</w:t>
            </w:r>
          </w:p>
        </w:tc>
      </w:tr>
      <w:tr>
        <w:tc>
          <w:tcPr/>
          <w:p>
            <w:pPr>
              <w:pStyle w:val="Compact"/>
            </w:pPr>
            <w:r>
              <w:t xml:space="preserve">Соки</w:t>
            </w:r>
          </w:p>
        </w:tc>
        <w:tc>
          <w:tcPr/>
          <w:p>
            <w:pPr>
              <w:pStyle w:val="Compact"/>
            </w:pPr>
            <w:r>
              <w:t xml:space="preserve">100 мл</w:t>
            </w:r>
          </w:p>
        </w:tc>
        <w:tc>
          <w:tcPr/>
          <w:p>
            <w:pPr>
              <w:pStyle w:val="Compact"/>
            </w:pPr>
            <w:r>
              <w:t xml:space="preserve">100</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w:t>
            </w:r>
          </w:p>
        </w:tc>
        <w:tc>
          <w:tcPr/>
          <w:p>
            <w:pPr>
              <w:pStyle w:val="Compact"/>
            </w:pPr>
            <w:r>
              <w:t xml:space="preserve">32,5</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w:t>
            </w:r>
          </w:p>
        </w:tc>
        <w:tc>
          <w:tcPr/>
          <w:p>
            <w:pPr>
              <w:pStyle w:val="Compact"/>
            </w:pPr>
            <w:r>
              <w:t xml:space="preserve">½ шт./сут</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121</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50 + 15</w:t>
            </w:r>
          </w:p>
        </w:tc>
        <w:tc>
          <w:tcPr/>
          <w:p>
            <w:pPr>
              <w:pStyle w:val="Compact"/>
            </w:pPr>
            <w:r>
              <w:t xml:space="preserve">57 + 15</w:t>
            </w:r>
          </w:p>
        </w:tc>
        <w:tc>
          <w:tcPr/>
          <w:p>
            <w:pPr>
              <w:pStyle w:val="Compact"/>
            </w:pPr>
            <w:r>
              <w:t xml:space="preserve">57 + 15</w:t>
            </w:r>
          </w:p>
        </w:tc>
      </w:tr>
      <w:tr>
        <w:tc>
          <w:tcPr/>
          <w:p>
            <w:pPr>
              <w:pStyle w:val="Compact"/>
            </w:pPr>
            <w:r>
              <w:t xml:space="preserve">Соль</w:t>
            </w:r>
          </w:p>
        </w:tc>
        <w:tc>
          <w:tcPr/>
          <w:p>
            <w:pPr>
              <w:pStyle w:val="Compact"/>
            </w:pPr>
            <w:r>
              <w:t xml:space="preserve">8</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 показаниям</w:t>
            </w:r>
          </w:p>
        </w:tc>
        <w:tc>
          <w:tcPr/>
          <w:p>
            <w:pPr>
              <w:pStyle w:val="Compact"/>
            </w:pPr>
            <w:r>
              <w:t xml:space="preserve">27 — по мед. показаниям</w:t>
            </w:r>
          </w:p>
        </w:tc>
        <w:tc>
          <w:tcPr/>
          <w:p>
            <w:pPr>
              <w:pStyle w:val="Compact"/>
            </w:pPr>
            <w:r>
              <w:t xml:space="preserve">27 — в общей норме</w:t>
            </w:r>
          </w:p>
        </w:tc>
        <w:tc>
          <w:tcPr/>
          <w:p>
            <w:pPr>
              <w:pStyle w:val="Compact"/>
            </w:pPr>
            <w:r>
              <w:t xml:space="preserve">27 — по мед. показаниям</w:t>
            </w:r>
          </w:p>
        </w:tc>
      </w:tr>
      <w:tr>
        <w:tc>
          <w:tcPr/>
          <w:p>
            <w:pPr>
              <w:pStyle w:val="Compact"/>
            </w:pPr>
            <w:r>
              <w:t xml:space="preserve">Витаминно-минеральные комплексы</w:t>
            </w:r>
          </w:p>
        </w:tc>
        <w:tc>
          <w:tcPr/>
          <w:p>
            <w:pPr>
              <w:pStyle w:val="Compact"/>
            </w:pPr>
            <w:r>
              <w:t xml:space="preserve">50–100 % — по мед. показаниям</w:t>
            </w:r>
          </w:p>
        </w:tc>
        <w:tc>
          <w:tcPr/>
          <w:p>
            <w:pPr>
              <w:pStyle w:val="Compact"/>
            </w:pPr>
            <w:r>
              <w:t xml:space="preserve">50–100 % — по мед. показаниям</w:t>
            </w:r>
          </w:p>
        </w:tc>
        <w:tc>
          <w:tcPr/>
          <w:p>
            <w:pPr>
              <w:pStyle w:val="Compact"/>
            </w:pPr>
            <w:r>
              <w:t xml:space="preserve">1 драже 3 раза в неделю</w:t>
            </w:r>
          </w:p>
        </w:tc>
        <w:tc>
          <w:tcPr/>
          <w:p>
            <w:pPr>
              <w:pStyle w:val="Compact"/>
            </w:pPr>
            <w:r>
              <w:t xml:space="preserve">50–100 % — по мед. показаниям</w:t>
            </w:r>
          </w:p>
        </w:tc>
      </w:tr>
    </w:tbl>
    <w:p>
      <w:pPr>
        <w:pStyle w:val="BodyText"/>
      </w:pPr>
      <w:r>
        <w:t xml:space="preserve">¹ Сумма строк: овощи свежие 340 + солёные и маринованные 15 + зелень 14,8 + консервированные 24,7 (для ПНИ и ДСО — 325,5 + 15 + 14,8 + 24,7); иллюстративная арифметика автора. В редакции 2022 г. эти продукты составляли одну строку [33].</w:t>
      </w:r>
    </w:p>
    <w:p>
      <w:pPr>
        <w:pStyle w:val="BodyText"/>
      </w:pPr>
      <w:r>
        <w:t xml:space="preserve">Сопоставление позволяет сделать три наблюдения.</w:t>
      </w:r>
    </w:p>
    <w:p>
      <w:pPr>
        <w:pStyle w:val="BodyText"/>
      </w:pPr>
      <w:r>
        <w:t xml:space="preserve">Во-первых, для домов-интернатов общего типа исчез с 01.01.2026 запас петербургской нормы в белковых позициях, на который опирались первые редакции обзора (птица 40 г, творог 40 г, кисломолочные 200 г, рыба 41,8 г): норма сравнялась с федеральной рекомендацией (птица 22,2 г, творог 20 г, кисломолочные 121 г, рыба 32,5 г). Выросли картофель, овощи, соки и хлеб пшеничный [33, 34]. Пары «мясо — птица — рыба» в этих учреждениях теперь приходится балансировать на меньших объёмах (сценарии 1 и 11 гл. 7 пересчитаны). В ПНИ и ДСО белковые позиции прежние, и запас относительно федеральной рекомендации сохраняется: птица 36,5 против 22,2 г, рыба 46,7 против 32,5 г, творог 50 против 20 г (толкование).</w:t>
      </w:r>
    </w:p>
    <w:p>
      <w:pPr>
        <w:pStyle w:val="BodyText"/>
      </w:pPr>
      <w:r>
        <w:t xml:space="preserve">Во-вторых, специализированные продукты (СБКС и витаминно-минеральные комплексы) с 2026 г. и в Санкт-Петербурге предоставляются по медицинским показаниям, как в федеральной рекомендации [32, 34]. Вопрос, который первая и вторая редакции обзора ставили по редакции 2022 г. («вводить смесь в блюда всем или выдавать по назначению»), действующая норма решила в пользу назначения. Решение принимает врач, а не пищеблок, и в выборе по меню СБКС не участвует.</w:t>
      </w:r>
    </w:p>
    <w:p>
      <w:pPr>
        <w:pStyle w:val="BodyText"/>
      </w:pPr>
      <w:r>
        <w:t xml:space="preserve">В-третьих, группы сузились: в действующей редакции «овощи свежие», «овощи солёные и маринованные», «зелень» и «овощи консервированные» выделены в отдельные строки, равно как «сухофрукты» и «шиповник», а мясо названо одной строкой «Мясо» [34]. Внутри строки свобода выбора конкретного продукта сохраняется: две каши из одной строки «крупы, бобовые», котлета или тефтели из одной строки «мясо». Пары между строками (мясо — рыба, картофель — крупа) требуют пересчёта по таблице замен, которой для взрослых в постановлении № 1284 по-прежнему нет; отсылка к таблице замены СанПиН имеется лишь в детском разделе (п. 2.6) [34].</w:t>
      </w:r>
    </w:p>
    <w:bookmarkEnd w:id="58"/>
    <w:bookmarkStart w:id="59" w:name="две-нормы-с-сбкс-и-без"/>
    <w:p>
      <w:pPr>
        <w:pStyle w:val="Heading3"/>
      </w:pPr>
      <w:r>
        <w:rPr>
          <w:rStyle w:val="SectionNumber"/>
        </w:rPr>
        <w:t xml:space="preserve">3.2.3</w:t>
      </w:r>
      <w:r>
        <w:tab/>
      </w:r>
      <w:r>
        <w:t xml:space="preserve">Две нормы: с СБКС и без</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Между тем постановление содержит вторую, самостоятельную норму — без СБКС (таблица 2), и с 2026 г. такая пара существует не только для ПНИ и ДСО, но и для остальных организаций [34]. Сопоставление показывает, чем региональный нормотворец «заменяет» 27 г белковой смеси. Для ПНИ и ДСО значения по сравнению с редакцией 2022 г. не изменились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w:t>
            </w:r>
          </w:p>
        </w:tc>
        <w:tc>
          <w:tcPr/>
          <w:p>
            <w:pPr>
              <w:pStyle w:val="Compact"/>
            </w:pPr>
            <w:r>
              <w:t xml:space="preserve">ПНИ и ДСО, табл. 1 (с СБКС 27 г)</w:t>
            </w:r>
          </w:p>
        </w:tc>
        <w:tc>
          <w:tcPr/>
          <w:p>
            <w:pPr>
              <w:pStyle w:val="Compact"/>
            </w:pPr>
            <w:r>
              <w:t xml:space="preserve">ПНИ и ДСО, табл. 2 (без СБКС)</w:t>
            </w:r>
          </w:p>
        </w:tc>
        <w:tc>
          <w:tcPr/>
          <w:p>
            <w:pPr>
              <w:pStyle w:val="Compact"/>
            </w:pPr>
            <w:r>
              <w:t xml:space="preserve">Разница</w:t>
            </w:r>
          </w:p>
        </w:tc>
        <w:tc>
          <w:tcPr/>
          <w:p>
            <w:pPr>
              <w:pStyle w:val="Compact"/>
            </w:pPr>
            <w:r>
              <w:t xml:space="preserve">Кроме ПНИ и ДСО, табл. 1 → табл. 2 (с 2026 г.)</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c>
          <w:tcPr/>
          <w:p>
            <w:pPr>
              <w:pStyle w:val="Compact"/>
            </w:pPr>
            <w:r>
              <w:t xml:space="preserve">150 → 200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c>
          <w:tcPr/>
          <w:p>
            <w:pPr>
              <w:pStyle w:val="Compact"/>
            </w:pPr>
            <w:r>
              <w:t xml:space="preserve">150 → 200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c>
          <w:tcPr/>
          <w:p>
            <w:pPr>
              <w:pStyle w:val="Compact"/>
            </w:pPr>
            <w:r>
              <w:t xml:space="preserve">80 → 112,9</w:t>
            </w:r>
          </w:p>
        </w:tc>
      </w:tr>
      <w:tr>
        <w:tc>
          <w:tcPr/>
          <w:p>
            <w:pPr>
              <w:pStyle w:val="Compact"/>
            </w:pPr>
            <w:r>
              <w:t xml:space="preserve">Мясо</w:t>
            </w:r>
          </w:p>
        </w:tc>
        <w:tc>
          <w:tcPr/>
          <w:p>
            <w:pPr>
              <w:pStyle w:val="Compact"/>
            </w:pPr>
            <w:r>
              <w:t xml:space="preserve">70,5</w:t>
            </w:r>
          </w:p>
        </w:tc>
        <w:tc>
          <w:tcPr/>
          <w:p>
            <w:pPr>
              <w:pStyle w:val="Compact"/>
            </w:pPr>
            <w:r>
              <w:t xml:space="preserve">85,2</w:t>
            </w:r>
          </w:p>
        </w:tc>
        <w:tc>
          <w:tcPr/>
          <w:p>
            <w:pPr>
              <w:pStyle w:val="Compact"/>
            </w:pPr>
            <w:r>
              <w:t xml:space="preserve">+14,7</w:t>
            </w:r>
          </w:p>
        </w:tc>
        <w:tc>
          <w:tcPr/>
          <w:p>
            <w:pPr>
              <w:pStyle w:val="Compact"/>
            </w:pPr>
            <w:r>
              <w:t xml:space="preserve">90 → 104,7</w:t>
            </w:r>
          </w:p>
        </w:tc>
      </w:tr>
      <w:tr>
        <w:tc>
          <w:tcPr/>
          <w:p>
            <w:pPr>
              <w:pStyle w:val="Compact"/>
            </w:pPr>
            <w:r>
              <w:t xml:space="preserve">Птица</w:t>
            </w:r>
          </w:p>
        </w:tc>
        <w:tc>
          <w:tcPr/>
          <w:p>
            <w:pPr>
              <w:pStyle w:val="Compact"/>
            </w:pPr>
            <w:r>
              <w:t xml:space="preserve">36,5</w:t>
            </w:r>
          </w:p>
        </w:tc>
        <w:tc>
          <w:tcPr/>
          <w:p>
            <w:pPr>
              <w:pStyle w:val="Compact"/>
            </w:pPr>
            <w:r>
              <w:t xml:space="preserve">35</w:t>
            </w:r>
          </w:p>
        </w:tc>
        <w:tc>
          <w:tcPr/>
          <w:p>
            <w:pPr>
              <w:pStyle w:val="Compact"/>
            </w:pPr>
            <w:r>
              <w:t xml:space="preserve">−1,5</w:t>
            </w:r>
          </w:p>
        </w:tc>
        <w:tc>
          <w:tcPr/>
          <w:p>
            <w:pPr>
              <w:pStyle w:val="Compact"/>
            </w:pPr>
            <w:r>
              <w:t xml:space="preserve">22,2 → 22,2</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c>
          <w:tcPr/>
          <w:p>
            <w:pPr>
              <w:pStyle w:val="Compact"/>
            </w:pPr>
            <w:r>
              <w:t xml:space="preserve">—</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c>
          <w:tcPr/>
          <w:p>
            <w:pPr>
              <w:pStyle w:val="Compact"/>
            </w:pPr>
            <w:r>
              <w:t xml:space="preserve">без изменений</w:t>
            </w:r>
          </w:p>
        </w:tc>
      </w:tr>
    </w:tbl>
    <w:p>
      <w:pPr>
        <w:pStyle w:val="BodyText"/>
      </w:pPr>
      <w:r>
        <w:t xml:space="preserve">Постановление не указывает, в каких случаях применяется каждая из двух норм (проверено по тексту [34]). С 2026 г. наиболее естественное прочтение (толкование) связано со сноской о медицинских показаниях: житель, которому СБКС не назначена, обеспечивается по норме без неё, а белок компенсируется хлебом, крупами и мясом. Для вариативного меню здесь важен прецедент: региональный акт сам содержит пару эквивалентных наборов. Выбирает между ними не житель, а врач и учреждение, однако логика «два пути к одной пищевой ценности» заложена в самой норме.</w:t>
      </w:r>
    </w:p>
    <w:bookmarkEnd w:id="59"/>
    <w:bookmarkStart w:id="60"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[74]. Тарифы на социальные услуги ежегодно утверждает Комитет по социальной политике: на 2025 г. — распоряжением от 13.12.2024 № 1366-р, на 2026 г. — распоряжением от 15.12.2025 № 1155-р [75, 76].</w:t>
      </w:r>
    </w:p>
    <w:p>
      <w:pPr>
        <w:pStyle w:val="BodyText"/>
      </w:pPr>
      <w:r>
        <w:t xml:space="preserve">Тарифы на услугу «обеспечение питанием согласно утверждённым нормативам» в стационарной форме для совершеннолетних зеркально следуют нормам постановления № 1284 и разбиты по тем же категориям [75, 76].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[76]. Распоряжение опубликовано в виде графического образа; приведённые ниже значения прочитаны распознаванием текста и сверены визуально по изображению страницы. Помимо тарифов на социальные услуги тот же комитет по экономической политике ежегодно, до 1 июня, утверждает нормативы расходов бюджета Санкт-Петербурга по социальному питанию на следующий финансовый год (п. 7 постановления Правительства Санкт-Петербурга от 23.07.2009 № 873) [77]. Распоряжение о таких нормативах на 2027 г. в открытых официальных источниках найти не удалось (повторный поиск — 06.10.2026), и его значения в обзор не включены.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[75]</w:t>
            </w:r>
          </w:p>
        </w:tc>
        <w:tc>
          <w:tcPr/>
          <w:p>
            <w:pPr>
              <w:pStyle w:val="Compact"/>
            </w:pPr>
            <w:r>
              <w:t xml:space="preserve">2026 г., руб. в день [76]</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таблица существенна в четырёх отношениях.</w:t>
      </w:r>
    </w:p>
    <w:p>
      <w:pPr>
        <w:pStyle w:val="BodyText"/>
      </w:pPr>
      <w:r>
        <w:t xml:space="preserve">Первое: тариф рассчитан на норму, а не на меню, и составляющей на организацию выбора не содержит ни в 2025, ни в 2026 г. [75, 76].</w:t>
      </w:r>
    </w:p>
    <w:p>
      <w:pPr>
        <w:pStyle w:val="BodyText"/>
      </w:pPr>
      <w:r>
        <w:t xml:space="preserve">Второе: категории тарифов 2026 г. в точности повторяют структуру новой редакции норм — появились «ДСО» рядом с ПНИ и новая категория «кроме ПНИ и ДСО, нормы без СБКС», которой соответствует новая таблица 2 [34, 76]. Тарифы 2025 г. рассчитаны на нормы в редакции 2022 г., тарифы 2026 г. — на нормы в редакции № 507; сопоставление тарифов двух лет есть поэтому сопоставление разных наборов продуктов, а не только разных цен. Цена решения «27 г белковой смеси или компенсация хлебом, крупами и мясом» в ПНИ изменилась почти вдвое: 90,77 руб. в день в 2025 г. и 43,21 руб. в 2026 г. Для учреждений, кроме ПНИ и ДСО, в 2026 г. появилась собственная пара тарифов с разницей 41,59 руб. (иллюстративная арифметика: 571,63 − 480,86; 574,43 − 531,22; 581,33 − 539,74) [75, 76]. Граммы обеих ПНИ-таблиц за этот период почти не изменились [33, 34], поэтому сокращение разницы объясняется не составом нормы, а расчётом стоимости набора — ценами продуктов, методикой подушевого норматива и, возможно, тем, что СБКС с 2026 г. предоставляется по медицинским показаниям (толкование). Документы, позволяющие это проверить, не опубликованы.</w:t>
      </w:r>
    </w:p>
    <w:p>
      <w:pPr>
        <w:pStyle w:val="BodyText"/>
      </w:pPr>
      <w:r>
        <w:t xml:space="preserve">Третье: в 2025 г. тариф для ПНИ превышал общий (571,63 против 560,87), а в 2026 г. соотношение стало обратным (574,43 против 581,33) [75, 76]. Это совпадает со сменой общей нормы, пересобранной с 2026 г. по федеральной рекомендации — с бо́льшими объёмами картофеля, овощей, соков и хлеба пшеничного и меньшими объёмами птицы, творога и кисломолочных продуктов, — тогда как ПНИ-норма почти не изменилась [33, 34]. Разделить влияние состава нормы и цен отдельных групп продуктов по опубликованным документам невозможно. Это наблюдение, а не вывод о методике: методика расчёта подушевых нормативов в доступных источниках не раскрыта.</w:t>
      </w:r>
    </w:p>
    <w:p>
      <w:pPr>
        <w:pStyle w:val="BodyText"/>
      </w:pPr>
      <w:r>
        <w:t xml:space="preserve">Четвёртое: рост тарифа ПНИ на 0,5 % за год служит ориентиром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лишь как перераспределение внутри нормы (сценарии 1, 2 и 11 гл. 7) (толкование).</w:t>
      </w:r>
    </w:p>
    <w:bookmarkEnd w:id="60"/>
    <w:bookmarkStart w:id="61"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характеризовала практику петербургских учреждений как «цикличные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78]. Однако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61"/>
    <w:bookmarkEnd w:id="62"/>
    <w:bookmarkStart w:id="63"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[70].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[70].</w:t>
      </w:r>
    </w:p>
    <w:p>
      <w:pPr>
        <w:pStyle w:val="BodyText"/>
      </w:pPr>
      <w:r>
        <w:t xml:space="preserve">Для темы доклада важнее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[70]. Это единственная обнаруженная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вдвойне: подтверждает, что исходной моделью регионального нормотворца является цикличное меню, и даёт законную опору недельному контролю, без которого выбор между блюдами разной калорийности не поддаётся учёту (толкование). Поскольку формулировка касается калорийности по приёмам пищи, а не групп продуктов, вопроса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[79]. Текст приказа № 1068 обнаружен в выгрузке справочной системы, сохранённой 03.05.2015 [80].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относятся к графе психоневрологических организаций [80]. Приказ № 228 издан тем же ведомством (Департамент социальной защиты населения, ныне Департамент труда и социальной защиты населения), то есть является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[70].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официальной отметки о статусе приказа № 1068 найти не удалось (повторный поиск — 06.10.2026: приказ по-прежнему значится в перечне актов на сайте Департамента), а наличие в приказе № 228 отдельной графы для психоневрологических организаций по открытой части текста установить нельзя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этой характеристики обзор не приводит, и вторая редакция не воспроизводит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настоящей редакции результата не дал.</w:t>
      </w:r>
    </w:p>
    <w:bookmarkEnd w:id="63"/>
    <w:bookmarkStart w:id="64" w:name="свердловская-область"/>
    <w:p>
      <w:pPr>
        <w:pStyle w:val="Heading2"/>
      </w:pPr>
      <w:r>
        <w:rPr>
          <w:rStyle w:val="SectionNumber"/>
        </w:rPr>
        <w:t xml:space="preserve">3.4</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[44].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4"/>
    <w:bookmarkStart w:id="65" w:name="нижегородская-область"/>
    <w:p>
      <w:pPr>
        <w:pStyle w:val="Heading2"/>
      </w:pPr>
      <w:r>
        <w:rPr>
          <w:rStyle w:val="SectionNumber"/>
        </w:rPr>
        <w:t xml:space="preserve">3.5</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[81]. По описанию первой редакции, наборы дифференцированы по видам учреждений, а диетическое питание предоставляется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как факт не воспроизводится.</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[71].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[71]. Положений о выборе блюд и о замене продуктов текст не содержит (проверено по тексту); брутто приводится лишь в наборах для детей, с пояснением, что масса брутто рассчитана на норму отходов 25 % [71].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Обнаружился, однако, другой документ, для доклада не менее полезный,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[48]. Положение подробно описывает устройство единого меню в типичном доме-интернате, то есть ту исходную точку, от которой отсчитывается любой выбор. Сводное 14-дневное меню и картотека блюд утверждаются директором на основе среднесуточного набора продуктов, а замена продуктов при их отсутствии производится по таблицам взаимозаменяемости и замены по белкам и углеводам, утверждённым самим положением. Ответственной за организацию питания назначена медицинская диетическая сестра; суточный расход продуктов ведётся «строго в соответствии со среднесуточными наборами». Документальная цепочка выстроена так: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Режим предусматривает четырёхразовое питание и второй ужин, по две смены на каждый приём пищи (завтрак 8:30 и 9:00, обед 12:30 и 13:00, полдник 15:00 и 15:30, ужин 18:00 и 18:30, второй ужин 20:00). Контроль включает проверку готовой пищи директором раз в месяц и ежедневно старшей и диетической сёстрами; порционные блюда взвешиваются по 10 порций с допустимым отклонением средней массы не более 3 %; суточная проба отбирается «от каждой партии приготовленных блюд», отдельно каждое блюдо, и хранится 48 часов при +2…+6 °C; раздача производится не позднее двух часов после приготовления [48].</w:t>
      </w:r>
    </w:p>
    <w:p>
      <w:pPr>
        <w:pStyle w:val="BodyText"/>
      </w:pPr>
      <w:r>
        <w:t xml:space="preserve">Второе опубликованное положение того же ведомства — ГБУ «Чкаловский дом-интернат для престарелых и инвалидов» — устроено аналогично: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[82]. О выборе блюд жителем в нём ничего не сказано. Повторный поиск по сайтам нижегородских учреждений (домен soc52.ru) публичной практики выбора блюд не обнаружил.</w:t>
      </w:r>
    </w:p>
    <w:p>
      <w:pPr>
        <w:pStyle w:val="BodyText"/>
      </w:pPr>
      <w:r>
        <w:t xml:space="preserve">Практический вывод для вариативного меню (толкование) состоит в том, что в учреждении с такой документальной цепочкой выбор затрагивает не один документ, а все звенья одновременно. Порционник должен учитывать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составляет самостоятельную партию). Сценарий 13 гл. 7 рассматривает эту цепочку как пакет документов.</w:t>
      </w:r>
    </w:p>
    <w:bookmarkEnd w:id="65"/>
    <w:bookmarkStart w:id="66" w:name="омская-область"/>
    <w:p>
      <w:pPr>
        <w:pStyle w:val="Heading2"/>
      </w:pPr>
      <w:r>
        <w:rPr>
          <w:rStyle w:val="SectionNumber"/>
        </w:rPr>
        <w:t xml:space="preserve">3.6</w:t>
      </w:r>
      <w:r>
        <w:tab/>
      </w:r>
      <w:r>
        <w:t xml:space="preserve">Омская область</w:t>
      </w:r>
    </w:p>
    <w:p>
      <w:pPr>
        <w:pStyle w:val="FirstParagraph"/>
      </w:pPr>
      <w:r>
        <w:t xml:space="preserve">Нормы утверждены приказом от 11.11.2014 № 171-п [83].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[54]. Опубликованные меню и правила необходимы вариативному меню в любом регионе: житель и его семья должны знать, из чего производится выбор.</w:t>
      </w:r>
    </w:p>
    <w:bookmarkEnd w:id="66"/>
    <w:bookmarkStart w:id="67" w:name="псковская-область"/>
    <w:p>
      <w:pPr>
        <w:pStyle w:val="Heading2"/>
      </w:pPr>
      <w:r>
        <w:rPr>
          <w:rStyle w:val="SectionNumber"/>
        </w:rPr>
        <w:t xml:space="preserve">3.7</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[84]. Вид акта подтверждён независимой справочной отметкой: тем же приказом Комитета по социальной защите Псковской области от 14 июля 2020 г. № 206 с 3 августа 2020 г. признан утратившим силу приказ Главного государственного управления социальной защиты населения Псковской области от 07.11.2014 № 340 [85].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иллюстрирует общую закономерность: диетологическую логику региональные нормы заимствуют из здравоохранения.</w:t>
      </w:r>
    </w:p>
    <w:bookmarkEnd w:id="67"/>
    <w:bookmarkStart w:id="68" w:name="новосибирская-область"/>
    <w:p>
      <w:pPr>
        <w:pStyle w:val="Heading2"/>
      </w:pPr>
      <w:r>
        <w:rPr>
          <w:rStyle w:val="SectionNumber"/>
        </w:rPr>
        <w:t xml:space="preserve">3.8</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поэтому её норма заслуживает внимательного прочтения.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[47].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[47].</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[47]. СБКС (27 г) включена в нормы этих типов учреждений со сноской «по медицинским показаниям»; витаминно-минеральные комплексы — 50–100 % физиологической нормы [47]. Тем самым новосибирская норма воспроизводит федеральную конструкцию № 520н (смесь — по показаниям), а не петербургскую в редакции 2022 г. (смесь — в общей норме).</w:t>
      </w:r>
    </w:p>
    <w:p>
      <w:pPr>
        <w:pStyle w:val="BodyText"/>
      </w:pPr>
      <w:r>
        <w:t xml:space="preserve">Показательно, что в регионе с наиболее развитой практикой выбора норма не упоминает ни выбор, ни варианты блюд, ни замену продуктов (проверено по тексту [47]). Новосибирские учреждения строили вариативное питание на той же нормативной основе, что и все остальные (толкование).</w:t>
      </w:r>
    </w:p>
    <w:bookmarkEnd w:id="68"/>
    <w:bookmarkStart w:id="69" w:name="красноярский-край"/>
    <w:p>
      <w:pPr>
        <w:pStyle w:val="Heading2"/>
      </w:pPr>
      <w:r>
        <w:rPr>
          <w:rStyle w:val="SectionNumber"/>
        </w:rPr>
        <w:t xml:space="preserve">3.9</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гг. и двумя постановлениями 2021 г.) воспроизведён на сайте одного из краевых учреждений [45].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[45].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[45].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изменялся ещё дважды [86]. Постановление от 06.02.2024 № 74-п (вступившее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(вступившее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[86].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[86]. На вопрос, меняли ли поправки граммы, отвечают их официальные тексты на Официальном интернет-портале правовой информации [86]. Постановление № 74-п граммов не касается. Постановление № 892-п, помимо наименований разделов 1, 2, 3, 5, 6, 7 и 10, изменяет одно число — в таблице раздела 3 (нормы для детей) в графе 5 строки 34 «5» заменено на «3». Таблиц разделов 1 и 2 (нормы для взрослых) ни одна из поправок не затрагивает. Поэтому приведённые выше числа раздела 1, данные по редакции 2021 г. и совпадающие с публичной редакцией 2016 г., действуют и в 2026 г., если после постановления № 892-п не вносилось иных изменений [45, 86].</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четыре повара и четыре официанта на пищеблоке, меню на день вывешивается на стенде у входа в столовую [45]. Так учреждение само раскрывает минимум сведений о питании; о выборе блюд в них не говорится.</w:t>
      </w:r>
    </w:p>
    <w:bookmarkEnd w:id="69"/>
    <w:bookmarkStart w:id="70" w:name="ленинградская-область"/>
    <w:p>
      <w:pPr>
        <w:pStyle w:val="Heading2"/>
      </w:pPr>
      <w:r>
        <w:rPr>
          <w:rStyle w:val="SectionNumber"/>
        </w:rPr>
        <w:t xml:space="preserve">3.10</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[46, 87]. Официальный текст приказа № 04-81 вносит три изменения: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Приложения 3 — норм для совершеннолетних, о которых идёт речь ниже, — приказ № 04-81 не затрагивает [87]. Расхождение реквизитов вынесено в гл. 9 (противоречие 31).</w:t>
      </w:r>
    </w:p>
    <w:p>
      <w:pPr>
        <w:pStyle w:val="BodyText"/>
      </w:pPr>
      <w:r>
        <w:t xml:space="preserve">Ленинградская норма приводит каждую позицию одновременно в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[46]. СБКС (27 г) и витаминно-минеральные комплексы (50–100 %) включены в норму стационарного обслуживания без оговорки о медицинских показаниях [46]. Значения нетто почти совпадают с приказом № 520н (говядина 90, птица 22,2, рыба 32,5, творог 20, кисломолочные 121 г), хотя ленинградский приказ издан раньше — 30.12.2021, а № 520н — 13.09.2022 [32, 46]. Вероятное объяснение — общий источник обоих актов в более ранней федеральной рекомендации; это предположение, поскольку текст предшествующего федерального акта для доклада не сверялся.</w:t>
      </w:r>
    </w:p>
    <w:bookmarkEnd w:id="70"/>
    <w:bookmarkStart w:id="71" w:name="ханты-мансийский-автономный-округ-югра"/>
    <w:p>
      <w:pPr>
        <w:pStyle w:val="Heading2"/>
      </w:pPr>
      <w:r>
        <w:rPr>
          <w:rStyle w:val="SectionNumber"/>
        </w:rPr>
        <w:t xml:space="preserve">3.11</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прочитана редакция постановления от 06.09.2014 № 327-п [72], в которой нормы для совершеннолетних даны в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[72]. После 2014 г. постановление № 306-п изменялось постановлениями от 27.03.2015 № 85-п, 30.12.2016 № 569-п, 09.06.2017 № 231-п, 01.10.2021 № 406-п и 12.08.2024 № 306-п [88]. Приложение 1 (нормы в стационарной форме) затронуто лишь изменениями от 06.09.2014 и 09.06.2017: постановлением № 231-п оно изложено в новой редакции, действующей поныне [88].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[88]. Строки СБКС и витаминно-минеральных комплексов в приложении присутствуют, но их значения в публичной версии справочной системы не отображаются; значения 27 г и 50–100 % подтверждены лишь для редакции 2014 г. [72, 88].</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[46, 88]. То обстоятельство,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Отличаются фрукты: 200 г в ХМАО против 150 г в Ленинградской области и в № 520н [32, 46, 72].</w:t>
      </w:r>
    </w:p>
    <w:bookmarkEnd w:id="71"/>
    <w:bookmarkStart w:id="72" w:name="X00d3de5e234226ca574f6e2fd93a9ea259eabf5"/>
    <w:p>
      <w:pPr>
        <w:pStyle w:val="Heading2"/>
      </w:pPr>
      <w:r>
        <w:rPr>
          <w:rStyle w:val="SectionNumber"/>
        </w:rPr>
        <w:t xml:space="preserve">3.12</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один (Нижегородская область) — в нетто, три (Санкт-Петербург, Ленинградская область, ХМАО — Югра в действующей редакции 2017 г.) — в обеих величинах [34, 45–47, 71, 88]. Прежние редакции обзора относили Санкт-Петербург к нетто; это неточно: и редакция 2022 г., и действующая редакция 2026 г. дают для взрослых пары брутто и нетто, а сопоставления в обзоре велись по нетто [33, 34]. Московский приказ № 1068 выражен в брутто [80], но его действие после принятия приказа № 228 не установлено, и в этот подсчёт он не включён. Прямое сопоставление «говядина 110 г в Новосибирской области против 90 г по № 520н» ошибочно: первая цифра обозначает массу закладки до очистки и обвалки, вторая — массу после. Ленинградская норма содержит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Продукт</w:t>
            </w:r>
          </w:p>
        </w:tc>
        <w:tc>
          <w:tcPr/>
          <w:p>
            <w:pPr>
              <w:pStyle w:val="Compact"/>
            </w:pPr>
            <w:r>
              <w:t xml:space="preserve">Коэффициент нетто/брутто по ЛО [46]</w:t>
            </w:r>
          </w:p>
        </w:tc>
        <w:tc>
          <w:tcPr/>
          <w:p>
            <w:pPr>
              <w:pStyle w:val="Compact"/>
            </w:pPr>
            <w:r>
              <w:t xml:space="preserve">НСО, брутто [47]</w:t>
            </w:r>
          </w:p>
        </w:tc>
        <w:tc>
          <w:tcPr/>
          <w:p>
            <w:pPr>
              <w:pStyle w:val="Compact"/>
            </w:pPr>
            <w:r>
              <w:t xml:space="preserve">НСО, ≈ нетто</w:t>
            </w:r>
          </w:p>
        </w:tc>
        <w:tc>
          <w:tcPr/>
          <w:p>
            <w:pPr>
              <w:pStyle w:val="Compact"/>
            </w:pPr>
            <w:r>
              <w:t xml:space="preserve">Красноярский край, брутто [45]</w:t>
            </w:r>
          </w:p>
        </w:tc>
        <w:tc>
          <w:tcPr/>
          <w:p>
            <w:pPr>
              <w:pStyle w:val="Compact"/>
            </w:pPr>
            <w:r>
              <w:t xml:space="preserve">Красноярский край, ≈ нетто</w:t>
            </w:r>
          </w:p>
        </w:tc>
        <w:tc>
          <w:tcPr/>
          <w:p>
            <w:pPr>
              <w:pStyle w:val="Compact"/>
            </w:pPr>
            <w:r>
              <w:t xml:space="preserve">СПб, кроме ПНИ, нетто, ред. 2022 г. [33]</w:t>
            </w:r>
          </w:p>
        </w:tc>
        <w:tc>
          <w:tcPr/>
          <w:p>
            <w:pPr>
              <w:pStyle w:val="Compact"/>
            </w:pPr>
            <w:r>
              <w:t xml:space="preserve">СПб, кроме ПНИ и ДСО, нетто, с 2026 г. [34]</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c>
          <w:tcPr/>
          <w:p>
            <w:pPr>
              <w:pStyle w:val="Compact"/>
            </w:pPr>
            <w:r>
              <w:t xml:space="preserve">121</w:t>
            </w:r>
          </w:p>
        </w:tc>
      </w:tr>
    </w:tbl>
    <w:p>
      <w:pPr>
        <w:pStyle w:val="BodyText"/>
      </w:pPr>
      <w:r>
        <w:t xml:space="preserve">¹ В редакции 2022 г. — все группы овощей одной строкой (п. 3.2.2).</w:t>
      </w:r>
    </w:p>
    <w:p>
      <w:pPr>
        <w:pStyle w:val="BodyText"/>
      </w:pPr>
      <w:r>
        <w:t xml:space="preserve">Пересчёт представляет собой иллюстративную арифметику автора: коэффициенты ленинградского приказа зависят от вида сырья и способа обработки, и другой нормотворец мог закладывать иные. С этой оговоркой таблица позволяет сделать три наблюдения. Во-первых, красноярская норма после пересчёта почти совпадает с петербургской редакции 2022 г. по рыбе (41,8 г), птице (40 г), картофелю (≈167 и 168 г), творогу и кисломолочным продуктам, но существенно уступает ей по мясу (≈56 против 90 г); действующая петербургская норма для домов-интернатов общего типа совпадает с № 520н. Во-вторых, новосибирская норма после пересчёта близка к № 520н по рыбе, картофелю и молочным продуктам, ниже по мясу (≈78 против 90 г) и выше по птице. В-третьих, «запас в белковых позициях», облегчающий пары «мясо — птица — рыба» (п. 3.2.2), в разных регионах распределён по-разному: в Красноярском крае он приходится на рыбу и птицу, в Санкт-Петербурге с 2026 г. — только на норму ПНИ и ДСО (птица, рыба, творог), в Новосибирской области — на птицу. Учреждению, переносящему чужой опыт выбора, отсюда следует простое правило: проверять пары по своей региональной норме и в тех же единицах (брутто или нетто), в которых она выражена.</w:t>
      </w:r>
    </w:p>
    <w:bookmarkEnd w:id="72"/>
    <w:bookmarkStart w:id="73" w:name="X8eb27cf166f18a127646fce9d4ebaa9d6eac609"/>
    <w:p>
      <w:pPr>
        <w:pStyle w:val="Heading2"/>
      </w:pPr>
      <w:r>
        <w:rPr>
          <w:rStyle w:val="SectionNumber"/>
        </w:rPr>
        <w:t xml:space="preserve">3.13</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оказались занижены против рекомендуемых норм [1, 89]. Это учреждение здравоохранения, и его показатели на стоимость питания в социальном обслуживании прямо не переносятся. Ценен методический вывод аудита: наличие норм не гарантирует их исполнения, и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3"/>
    <w:bookmarkStart w:id="74" w:name="сравнение"/>
    <w:p>
      <w:pPr>
        <w:pStyle w:val="Heading2"/>
      </w:pPr>
      <w:r>
        <w:rPr>
          <w:rStyle w:val="SectionNumber"/>
        </w:rPr>
        <w:t xml:space="preserve">3.14</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(прил. в ред. № 507 от 18.07.2025, с 01.01.2026)</w:t>
            </w:r>
          </w:p>
        </w:tc>
        <w:tc>
          <w:tcPr/>
          <w:p>
            <w:pPr>
              <w:pStyle w:val="Compact"/>
            </w:pPr>
            <w:r>
              <w:t xml:space="preserve">Брутто и нетто</w:t>
            </w:r>
          </w:p>
        </w:tc>
        <w:tc>
          <w:tcPr/>
          <w:p>
            <w:pPr>
              <w:pStyle w:val="Compact"/>
            </w:pPr>
            <w:r>
              <w:t xml:space="preserve">По типу учреждения (кроме ПНИ и ДСО; ПНИ и ДСО) и состоянию здоровья; нормы с СБКС и без</w:t>
            </w:r>
          </w:p>
        </w:tc>
        <w:tc>
          <w:tcPr/>
          <w:p>
            <w:pPr>
              <w:pStyle w:val="Compact"/>
            </w:pPr>
            <w:r>
              <w:t xml:space="preserve">Нет (с 2026 г. СБКС и ВМК — по медицинским показаниям; в ред. 2022 г. — да)</w:t>
            </w:r>
          </w:p>
        </w:tc>
        <w:tc>
          <w:tcPr/>
          <w:p>
            <w:pPr>
              <w:pStyle w:val="Compact"/>
            </w:pPr>
            <w:r>
              <w:t xml:space="preserve">Для взрослых не предусмотрена; для детей — по прил. 11 СанПиН 2.3/2.4.3590-20</w:t>
            </w:r>
          </w:p>
        </w:tc>
        <w:tc>
          <w:tcPr/>
          <w:p>
            <w:pPr>
              <w:pStyle w:val="Compact"/>
            </w:pPr>
            <w:r>
              <w:t xml:space="preserve">Проверено по тексту [34]; ред. 2022 г. —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[70]</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[48]</w:t>
            </w:r>
          </w:p>
        </w:tc>
        <w:tc>
          <w:tcPr/>
          <w:p>
            <w:pPr>
              <w:pStyle w:val="Compact"/>
            </w:pPr>
            <w:r>
              <w:t xml:space="preserve">Нормы в ред. № 617 проверены по тексту [71];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 вид и дата акта подтверждены справочной отметкой [85]</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[47]</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[45]; официальные тексты изменений 2024–2025 гг. прочитаны: граммы взрослых норм не менялись [86]</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 № 04-81 от 04.08.2025 прочитан — приложение 3 не затронуто; изменения 2022–2023 гг. не прочитаны [46, 87]</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[72, 88]</w:t>
            </w:r>
          </w:p>
        </w:tc>
      </w:tr>
    </w:tbl>
    <w:bookmarkEnd w:id="74"/>
    <w:bookmarkStart w:id="75" w:name="что-региональные-нормы-дают-выбору"/>
    <w:p>
      <w:pPr>
        <w:pStyle w:val="Heading2"/>
      </w:pPr>
      <w:r>
        <w:rPr>
          <w:rStyle w:val="SectionNumber"/>
        </w:rPr>
        <w:t xml:space="preserve">3.15</w:t>
      </w:r>
      <w:r>
        <w:tab/>
      </w:r>
      <w:r>
        <w:t xml:space="preserve">Что региональные нормы дают выбору</w:t>
      </w:r>
    </w:p>
    <w:p>
      <w:pPr>
        <w:pStyle w:val="FirstParagraph"/>
      </w:pPr>
      <w:r>
        <w:t xml:space="preserve">Региональная норма отвечает на вопрос «сколько», а не «что и как». Она задаёт суточное количество продуктов по группам и почти никогда — набор блюд, число вариантов, время и место подачи. Остаётся широкое поле организационной свободы, которое на практике заполняет привычка: одно меню на всех, потому что так проще рассчитывать раскладку (толкование).</w:t>
      </w:r>
    </w:p>
    <w:p>
      <w:pPr>
        <w:pStyle w:val="BodyText"/>
      </w:pPr>
      <w:r>
        <w:t xml:space="preserve">Учреждению, вводящему выбор, региональная норма ставит четыре практических условия. Первое: суммарная закладка за отчётный период (неделя, декада, месяц) должна соответствовать норме по каждой группе. Второе: варианты внутри группы продуктов норму не затрагивают, тогда как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разрешающей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[70].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необходим собственный порядок учёта замен.</w:t>
      </w:r>
    </w:p>
    <w:p>
      <w:pPr>
        <w:pStyle w:val="BodyText"/>
      </w:pPr>
      <w:r>
        <w:t xml:space="preserve">Четвёртое условие вытекает из п. 3.12: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сопоставимую по величине с самим эффектом замены (иллюстративная оценка по коэффициентам ленинградского приказа: для мяса 0,705, для рыбы 0,550 [46]).</w:t>
      </w:r>
    </w:p>
    <w:bookmarkEnd w:id="75"/>
    <w:bookmarkStart w:id="76" w:name="выводы-по-главе-3"/>
    <w:p>
      <w:pPr>
        <w:pStyle w:val="Heading2"/>
      </w:pPr>
      <w:r>
        <w:rPr>
          <w:rStyle w:val="SectionNumber"/>
        </w:rPr>
        <w:t xml:space="preserve">3.16</w:t>
      </w:r>
      <w:r>
        <w:tab/>
      </w:r>
      <w:r>
        <w:t xml:space="preserve">Выводы по главе 3</w:t>
      </w:r>
    </w:p>
    <w:p>
      <w:pPr>
        <w:pStyle w:val="FirstParagraph"/>
      </w:pPr>
      <w:r>
        <w:t xml:space="preserve">Региональные нормы питания определяют количество продуктов по группам, но не устанавливают ни права на выбор, ни числа вариантов; вариативное меню повсюду остаётся инициативой учреждения. Пространство выбора создаётся не дифференциацией наборов по диагнозам, которая служит персонализации, а формулировкой позиций группами продуктов. Петербургская норма с 01.01.2026 для домов-интернатов общего типа приведена к федеральной рекомендации и утратила прежний запас в белковых позициях, сохранившийся лишь в норме ПНИ и ДСО; тарифы рассчитаны на норму и составляющей на организацию выбора не содержат. Единственной обнаруженной региональной опорой контроля по среднему за неделю для взрослых служит п. 2.1 московского приказа № 228, причём лишь применительно к калорийности; соотношение этого приказа с приказом № 1068 официально не прояснено. Нормы разных субъектов выражены в разных единицах и без пересчёта брутто и нетто несопоставимы. Таким образом, нормативная рамка допускает выбор, но не поддерживает его; как учреждения пользуются этим допущением, показывает глава 4.</w:t>
      </w:r>
    </w:p>
    <w:bookmarkEnd w:id="76"/>
    <w:bookmarkEnd w:id="77"/>
    <w:bookmarkStart w:id="90"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78"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главе собраны публичные сообщения о вариативном питании в российских стационарных организациях социального обслуживания, обнаруженные к 05.10.2026, а также закупочные извещения учреждений Самарской области, найденные 08.10.2026 (п. 4.10). Каждое сообщение прочитано в двух планах: что источник утверждает и о чём умалчивает. Новость учреждения или органа власти удостоверяет лишь то, что так было сказано на дату публикации, и проверкой не является. Ни к одному из рассматриваемых кейсов не приложены данные о весе, потреблении, отходах или затратах; поэтому кейсы демонстрируют организационные решения, но не доказывают эффекта.</w:t>
      </w:r>
    </w:p>
    <w:p>
      <w:pPr>
        <w:pStyle w:val="BodyText"/>
      </w:pPr>
      <w:r>
        <w:t xml:space="preserve">В отличие от первой редакции, где был описан единственный российский кейс (Болотнинский ПНИ) [1], здесь рассмотрены восемь учреждений и одно региональное сообщение, к которым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и уточняет как первую редакцию, так и рабочую базу знаний проекта [23].</w:t>
      </w:r>
    </w:p>
    <w:p>
      <w:pPr>
        <w:pStyle w:val="BodyText"/>
      </w:pPr>
      <w:r>
        <w:t xml:space="preserve">Место каждого кейса на шкале раздачи (М0–М5, п. 1.4) определено автором по тексту сообщений и представляет собой толкование.</w:t>
      </w:r>
    </w:p>
    <w:bookmarkEnd w:id="78"/>
    <w:bookmarkStart w:id="79"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включаются несколько вариантов блюд — на завтрак чай, какао или кофейный напиток, молочная каша либо суп, в обед «разнообразие салатов и вторых блюд, а также десерт, фрукты и творог»; перечень блюд определяет медицинская сестра диетическая, а вечернее меню учреждение планирует расширить [5]. Повторная публикация от 03.09.2026 описывает обед с выбором между курицей (жареной или отварной) с гречкой и салатами; суп указан один [6].</w:t>
      </w:r>
    </w:p>
    <w:p>
      <w:pPr>
        <w:pStyle w:val="BodyText"/>
      </w:pPr>
      <w:r>
        <w:rPr>
          <w:b/>
          <w:bCs/>
        </w:rPr>
        <w:t xml:space="preserve">Чего источник не сообщает.</w:t>
      </w:r>
      <w:r>
        <w:t xml:space="preserve"> </w:t>
      </w:r>
      <w:r>
        <w:t xml:space="preserve">Не названы доля жителей, участвующих в выборе, способ выбора для неговорящих жителей, изменения в закупках и штате, данные о потреблении. Первая редакция обзора утверждала, что выбор в Болотнинском ПНИ делается накануне и «без изменения норм питания» [1]; в тексте сообщения 2024 г. нет ни того, ни другого, и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диетической сестрой, соответствует модели М1 (несколько дней в неделю). Публикация 2026 г. свидетельствует, что спустя два года практика сохраняется.</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фигурирует как первый документированный российский кейс [1, 23]. Точнее было бы назвать его первым кейсом, вошедшим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его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79"/>
    <w:bookmarkStart w:id="80"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сообщает, что в марте 2024 г. «все отделения перешли на вариативное меню»: жители выбирают из двух видов вторых блюд, салатов и напитков, «составляя свой обед или ужин», — например, из двух рыбных или двух мясных блюд, салатов из свежих или отварных овощей (винегрет, салат из свёклы). Внедрению предшествовали опрос и анкетирование жителей, по результатам которых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однако опасения не оправдались. Одновременно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а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однако его текст от 20.06.2025 с пометкой «Источник: Правительство Новосибирской области» перепечатан региональной лентой новостей [12]. Согласно 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к основным особенностям отнесены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предупреждающая падения, температура горячей пищи, исключающая ожоги, и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обнаруженное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 салат из 5–6 ингредиентов, из которых житель берёт 2–3 в собственных пропорциях; оба источника сообщают, что жители «стали более аккуратными и самостоятельными» [10, 11].</w:t>
      </w:r>
    </w:p>
    <w:p>
      <w:pPr>
        <w:pStyle w:val="BodyText"/>
      </w:pPr>
      <w:r>
        <w:rPr>
          <w:b/>
          <w:bCs/>
        </w:rPr>
        <w:t xml:space="preserve">Чего источники не сообщают.</w:t>
      </w:r>
      <w:r>
        <w:t xml:space="preserve"> </w:t>
      </w:r>
      <w:r>
        <w:t xml:space="preserve">Отсутствуют сведения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Не сказано, как измерялось сокращение времени приёма пищи (что считалось началом и концом, для скольких смен), и это остаётся утверждением учреждения. Стоимость названа лишь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данными измерений не подкреплено.</w:t>
      </w:r>
    </w:p>
    <w:p>
      <w:pPr>
        <w:pStyle w:val="BodyText"/>
      </w:pPr>
      <w:r>
        <w:rPr>
          <w:b/>
          <w:bCs/>
        </w:rPr>
        <w:t xml:space="preserve">Модель и противоречие слоёв.</w:t>
      </w:r>
      <w:r>
        <w:t xml:space="preserve"> </w:t>
      </w:r>
      <w:r>
        <w:t xml:space="preserve">В 2024 г. практика соответствовала М2 (два варианта нескольких блюд на линии раздачи во всех отделениях), в 2025 г. в части отделений — формату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не противоречат друг другу, если дата названа.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одновременно названы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в качестве норматива нельзя, но порядок величин для сценария 14 гл. 7 они задают: самообслуживание способно сокращать раздачу, а не удлинять её, если жители в состоянии подойти к линии. Для тех, кто к линии не подходит, вопрос остаётся открытым (п. 7.16).</w:t>
      </w:r>
    </w:p>
    <w:bookmarkEnd w:id="80"/>
    <w:bookmarkStart w:id="81"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dyText"/>
      </w:pPr>
      <w:r>
        <w:rPr>
          <w:b/>
          <w:bCs/>
        </w:rPr>
        <w:t xml:space="preserve">Чего источник не сообщает.</w:t>
      </w:r>
      <w:r>
        <w:t xml:space="preserve"> </w:t>
      </w:r>
      <w:r>
        <w:t xml:space="preserve">Не указано, 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соответствует М1 (толкование), а улучшение аппетита — слова одного жителя, а не результат измерения. Каменский интернат стал третьим учреждением Новосибирской области, сообщившим о вариативном питании летом 2024 г. (вместе с Болотнинским и Успенским). Близость дат публикаций (13, 16 и 19 августа 2024 г.) позволяет предположить общий региональный импульс, однако документа регионального органа, который подтверждал бы это, найти не удалось [5, 7, 9]. Сообщение министерства 2025 г. о шведском столе в Успенском ПНИ [12] относится к следующему этапу и о 2024 г. не говорит.</w:t>
      </w:r>
    </w:p>
    <w:bookmarkEnd w:id="81"/>
    <w:bookmarkStart w:id="82"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которые в совокупности прослеживают развитие практики [13]. В сообщении от 27.09.2024 говорится, что с сентября начато «постепенное введение вариативного меню» — на начальном этапе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 Сообщение от 17.12.2024 приводит пример обеда с выбором гарнира (рис или гречка) и второго блюда (гуляш мясной или печень по-строгановски) и называет экспертную комиссию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 Из сообщения от 13.02.2025 следует, что пищеблок ежедневно готовит на 220 человек «по восьми видам меню с правом выбора в обед», меню цикличное 14-дневное, питание шестиразовое. Наконец, 09.02.2026 сообщалось о заседании совета по питанию, на котором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а меню для граждан 60+ решено скорректировать.</w:t>
      </w:r>
    </w:p>
    <w:p>
      <w:pPr>
        <w:pStyle w:val="BodyText"/>
      </w:pPr>
      <w:r>
        <w:rPr>
          <w:b/>
          <w:bCs/>
        </w:rPr>
        <w:t xml:space="preserve">Чего источники не сообщают.</w:t>
      </w:r>
      <w:r>
        <w:t xml:space="preserve"> </w:t>
      </w:r>
      <w:r>
        <w:t xml:space="preserve">Не указано, как выбирают жители, не посещающие столовую, есть ли выбор вне обеда; затраты и данные о потреблении не приводятся.</w:t>
      </w:r>
    </w:p>
    <w:p>
      <w:pPr>
        <w:pStyle w:val="BodyText"/>
      </w:pPr>
      <w:r>
        <w:rPr>
          <w:b/>
          <w:bCs/>
        </w:rPr>
        <w:t xml:space="preserve">Значение кейса.</w:t>
      </w:r>
      <w:r>
        <w:t xml:space="preserve"> </w:t>
      </w:r>
      <w:r>
        <w:t xml:space="preserve">Только здесь из обнаруженных российских практик публично описаны все четыре стадии: исследование предпочтений до запуска, поэтапный старт с наиболее мобильной группы, коллегиальный орган, пересматривающий меню, и внешняя экспертиза спустя полтора года. Сочетание «цикличного 14-дневного меню» и «права выбора в обед» наглядно показывает, что цикличность и вариативность — разные свойства одного меню (п. 1.2). Совет нутрициолога о текстуре хлеба служит примером клинического вопроса, который возникает при расширении выбора и решается не пищеблоком, а специалистом (рекомендация учреждения, не норма).</w:t>
      </w:r>
    </w:p>
    <w:p>
      <w:pPr>
        <w:pStyle w:val="BodyText"/>
      </w:pPr>
      <w:r>
        <w:t xml:space="preserve">Учреждение является бывшим домом-интернатом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82"/>
    <w:bookmarkStart w:id="83"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гласит, что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и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обнаружено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устами должностного лица факт и год запуска (2025), но не формат «два первых, два вторых и гарниры», который держится лишь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и о числе блюд на выбор в нём ничего не сказано. Повторный поиск оригинала сообщения министерства от 14.02.2025 в октябре 2026 г. (поисковые системы; веб-архив, недоступный из среды подготовки доклада; агрегатор, закрытый защитой от автоматического доступа) результата не дал, в том числе при последней попытке 06.10.2026; формат «два первых, два вторых и гарниры» по-прежнему держится только на пересказе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упоминают.</w:t>
      </w:r>
    </w:p>
    <w:p>
      <w:pPr>
        <w:pStyle w:val="BodyText"/>
      </w:pPr>
      <w:r>
        <w:rPr>
          <w:b/>
          <w:bCs/>
        </w:rPr>
        <w:t xml:space="preserve">Чего источники не сообщают.</w:t>
      </w:r>
      <w:r>
        <w:t xml:space="preserve"> </w:t>
      </w:r>
      <w:r>
        <w:t xml:space="preserve">Неизвестно, 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лишь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Регионального правового акта Иркутской области, который предписывал бы вариативное питание, в открытом доступе не обнаружено;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3"/>
    <w:bookmarkStart w:id="84"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Согласно сообщению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Её организатором выступил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dyText"/>
      </w:pPr>
      <w:r>
        <w:rPr>
          <w:b/>
          <w:bCs/>
        </w:rPr>
        <w:t xml:space="preserve">Чего источник не сообщает.</w:t>
      </w:r>
      <w:r>
        <w:t xml:space="preserve"> </w:t>
      </w:r>
      <w:r>
        <w:t xml:space="preserve">Не описаны модель выбора, охват и затраты.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Межрегиональная площадка свидетельствует, что к 2026 г. практика вышла за пределы отдельных учреждений и стала предметом методической работы региональных ведомств. Упоминание инфоматов для сбора предпочтений — первое в обнаруженных российских источниках указание на технический канал выбора помимо устного [17].</w:t>
      </w:r>
    </w:p>
    <w:bookmarkEnd w:id="84"/>
    <w:bookmarkStart w:id="85"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является директором этого учреждения; конфликт интересов раскрыт. Ниже приводятся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Комитет по социальной политике Санкт-Петербурга 22.07.2025 сообщил о заседании рабочей группы по реформированию психоневрологических интернатов Санкт-Петербурга, на котором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признан «крайне затруднительным с точки зрения соблюдения всех норм питания по сбалансированности и учёта особенностей здоровья проживающих», поскольку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жителей [28]. Это не положение о питании и не акт Комитета по социальной политике: документ оформлен на бланке, где над наименованием учреждения указан учредитель, но подписан директором учреждения и утверждает правила для его жителей. Питанию посвящено несколько пунктов. Жители обеспечиваются «питанием согласно утвержденным нормативам» (п. 3.6). Время приёмов пищи: завтрак 8:00, второй завтрак 11:00, обед 13:00, полдник 16:00, ужин 18:00, второй ужин 20:00 (п. 3.9). Диетическое, в том числе индивидуальное, питание назначает врач (там же). «Прием пищи осуществляется в помещении столовой, а также в зале заказного питания (вариативное меню)»; маломобильные жители едят в жилых комнатах, при необходимости с помощью в кормлении (там же). Жители могут готовить пищу самостоятельно в бытовой комнате (п. 3.13) [28]. Вариативное меню упомянуто в правилах одной фразой — как место приёма пищи; порядок заказа, круг жителей и число вариантов правила не определяют. Сайт учреждения работает по новому адресу sdso-spb.ru, где приказ опубликован в разделе «Документы учреждения» (в первой и второй редакциях доклада правила цитировались по веб-архиву прежнего сайта). По данным архивной копии сайта (февраль 2026 г.), учреждение обслуживало 1 004 человека [23].</w:t>
      </w:r>
    </w:p>
    <w:p>
      <w:pPr>
        <w:pStyle w:val="BodyText"/>
      </w:pPr>
      <w:r>
        <w:rPr>
          <w:b/>
          <w:bCs/>
        </w:rPr>
        <w:t xml:space="preserve">Что в открытом доступе есть и чего нет.</w:t>
      </w:r>
      <w:r>
        <w:t xml:space="preserve"> </w:t>
      </w:r>
      <w:r>
        <w:t xml:space="preserve">В разделе «Документы учреждения» на сайте нет отдельного положения об организации питания, журнала заказа блюд и журнала замен (проверено 05.10.2026) [28]. Там же опубликована «Информация об организации социального питания» учреждения (тогда ПНИ № 9) за 2022 г. [90]. Учреждение руководствуется в ней постановлением Правительства Санкт-Петербурга № 873 о социальном питании, распоряжением Комитета по социальной политике от 18.09.2020 № 2054-р о выборе формы социального питания, постановлением № 1284, СанПиН 2.3/2.4.3590-20 и федеральными методическими рекомендациями 2002–2003 гг. Питание в 2022 г. организовано «в соответствии с утвержденным цикличным меню» — приложением № 2 к техническому заданию договора (шесть приёмов пищи; цикличное семидневное меню) [90]. Вариативного меню в документе 2022 г. ещё нет.</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[91] (конфликт интересов раскрыт выше). Учреждение закупает услугу по 223-ФЗ («оказание услуг по организации питания», ОКПД2 56.29.19.000). По данным закупочных реестров [92, 93], цепочка 2026 г. выглядит так:</w:t>
      </w:r>
    </w:p>
    <w:p>
      <w:pPr>
        <w:pStyle w:val="Compact"/>
        <w:numPr>
          <w:ilvl w:val="0"/>
          <w:numId w:val="1003"/>
        </w:numPr>
      </w:pPr>
      <w:r>
        <w:t xml:space="preserve">договор на 2026 г. № 32515363453-01 от 02.12.2025 с ООО «АгроФуд» на 219 945 788 руб.;</w:t>
      </w:r>
    </w:p>
    <w:p>
      <w:pPr>
        <w:pStyle w:val="Compact"/>
        <w:numPr>
          <w:ilvl w:val="0"/>
          <w:numId w:val="1003"/>
        </w:numPr>
      </w:pPr>
      <w:r>
        <w:t xml:space="preserve">в июне — июле 2026 г. — серия закупок у единственного поставщика по 591 326 руб. (в том числе извещение № 32616171821 от 02.07.2026) и закупка «…в июле 2026 года» с начальной ценой 18 663 001,30 руб. (извещение № 32616169674);</w:t>
      </w:r>
    </w:p>
    <w:p>
      <w:pPr>
        <w:pStyle w:val="Compact"/>
        <w:numPr>
          <w:ilvl w:val="0"/>
          <w:numId w:val="1003"/>
        </w:numPr>
      </w:pPr>
      <w:r>
        <w:t xml:space="preserve">конкурс на август — декабрь 2026 г. с начальной ценой 92 110 941,90 руб. (извещение № 32616197209);</w:t>
      </w:r>
    </w:p>
    <w:p>
      <w:pPr>
        <w:pStyle w:val="Compact"/>
        <w:numPr>
          <w:ilvl w:val="0"/>
          <w:numId w:val="1003"/>
        </w:numPr>
      </w:pPr>
      <w:r>
        <w:t xml:space="preserve">по его итогам — договор № 32616197209-01 от 17.08.2026 с ООО «Мастерская Гурмана».</w:t>
      </w:r>
    </w:p>
    <w:p>
      <w:pPr>
        <w:pStyle w:val="FirstParagraph"/>
      </w:pPr>
      <w:r>
        <w:t xml:space="preserve">Исполнитель услуги питания, таким образом, сменился в середине года; причины смены доклад не обсуждает. Карточки извещений и начальные цены сверены по агрегаторам закупок; номера, даты и исполнители договоров взяты из реестра договоров Единой информационной системы, которая из среды подготовки доклада недоступна, а агрегаторы этих договоров не показывают, поэтому в докладе они</w:t>
      </w:r>
      <w:r>
        <w:t xml:space="preserve"> </w:t>
      </w:r>
      <w:r>
        <w:rPr>
          <w:b/>
          <w:bCs/>
        </w:rPr>
        <w:t xml:space="preserve">не сверены независимо</w:t>
      </w:r>
      <w:r>
        <w:t xml:space="preserve"> </w:t>
      </w:r>
      <w:r>
        <w:t xml:space="preserve">[93].</w:t>
      </w:r>
    </w:p>
    <w:p>
      <w:pPr>
        <w:pStyle w:val="BodyText"/>
      </w:pPr>
      <w:r>
        <w:rPr>
          <w:b/>
          <w:bCs/>
        </w:rPr>
        <w:t xml:space="preserve">Как выглядит меню в техническом задании.</w:t>
      </w:r>
      <w:r>
        <w:t xml:space="preserve"> </w:t>
      </w:r>
      <w:r>
        <w:t xml:space="preserve">К извещению № 32616171821 приложены четыре части цикличного меню: «ЦМ ОВД», «ЦМ ИП», «ЦМ ОВД2» и «ЦМ лето» [92]. Их содержание прочитано по копиям тех же файлов, предоставленным учреждением автора. Каждая часть представляет собой четырнадцатидневный цикл на шесть приёмов пищи (завтрак, второй завтрак, обед, полдник, ужин, второй ужин); в каждой строке указаны блюдо, масса порции, белки, жиры, углеводы, энергетическая ценность, номер рецептуры и сборник рецептур. Рационы разделены по вариантам диеты: основной вариант стандартной диеты (ОВД; в среднем за цикл 3 470,2 ккал в сутки); варианты для жителей с целиакией (ИП) и с множественной пищевой непереносимостью (ИП2); вариант для жителей с сахарным диабетом (ОВД2; 2 868,5 ккал); летние ОВД и ОВД2.</w:t>
      </w:r>
    </w:p>
    <w:p>
      <w:pPr>
        <w:pStyle w:val="BodyText"/>
      </w:pPr>
      <w:r>
        <w:t xml:space="preserve">В каждом приёме пищи на позицию приходится одно блюдо, альтернатив «на выбор» в таблицах нет. Это</w:t>
      </w:r>
      <w:r>
        <w:t xml:space="preserve"> </w:t>
      </w:r>
      <w:r>
        <w:rPr>
          <w:b/>
          <w:bCs/>
        </w:rPr>
        <w:t xml:space="preserve">цикличное, а не вариативное</w:t>
      </w:r>
      <w:r>
        <w:t xml:space="preserve"> </w:t>
      </w:r>
      <w:r>
        <w:t xml:space="preserve">меню в смысле словаря доклада (п. 1.2): варианты здесь — диеты, которые назначает врач, а не блюда, которые выбирает житель. Каких-либо назначений диет доклад не делает и по этим таблицам не оценивает.</w:t>
      </w:r>
    </w:p>
    <w:p>
      <w:pPr>
        <w:pStyle w:val="BodyText"/>
      </w:pPr>
      <w:r>
        <w:t xml:space="preserve">Выбор в учреждении в 2025–2026 гг. существовал наряду с этим циклом: в правилах внутреннего распорядка — как «зал заказного питания» [28], в сообщении Комитета — как заказ накануне [21]. В опубликованной закупочной документации он не виден. Записан ли выбор в техническом задании договора на август — декабрь 2026 г., доклад не проверял: документация конкурса из среды подготовки доклада недоступна. Повторная попытка 07.10.2026 результата также не дала. Единая информационная система по-прежнему недоступна, а агрегаторы закупок показывают лишь перечень файлов без доступа к их содержанию: конкурсную документацию («КД СМСП</w:t>
      </w:r>
      <w:r>
        <w:t xml:space="preserve"> </w:t>
      </w:r>
      <w:r>
        <w:rPr>
          <w:i/>
          <w:iCs/>
        </w:rPr>
        <w:t xml:space="preserve">Услуги питания август-декабрь 26</w:t>
      </w:r>
      <w:r>
        <w:t xml:space="preserve">.docx»), отдельный архив «Приложение №2 к ТЗ», протоколы рассмотрения первых и вторых частей заявок и итоговый протокол [92]. Судя по названию приложения, техническое задание входит в состав конкурсной документации; само оно не прочитано. По карточке извещения предмет конкурса разбит на три позиции, измеряемые в человеко-днях (109 395, 2 448 и 33 660) [93]; что стоит за этим делением, карточка не сообщает, и доклад его не истолковывает. Таким образом, на 07.10.2026 нельзя утверждать ни того, что техническое задание предусматривает выбор блюд, ни того, что оно его не предусматривает; условия договора № 32616197209-01 по-прежнему</w:t>
      </w:r>
      <w:r>
        <w:t xml:space="preserve"> </w:t>
      </w:r>
      <w:r>
        <w:rPr>
          <w:b/>
          <w:bCs/>
        </w:rPr>
        <w:t xml:space="preserve">не сверены</w:t>
      </w:r>
      <w:r>
        <w:t xml:space="preserve">. Доли жителей и меню-пары здесь не приводятся.</w:t>
      </w:r>
    </w:p>
    <w:p>
      <w:pPr>
        <w:pStyle w:val="BodyText"/>
      </w:pPr>
      <w:r>
        <w:t xml:space="preserve">Тем самым ДСО «Серафимовский» оказывается единственным обнаруженным российским кейсом, в котором вариативное меню при аутсорсинге питания описано как действующая практика (заказ накануне, М1). Единственным кейсом аутсорсинга с выбором он больше не является: в Самарской области вариативное меню с 2025 г. стоит в самом наименовании объекта закупки услуги питания у стороннего исполнителя (п. 4.10), однако там, наоборот, неизвестно, как устроен выбор [94]. Оговорка о «Серафимовском» двойная: это учреждение самого автора, и кейс подтверждён словами автора, правилами внутреннего распорядка и вторичными карточками закупок, а не опубликованными условиями договора. Смена исполнителя в середине 2026 г. обнаруживает практический риск такой модели: если выбор держится на договорённости с конкретным исполнителем, а не на тексте технического задания, при смене исполнителя его приходится согласовывать заново. Поэтому в сценарии 8 гл. 7 рекомендовано записывать выбор в техническое задание договора (толкование).</w:t>
      </w:r>
    </w:p>
    <w:p>
      <w:pPr>
        <w:pStyle w:val="BodyText"/>
      </w:pPr>
      <w:r>
        <w:rPr>
          <w:b/>
          <w:bCs/>
        </w:rPr>
        <w:t xml:space="preserve">Чего источники не сообщают.</w:t>
      </w:r>
      <w:r>
        <w:t xml:space="preserve"> </w:t>
      </w:r>
      <w:r>
        <w:t xml:space="preserve">Не приводятся доля жителей, пользующихся заказом, число добавленных ставок и стоимость оборудования, данные о потреблении и отходах, тексты технического задания и договора с организатором питания, в том числе условия о вариантах блюд.</w:t>
      </w:r>
    </w:p>
    <w:p>
      <w:pPr>
        <w:pStyle w:val="BodyText"/>
      </w:pPr>
      <w:r>
        <w:t xml:space="preserve">Независимое упоминание петербургской практики содержится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достоянием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соответствует модели М1: выбор существует, но совершается не в момент еды (п. 1.4). Приказ № 124 представляет собой</w:t>
      </w:r>
      <w:r>
        <w:t xml:space="preserve"> </w:t>
      </w:r>
      <w:r>
        <w:rPr>
          <w:b/>
          <w:bCs/>
        </w:rPr>
        <w:t xml:space="preserve">локальную форму</w:t>
      </w:r>
      <w:r>
        <w:t xml:space="preserve"> </w:t>
      </w:r>
      <w:r>
        <w:t xml:space="preserve">— правила внутреннего распорядка учреждения, где вариативное меню упомянуто одной фразой как место приёма пищи. Он показывает, что учреждение может упомянуть заказное питание в правилах, но порядка выбора не устанавливает и нормой ни для других учреждений, ни для проверяющего не служит.</w:t>
      </w:r>
    </w:p>
    <w:p>
      <w:pPr>
        <w:pStyle w:val="BodyText"/>
      </w:pPr>
      <w:r>
        <w:t xml:space="preserve">Сообщение Комитета содержит две оценки, которые нередко цитируют порознь: жители приняли выбор с энтузиазмом, а полный переход затруднителен. Вторая оценка — суждение руководителя учреждения, а не результат измерения; данных о влиянии выбора на состав фактического потребления сообщение не приводит. Научные данные по этому вопросу противоречивы (п. 5.3): в исследовании Wheeler и соавт. переход к выбору в момент еды сопровождался несколько бо́льшим потреблением белковых продуктов и овощей и меньшим — углеводных в расчёте на приём пищи [95].</w:t>
      </w:r>
    </w:p>
    <w:bookmarkEnd w:id="85"/>
    <w:bookmarkStart w:id="86"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сообщает, что утверждены «зимнее» и «летнее» 14-дневное меню с пяти- и шестиразовым лечебным и профилактическим питанием, разработанные с учётом норм питания в ПНИ, утверждённых распоряжением министерства социального развития Московской области от 13.04.2017 № 19РВ-32. В учреждении работает совет по питанию со ссылкой на приказ Минздрава России № 330, который «по желанию получателей социальных услуг и по согласованию с лечащим врачом»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dyText"/>
      </w:pPr>
      <w:r>
        <w:rPr>
          <w:b/>
          <w:bCs/>
        </w:rPr>
        <w:t xml:space="preserve">Чего источник не сообщает.</w:t>
      </w:r>
      <w:r>
        <w:t xml:space="preserve"> </w:t>
      </w:r>
      <w:r>
        <w:t xml:space="preserve">Неясно, существует ли ежедневный выбор между блюдами при каждом приёме пищи 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относится к персонализации меню, а не к выбору в момент еды (п. 1.2). Самообслуживание на линии само по себе выбора между вариантами не означает: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 Вторая редакция это уточняет.</w:t>
      </w:r>
    </w:p>
    <w:bookmarkEnd w:id="86"/>
    <w:bookmarkStart w:id="87" w:name="X14dcbfdac572c2481c823d6fb4b25ec02807b59"/>
    <w:p>
      <w:pPr>
        <w:pStyle w:val="Heading2"/>
      </w:pPr>
      <w:r>
        <w:rPr>
          <w:rStyle w:val="SectionNumber"/>
        </w:rPr>
        <w:t xml:space="preserve">4.10</w:t>
      </w:r>
      <w:r>
        <w:tab/>
      </w:r>
      <w:r>
        <w:t xml:space="preserve">Самарская область: закупка приготовления питания «по вариативному меню»</w:t>
      </w:r>
    </w:p>
    <w:p>
      <w:pPr>
        <w:pStyle w:val="FirstParagraph"/>
      </w:pPr>
      <w:r>
        <w:rPr>
          <w:b/>
          <w:bCs/>
        </w:rPr>
        <w:t xml:space="preserve">Что сообщают источники.</w:t>
      </w:r>
      <w:r>
        <w:t xml:space="preserve"> </w:t>
      </w:r>
      <w:r>
        <w:t xml:space="preserve">Карточки извещений, воспроизводящие на агрегаторах закупок сведения Единой информационной системы, показывают, что с 2025 г. государственные бюджетные учреждения социального обслуживания Самарской области закупают по 44-ФЗ у стороннего исполнителя услугу, предмет которой назван в самом извещении: «оказание услуг по приготовлению питания по вариативному меню для граждан, находящихся на социальном обслуживании». Закупки проводятся открытыми конкурсами в электронной форме через уполномоченный орган области по организации торгов; цена определяется за койко-день, код ОКПД2 — 56.29.20.190 «Услуги прочих столовых» [94]. На 08.10.2026 найдено восемь таких извещений шести учреждений:</w:t>
      </w:r>
    </w:p>
    <w:p>
      <w:pPr>
        <w:pStyle w:val="Compact"/>
        <w:numPr>
          <w:ilvl w:val="0"/>
          <w:numId w:val="1004"/>
        </w:numPr>
      </w:pPr>
      <w:r>
        <w:t xml:space="preserve">Тольяттинский дом-интернат для престарелых, инвалидов — извещение № 0142200001325020012 от 26.08.2025, начальная цена 18 438 795,48 руб. (502,31 руб. за койко-день);</w:t>
      </w:r>
    </w:p>
    <w:p>
      <w:pPr>
        <w:pStyle w:val="Compact"/>
        <w:numPr>
          <w:ilvl w:val="0"/>
          <w:numId w:val="1004"/>
        </w:numPr>
      </w:pPr>
      <w:r>
        <w:t xml:space="preserve">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(карточка с показом 28.08–14.09.2026; 17 269 464,28 руб.);</w:t>
      </w:r>
    </w:p>
    <w:p>
      <w:pPr>
        <w:pStyle w:val="Compact"/>
        <w:numPr>
          <w:ilvl w:val="0"/>
          <w:numId w:val="1004"/>
        </w:numPr>
      </w:pPr>
      <w:r>
        <w:t xml:space="preserve">Отрадненский дом-интернат для престарелых, инвалидов — на 2027 г. (№ 0142200001326016025 от 12.08.2026; 12 027 024,75 руб.; 13 975 койко-дней по 860,61 руб.);</w:t>
      </w:r>
    </w:p>
    <w:p>
      <w:pPr>
        <w:pStyle w:val="Compact"/>
        <w:numPr>
          <w:ilvl w:val="0"/>
          <w:numId w:val="1004"/>
        </w:numPr>
      </w:pPr>
      <w:r>
        <w:t xml:space="preserve">Чапаевский дом-интернат для престарелых, инвалидов — № 0142200001326016110 (12 597 084,15 руб.; 818,79 руб.);</w:t>
      </w:r>
    </w:p>
    <w:p>
      <w:pPr>
        <w:pStyle w:val="Compact"/>
        <w:numPr>
          <w:ilvl w:val="0"/>
          <w:numId w:val="1004"/>
        </w:numPr>
      </w:pPr>
      <w:r>
        <w:t xml:space="preserve">ДСО «Самарский» — № 0142200001326016190 (11 921 555,20 руб.);</w:t>
      </w:r>
    </w:p>
    <w:p>
      <w:pPr>
        <w:pStyle w:val="Compact"/>
        <w:numPr>
          <w:ilvl w:val="0"/>
          <w:numId w:val="1004"/>
        </w:numPr>
      </w:pPr>
      <w:r>
        <w:t xml:space="preserve">ДСО «Алексеевский» — № 0142200001326016350 от 18.08.2026 (6 463 386,03 руб.; 715,57 руб.); заказчиком в карточке значится Алексеевский дом-интернат, предназначенный для граждан, имеющих психические расстройства, то есть бывший ПНИ.</w:t>
      </w:r>
    </w:p>
    <w:p>
      <w:pPr>
        <w:pStyle w:val="FirstParagraph"/>
      </w:pPr>
      <w:r>
        <w:t xml:space="preserve">Состав документации известен лишь по названиям файлов: техническое задание и приложения к нему, проект контракта, обоснование начальной цены; у Кошкинского дома-интерната на первое полугодие 2027 г. — таблицы «Menyu_leto_var» и «Meyu_zima_var», у Отрадненского — «Меню осенне-зимний период» и «График выдачи питания». В документации Кошкинского, Отрадненского и Чапаевского учреждений есть также проекты договоров аренды имущества и перечень технологического оборудования, что по названиям указывает на работу исполнителя на пищеблоке учреждения (толкование) [94].</w:t>
      </w:r>
    </w:p>
    <w:p>
      <w:pPr>
        <w:pStyle w:val="BodyText"/>
      </w:pPr>
      <w:r>
        <w:t xml:space="preserve">Сайт Кошкинского дома-интерната описывает выбор задолго до этих закупок. В отчётах о качестве услуг за 2017 и 2018 гг. сказано: «Организовано заказное меню, диетическое питание, проводятся дни национальной кухни»; недатированная статья к десятилетию учреждения (по содержанию — не ранее 2013 г.) сообщает: «Внедрена заказная система выбора блюд» [96]. Это самое раннее датируемое упоминание выбора блюд в российском стационарном учреждении из обнаруженных докладом; как был устроен заказ, сайт не поясняет.</w:t>
      </w:r>
    </w:p>
    <w:p>
      <w:pPr>
        <w:pStyle w:val="BodyText"/>
      </w:pPr>
      <w:r>
        <w:rPr>
          <w:b/>
          <w:bCs/>
        </w:rPr>
        <w:t xml:space="preserve">Чего источники не сообщают.</w:t>
      </w:r>
      <w:r>
        <w:t xml:space="preserve"> </w:t>
      </w:r>
      <w:r>
        <w:t xml:space="preserve">Тексты технических заданий и меню не прочитаны: Единая информационная система, где они лежат в открытом доступе, из среды подготовки доклада недоступна (соединение не устанавливается, 08.10.2026), а агрегаторы открывают файлы только после регистрации или за плату. Поэтому неизвестно, что заказчики понимают под «вариативным меню»: выбор жителем блюда в момент еды, заказ накануне или несколько вариантов цикла (сезонных, диетических); названия файлов допускают любое из этих прочтений. Неизвестны число вариантов, способ и время выбора, охват жителей, порядок для неговорящих и маломобильных, а также то, входят ли продукты в цену койко-дня. Поэтому разброс начальных цен (от 502,31 до 860,61 руб. за койко-день) без состава услуги несопоставим ни между учреждениями, ни с петербургскими тарифами (толкование). Сообщений министерства социально-демографической и семейной политики Самарской области о вариативном меню при поиске 08.10.2026 не обнаружено; карточки ещё двух учреждений, встречавшиеся в поисковой выдаче, не открылись и в перечень не включены.</w:t>
      </w:r>
    </w:p>
    <w:p>
      <w:pPr>
        <w:pStyle w:val="BodyText"/>
      </w:pPr>
      <w:r>
        <w:rPr>
          <w:b/>
          <w:bCs/>
        </w:rPr>
        <w:t xml:space="preserve">Значение.</w:t>
      </w:r>
      <w:r>
        <w:t xml:space="preserve"> </w:t>
      </w:r>
      <w:r>
        <w:t xml:space="preserve">Самарские извещения опровергают вывод, на котором стояла предыдущая версия доклада: ДСО «Серафимовский» — не единственный обнаруженный кейс вариативного меню при аутсорсинге питания (п. 4.8). По меньшей мере в одном субъекте вариативное меню вошло в наименование объекта закупки услуги питания, причём не у автономного учреждения по 223-ФЗ, а у бюджетных учреждений по 44-ФЗ, и закупки повторяются из периода в период (у Кошкинского — 2026 г. и оба полугодия 2027 г.). Тем самым именно то, что сценарий 6 и сценарий 8 гл. 7 рекомендуют, — записывать выбор в документацию закупки, а не держать его на договорённости с исполнителем, — в российской практике уже встречается, по крайней мере на уровне предмета закупки. Класс утверждения ограничен: наименование объекта закупки и параметры извещений — факт по вторичным карточкам, а содержание обязательств исполнителя —</w:t>
      </w:r>
      <w:r>
        <w:t xml:space="preserve"> </w:t>
      </w:r>
      <w:r>
        <w:rPr>
          <w:b/>
          <w:bCs/>
        </w:rPr>
        <w:t xml:space="preserve">не сверено</w:t>
      </w:r>
      <w:r>
        <w:t xml:space="preserve">. Модель по шкале М0–М5 не определяется. Для рабочей группы самарские конкурсы — ближайший известный источник образцов технического задания на вариативное меню при аутсорсинге: документация доступна в Единой информационной системе по номерам извещений, приведённым выше.</w:t>
      </w:r>
    </w:p>
    <w:bookmarkEnd w:id="87"/>
    <w:bookmarkStart w:id="88" w:name="сводная-таблица"/>
    <w:p>
      <w:pPr>
        <w:pStyle w:val="Heading2"/>
      </w:pPr>
      <w:r>
        <w:rPr>
          <w:rStyle w:val="SectionNumber"/>
        </w:rPr>
        <w:t xml:space="preserve">4.11</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[91]</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Учреждения Самарской обл. (шесть; закупки по 44-ФЗ)</w:t>
            </w:r>
          </w:p>
        </w:tc>
        <w:tc>
          <w:tcPr/>
          <w:p>
            <w:pPr>
              <w:pStyle w:val="Compact"/>
            </w:pPr>
            <w:r>
              <w:t xml:space="preserve">Дома-интернаты общего типа, ДСО, в том числе бывший ПНИ; приготовление питания на аутсорсинге [94]</w:t>
            </w:r>
          </w:p>
        </w:tc>
        <w:tc>
          <w:tcPr/>
          <w:p>
            <w:pPr>
              <w:pStyle w:val="Compact"/>
            </w:pPr>
            <w:r>
              <w:t xml:space="preserve">26.08.2025 (извещение); «заказное меню» Кошкинского — в отчёте за 2017 г. [96]</w:t>
            </w:r>
          </w:p>
        </w:tc>
        <w:tc>
          <w:tcPr/>
          <w:p>
            <w:pPr>
              <w:pStyle w:val="Compact"/>
            </w:pPr>
            <w:r>
              <w:t xml:space="preserve">Не установлено (техническое задание не прочитано)</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88"/>
    <w:bookmarkStart w:id="89" w:name="X7f6c4da8ae6c9e43bf0f74d7d5577f15f7ccc21"/>
    <w:p>
      <w:pPr>
        <w:pStyle w:val="Heading2"/>
      </w:pPr>
      <w:r>
        <w:rPr>
          <w:rStyle w:val="SectionNumber"/>
        </w:rPr>
        <w:t xml:space="preserve">4.12</w:t>
      </w:r>
      <w:r>
        <w:tab/>
      </w:r>
      <w:r>
        <w:t xml:space="preserve">Выводы по главе 4: что следует из совокупности кейсов</w:t>
      </w:r>
    </w:p>
    <w:p>
      <w:pPr>
        <w:pStyle w:val="FirstParagraph"/>
      </w:pPr>
      <w:r>
        <w:t xml:space="preserve">Сообщения разных учреждений обнаруживают четыре повторяющихся элемента. Первый — изучение предпочтений до запуска (опрос и балльное ранжирование в Успенском ПНИ, опрос и группировка по популярности в Усть-Илимске). Второй — ограниченный старт: по дням недели (Болотнинский, Каменский), по группе жителей (Усть-Илимск, Серафимовский), по отделениям (Успенский в 2025 г.). Третий — ограничение выбора одним-двумя блюдами приёма пищи при подаче остального по общему меню. Четвёртый — коллегиальный орган, совет или комиссия по питанию, появляющийся в Усть-Илимске и в «Солнечногорском».</w:t>
      </w:r>
    </w:p>
    <w:p>
      <w:pPr>
        <w:pStyle w:val="BodyText"/>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Обоснованный вывод скромнее: стартовый формат (выбор из двух блюд в момент еды в одном приёме пищи) в ряде учреждений введён без публично названных дополнительных ресурсов, тогда как заказ накануне и обслуживание маломобильных в комнатах потребовали ресурсов в учреждении, которое о них сообщило (толкование).</w:t>
      </w:r>
    </w:p>
    <w:p>
      <w:pPr>
        <w:pStyle w:val="BodyText"/>
      </w:pPr>
      <w:r>
        <w:t xml:space="preserve">Вариативное меню при аутсорсинге питания обнаружено в двух видах, и каждый известен лишь наполовину. ДСО «Серафимовский», учреждение автора доклада, описывает выбор как практику: аутсорсинг подтверждён автором [91] и карточками закупок по 223-ФЗ [92], но условия договора о выборе не проверены. Шесть бюджетных учреждений Самарской области с 2025 г. закупают по 44-ФЗ приготовление питания «по вариативному меню» (п. 4.10) [94], но содержание их технических заданий не установлено, а сообщений о том, как выбирают жители, нет.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остаются проектными решениями: опубликованная документация, на которой их можно проверить, теперь известна, но не прочитана [22, 23].</w:t>
      </w:r>
    </w:p>
    <w:p>
      <w:pPr>
        <w:pStyle w:val="BodyText"/>
      </w:pPr>
      <w:r>
        <w:t xml:space="preserve">Ни одно учреждение не опубликовало данных о весе жителей, потреблении или отходах до и после внедрения. Это главный пробел российской практики: без таких данных спор о пользе и вреде выбора остаётся спором мнений, а довод «популярное не самое полезное» невозможно ни подтвердить, ни опровергнуть. Российская практика, следовательно, доказывает осуществимость выбора, но не его последствия; что известно о последствиях из научной литературы, рассматривается в главе 5.</w:t>
      </w:r>
    </w:p>
    <w:bookmarkEnd w:id="89"/>
    <w:bookmarkEnd w:id="90"/>
    <w:bookmarkStart w:id="107" w:name="научные-данные"/>
    <w:p>
      <w:pPr>
        <w:pStyle w:val="Heading1"/>
      </w:pPr>
      <w:r>
        <w:rPr>
          <w:rStyle w:val="SectionNumber"/>
        </w:rPr>
        <w:t xml:space="preserve">5</w:t>
      </w:r>
      <w:r>
        <w:tab/>
      </w:r>
      <w:r>
        <w:t xml:space="preserve">Научные данные</w:t>
      </w:r>
    </w:p>
    <w:bookmarkStart w:id="91"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ведётся преимущественно двумя доводами: «выбор улучшает качество жизни» и «выбор ухудшит питание, поскольку жители предпочтут вкусное вредное полезному». Оба довода эмпирические и, следовательно, проверяемые. Глава излагает, что о них известно из рецензируемой литературы. Поиск проводился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включены лишь работы, библиографические данные и основные числовые результаты которых сверены по аннотации или полному тексту.</w:t>
      </w:r>
    </w:p>
    <w:bookmarkEnd w:id="91"/>
    <w:bookmarkStart w:id="92"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Наиболее полную оценку распространённости недостаточности питания у пожилых по инструменту MNA (Mini Nutritional Assessment) даёт метаанализ Cereda и соавт. 2016 г., объединивший 240 исследований и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[97]. Доля лиц в зоне риска в учреждениях в несколько раз превышает долю лиц с установленной недостаточностью.</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исследование С. Г. Горелика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[42]. Ограничения работы существенны: одно учреждение, средний возраст 64,7 года, отсутствие контрольной группы, вследствие чего «улучшение у 73,5 %» нельзя приписать конкретному вмешательству. Для темы доклада ценен показатель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[53].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92"/>
    <w:bookmarkStart w:id="93"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Наиболее известная работа о выборе в институциональном питании — исследование Wright, Connelly, Capra и Hendrikz (2013, Брисбен), в котором обследованы 103 пациента больницы и 210 жителей девяти домов престарелых. Удовлетворённость питанием оказалась связана с числом предлагаемых вариантов и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[98]. Две цифры из этой работы часто цитируются вне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причём вторая относится к способу раздачи, а не к выбору [98]. Выборка удобная, данные собраны в 2003–2004 гг. Работа принадлежит к немногим, где время выбора выделено как самостоятельный фактор наряду с числом вариантов; отсюда довод в пользу различения на шкале раздачи М1 (выбор накануне) и М2 (выбор в момент еды).</w:t>
      </w:r>
    </w:p>
    <w:p>
      <w:pPr>
        <w:pStyle w:val="BodyText"/>
      </w:pPr>
      <w:r>
        <w:t xml:space="preserve">Abbey, Wright и Capra (2015) описали, как выбор фактически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для жителей на протёртой пище; меню редко планировались с расчётом на альтернативы. Авторы предложили усилить регулирование и мониторинг выбора в рамках национальных стандартов аккредитации [99]. Вывод непосредственно касается российских ПНИ и домов-интернатов: два блюда на линии раздачи ещё не означают,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 традиционную, с меню, выбираемым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несколько больше белковых продуктов (+5 г) и овощей (+11 г) и меньше углеводных (−38 г). Производственные отходы выросли с 55 до 90 г на жителя в день, стоимость питания — с 9,20–11,14 до 11,01–12,15 австралийского доллара на жителя в день [95]. Качественное исследование той же группы, основанное на интервью с 20 жителями до перехода и 18 после него, показало, что жители связывали возможность выбора в момент еды с ощущением контроля и самостоятельности [100].</w:t>
      </w:r>
    </w:p>
    <w:p>
      <w:pPr>
        <w:pStyle w:val="BodyText"/>
      </w:pPr>
      <w:r>
        <w:t xml:space="preserve">Для российского спора эти данные значимы в двух отношениях. С одной стороны, они не подтверждают опасения, будто выбор неизбежно ухудшает состав потребления: съеденные блюда из нового меню содержали несколько больше белковых продуктов и овощей. С другой стороны, они называют цену: выбор в момент еды увеличил производственные отходы и стоимость. Вывод о росте стоимости не переносится на российские условия непосредственно (иные структура затрат, уровень цен, штат), однако направление эффекта следует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при которой пациент заказывает блюда из ресторанного меню по телефону и получает их приготовленными под заказ,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[101]. Больничный контекст отличается от учреждения долговременного проживания (краткое пребывание, иной состав пациентов), поэтому результат приводится как аналогия, а не как доказательство для ДСО и ПНИ.</w:t>
      </w:r>
    </w:p>
    <w:bookmarkEnd w:id="93"/>
    <w:bookmarkStart w:id="94"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Количественные работы отвечают на вопрос «сколько», качественные — на вопрос, почему выбор не осуществляется даже тогда, когда его желают. Три работы разных лет и стран описывают барьеры сходным образом.</w:t>
      </w:r>
    </w:p>
    <w:p>
      <w:pPr>
        <w:pStyle w:val="BodyText"/>
      </w:pPr>
      <w:r>
        <w:t xml:space="preserve">Wang и соавт. (2020) провели углублённые интервью с семью жителями и семью сотрудниками двух австралийских учреждений, построив анализ на теории самодетерминации. Выделены три темы: «питание на массу» (catering for the masses), организационные барьеры для выбора и влияние еды на благополучие [102]; недостаточный выбор авторы называют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желали сами принимать решения. Их рассказы о еде в учреждении были противоречивы,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[103].</w:t>
      </w:r>
    </w:p>
    <w:p>
      <w:pPr>
        <w:pStyle w:val="BodyText"/>
      </w:pPr>
      <w:r>
        <w:t xml:space="preserve">Mondkar и соавт. (2025) опросили 17 человек (жителей, руководителей, сотрудников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стремился поддерживать их «где возможно» [104]. Однако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[104]. Здесь прямо назван механизм неравенства, который вариативное меню способно не устранить, а закрепить: выбор, построенный на вопросе «что вы хотите?», достаётся тем, кто в состоянии ответить и настоять на своём (толкование; ср. п. 7.16).</w:t>
      </w:r>
    </w:p>
    <w:p>
      <w:pPr>
        <w:pStyle w:val="BodyText"/>
      </w:pPr>
      <w:r>
        <w:t xml:space="preserve">Для российского учреждения эти работы ценны как источник проверочных вопросов, а не как доказательство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и что меняется, если у жителя нет денег и родственников.</w:t>
      </w:r>
    </w:p>
    <w:bookmarkEnd w:id="94"/>
    <w:bookmarkStart w:id="95"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сопоставило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соответствует модели М4, и исследование демонстрирует эффект целого комплекса перемен,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[105]. Дизайн пилотный, без рандомизации, поэтому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съедаемого (разнообразие на тарелке, приправы на столе); названия блюд и декор эффекта не дали [106]. Авторы исходят из того, что во французских домах престарелых меню, время, место приёма пищи и место за столом обычно навязаны жителю. Работа полезна как перечень недорогих мер — с подтверждённым эффектом и без него.</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более широкий выбор блюд, удлинённые часы работы «ресторана», доступные закуски и автоматы с напитками — в трёх домах при трёх контрольных [107].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[107]. Авторы признают, что рутинные данные удалось использовать лишь частично, а потери наблюдения и пропуски были велики. Работа поучительна как пример того, что учреждение может оценивать изменение питания по данным, которые оно и без того собирает (падения, масса тела, обращения), однако без строгого дизайна и при малой выборке такой анализ указывает лишь направление, но не доказывает эффекта.</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оказался статистически незначимым, а изменения среды приёма пищи были связаны с увеличением потребления энергии на 181 ккал/сут (95 % ДИ от −5 до 367; p = 0,06) [108].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[109]. В целом перемены в организации питания, включающие выбор, скорее улучшают удовлетворённость и потребление, чем ухудшают их, но эффект на пищевой статус невелик и плохо измерен.</w:t>
      </w:r>
    </w:p>
    <w:bookmarkEnd w:id="95"/>
    <w:bookmarkStart w:id="96"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Наиболее масштабные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[110]. Более высокие шансы быть удовлетворёнными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[110]. Обстановка приёма пищи измерялась в этом исследовании вместе с другими элементами среды, поэтому вклад именно питания не выделяется; дизайн ретроспективный и наблюдательный. Тем не менее это первое из обнаруженных национальных исследований, где среда приёма пищи вошла в число изменяемых факторов, связанных с достоинством жителя, — в одной модели с отношением персонала.</w:t>
      </w:r>
    </w:p>
    <w:p>
      <w:pPr>
        <w:pStyle w:val="BodyText"/>
      </w:pPr>
      <w:r>
        <w:t xml:space="preserve">Вывод для доклада ограничен, но существен (толкование): довод «выбор — вопрос достоинства», которым обосновывают вариативное меню, имеет эмпирическую опору на популяционном уровне, однако эта опора касается среды приёма пищи в целом, а не числа вариантов блюд.</w:t>
      </w:r>
    </w:p>
    <w:bookmarkEnd w:id="96"/>
    <w:bookmarkStart w:id="97"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опирается на данные, но не на те, что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причём более высокое потребление энергии и натрия связано с худшим качеством рациона [111].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составленными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иной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препятствовали недостаток знаний и времени и разнобой в подходах [112].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[113]. Оба исследования приходят к выводу, что ответом на риск нездорового выбора служат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ограничение выбора всем жителям из-за риска у части из них — непропорциональная мера, не основанная на данных.</w:t>
      </w:r>
    </w:p>
    <w:bookmarkEnd w:id="97"/>
    <w:bookmarkStart w:id="98"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темы доклада в них существенны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[114]. Рекомендации ESPEN по питанию при деменции (Volkert и соавт., 2024) содержат 40 рекомендаций, из которых семь посвящены условиям в учреждениях: подготовке персонала, привлекательной еде с возможностью выбора, приятной среде приёма пищи [115].</w:t>
      </w:r>
    </w:p>
    <w:p>
      <w:pPr>
        <w:pStyle w:val="BodyText"/>
      </w:pPr>
      <w:r>
        <w:t xml:space="preserve">С юридической точки зрения это рекомендации профессионального общества для клиницистов, а не нормы, и в российском праве они не действуют. Их ценность в том, что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98"/>
    <w:bookmarkStart w:id="99"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измерялись отходы с тарелки (14 источников), обычно взвешиванием (10) или визуальной оценкой (6); интервенционных исследований по снижению отходов обнаружено лишь три [116]. Для сравнения обзор приводит больничные данные: по нарративному обзору Williams и Walton (2011), медиана отходов с тарелки в 32 исследованиях составила 30 % [117], а в больничной литературе допустимым считается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[116].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измеряются не только для оценки меню, но и для расчёта фактически съеденного. Японское исследование CLEVER (Nishida и соавт., 2020) проверило такой расчёт на 46 жителях учреждений долговременного ухода, сопоставив потребление энергии, вычисленное по рецептурам и отходам с тарелки за 14–15 дней, с потреблением, определённым методом дважды меченой воды [118].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[118]. Авторы заключают, что потеря массы возможна даже тогда, когда расчёт по меню и отходам показывает положительный баланс. Для доклада отсюда следует двойное предостережение: выполнение норм по раскладке не гарантирует, что житель съел положенное, а снижение отходов после введения выбора ещё не доказывает роста потребления (толкование).</w:t>
      </w:r>
    </w:p>
    <w:p>
      <w:pPr>
        <w:pStyle w:val="BodyText"/>
      </w:pPr>
      <w:r>
        <w:t xml:space="preserve">Отходы с тарелки — наиболее доступный российскому учреждению показатель результата: их можно измерять визуальной шкалой или взвешиванием без лабораторных исследований и медицинской лицензии. Сопоставление отходов до и после введения выбора составляет минимальную доказательную базу, которую учреждение способно собрать самостоятельно (рекомендация, см. п. 7.9).</w:t>
      </w:r>
    </w:p>
    <w:bookmarkEnd w:id="99"/>
    <w:bookmarkStart w:id="100"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[119]. Число приводится как контекст, а не как оценка для России: публично долю таких жителей в российском ПНИ или доме-интернате никто не измерял. В сочетании с работой Abbey и соавт. [99] оно показывает, что вариативное меню, задуманное для ходячих и говорящих жителей, может не дойти до половины дома. Решения о консистенции являются клиническими и в докладе не рассматриваются.</w:t>
      </w:r>
    </w:p>
    <w:bookmarkEnd w:id="100"/>
    <w:bookmarkStart w:id="101"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 и нашли доказательства его влияния на потребление неоднородными [120].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[121]. Связь наблюдательная и причинности не доказывает, но согласуется с представлением о том, что качество питания зависит от кадров не меньше, чем от норм.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заключают, что без государственного финансирования, политики и стандартов возможности улучшения питания в учреждениях ограничены [122].</w:t>
      </w:r>
    </w:p>
    <w:bookmarkEnd w:id="101"/>
    <w:bookmarkStart w:id="102"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многие жители не едят самостоятельно, судьба вариативного меню решается персоналом. Наиболее подробные данные о необходимом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[123]</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[124]</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[125]</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[126]</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для российского учреждения следуют три наблюдения. Во-первых, жителю, нуждавшемуся лишь в словесной подсказке и присутствии сотрудника, требовалось столько же времени (35–40 минут на приём пищи), сколько физически зависимому [125]; авторы заключают, что американская система оплаты ухода, учитывающая главным образом физическую зависимость, это время недооценивает. Во-вторых, время, реально затрачивавшееся на помощь (5–9 минут), было в четыре-восемь раз меньше времени, дававшего эффект (35–42 минуты) [123, 124, 126]. В-третьих, перекус между приёмами пищи с выбором требовал втрое-вчетверо меньше времени, чем помощь во время еды, и помогал почти половине тех, кому помощь во время еды не помогла [124, 126]; авторы считают его более осуществимым в повседневной практике.</w:t>
      </w:r>
    </w:p>
    <w:p>
      <w:pPr>
        <w:pStyle w:val="BodyText"/>
      </w:pPr>
      <w:r>
        <w:t xml:space="preserve">Перенос на российские условия ограничен (толкование): иные штатные нормативы, иной состав жителей, исследования проведены 18–25 лет назад. Однако порядок величин позволяет проверить реалистичность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и лишь затем — на выбор (п. 7.15).</w:t>
      </w:r>
    </w:p>
    <w:bookmarkEnd w:id="102"/>
    <w:bookmarkStart w:id="103"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[127]. В докладе «Не просто накормить» 8 долларов названы стоимостью сырья [22], тогда как по тексту статьи это стоимость всего кейтеринга; вторая редакция это уточняет.</w:t>
      </w:r>
    </w:p>
    <w:p>
      <w:pPr>
        <w:pStyle w:val="BodyText"/>
      </w:pPr>
      <w:r>
        <w:t xml:space="preserve">Прямой пересчёт австралийских цифр в рубли невозможен: различаются цены, состав затрат и устройство учреждений. Значимо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[95]). Российских опубликованных расчётов стоимости вариативного меню не обнаружено.</w:t>
      </w:r>
    </w:p>
    <w:bookmarkEnd w:id="103"/>
    <w:bookmarkStart w:id="104"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представляет собой экстраполяцию.</w:t>
      </w:r>
    </w:p>
    <w:p>
      <w:pPr>
        <w:pStyle w:val="BodyText"/>
      </w:pPr>
      <w:r>
        <w:t xml:space="preserve">Отсутствуют исследования, сравнивающие разное число вариантов (два, три, семь) в едином дизайне. Нет данных о том, как выбор влияет на пищевое поведение людей с интеллектуальными нарушениями в учреждениях, и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измеряющих, получает ли выбор житель, не способный его выразить; качественные работы лишь фиксируют, что такие жители пользуются выбором реже [104].</w:t>
      </w:r>
    </w:p>
    <w:bookmarkEnd w:id="104"/>
    <w:bookmarkStart w:id="105"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[97]</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[42]</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[98]</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[99]</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[105]</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[106]</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[108]</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[109]</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[95]</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[116]</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[121]</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[111]</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[101]</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[107]</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[102]</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[103]</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[104]</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[110]</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[118]</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[123–126]</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5"/>
    <w:bookmarkStart w:id="106" w:name="выводы-по-главе-5"/>
    <w:p>
      <w:pPr>
        <w:pStyle w:val="Heading2"/>
      </w:pPr>
      <w:r>
        <w:rPr>
          <w:rStyle w:val="SectionNumber"/>
        </w:rPr>
        <w:t xml:space="preserve">5.16</w:t>
      </w:r>
      <w:r>
        <w:tab/>
      </w:r>
      <w:r>
        <w:t xml:space="preserve">Выводы по главе 5</w:t>
      </w:r>
    </w:p>
    <w:p>
      <w:pPr>
        <w:pStyle w:val="FirstParagraph"/>
      </w:pPr>
      <w:r>
        <w:t xml:space="preserve">Научная литература не подтверждает опасения, что выбор неизбежно ухудшает питание, но и не доказывает, что он сам по себе улучшает пищевой статус. Недостаточность питания и риск её развития в учреждениях долговременного ухода распространены широко, в том числе, по единственному российскому наблюдению, в отечественном учреждении. Выбор ближе к моменту еды и большее число вариантов связаны с более высокой удовлетворённостью; комплексные изменения среды приёма пищи скорее увеличивают потребление, однако эффект на массу тела мал и измерен с низкой доказательностью. Выбор имеет цену — в отходах, стоимости и прежде всего во времени персонала, без которого он не доходит до жителей, нуждающихся в помощи; именно эти жители, по данным качественных исследований, пользуются выбором реже. Риск нездорового выбора у людей с тяжёлыми психическими расстройствами реален на популяционном уровне, но адекватным ответом на него служат индивидуальные назначения и работа с пищевой средой, а не общее ограничение. Отходы с тарелки представляют наиболее доступный учреждению показатель, хотя и не равнозначный фактическому потреблению. Как эти данные преломляются в регулировании и практике других стран, рассматривается в главе 6.</w:t>
      </w:r>
    </w:p>
    <w:bookmarkEnd w:id="106"/>
    <w:bookmarkEnd w:id="107"/>
    <w:bookmarkStart w:id="121" w:name="зарубежное-регулирование"/>
    <w:p>
      <w:pPr>
        <w:pStyle w:val="Heading1"/>
      </w:pPr>
      <w:r>
        <w:rPr>
          <w:rStyle w:val="SectionNumber"/>
        </w:rPr>
        <w:t xml:space="preserve">6</w:t>
      </w:r>
      <w:r>
        <w:tab/>
      </w:r>
      <w:r>
        <w:t xml:space="preserve">Зарубежное регулирование</w:t>
      </w:r>
    </w:p>
    <w:bookmarkStart w:id="108"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ссылка на них не может заменить российского основания для решения учреждения. Их ценность иная: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наталкиваются на те же противоречия, что и в России. Первая редакция обзора упоминала зарубежный опыт кратко и включала раздел о «практике стран СНГ» без источников [1]; вторая редакция этот раздел не воспроизводит, а зарубежный блок строит по первоисточникам.</w:t>
      </w:r>
    </w:p>
    <w:bookmarkEnd w:id="108"/>
    <w:bookmarkStart w:id="109"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необходима [128].</w:t>
      </w:r>
    </w:p>
    <w:p>
      <w:pPr>
        <w:pStyle w:val="BodyText"/>
      </w:pPr>
      <w:r>
        <w:t xml:space="preserve">Конструкция поучительна в трёх отношениях. Предпочтения названы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[128]. Коллизию «выбор против здоровья» английское право разрешает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подлежат удовлетворению,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для учёта предпочтений, в том числе касающихся времени, места подачи и количества еды [129]. Там же сформулированы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[129].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[129].</w:t>
      </w:r>
    </w:p>
    <w:p>
      <w:pPr>
        <w:pStyle w:val="BodyText"/>
      </w:pPr>
      <w:r>
        <w:t xml:space="preserve">Для российского читателя существенно соотношение уровней: выбор закреплён не в отдельном «стандарте меню», а в определении потребности в питании, нарушение которой может повлечь уголовные последствия. Российский аналог по месту в системе — стандарт социальной услуги по обеспечению питанием в региональном порядке, однако его содержание в проанализированных регионах исчерпывается нормами продуктов (п. 3.15) (толкование).</w:t>
      </w:r>
    </w:p>
    <w:bookmarkEnd w:id="109"/>
    <w:bookmarkStart w:id="110"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гласит: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[130].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[130].</w:t>
      </w:r>
    </w:p>
    <w:p>
      <w:pPr>
        <w:pStyle w:val="BodyText"/>
      </w:pPr>
      <w:r>
        <w:t xml:space="preserve">Шотландские стандарты создают прецедент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10"/>
    <w:bookmarkStart w:id="111" w:name="X86c4f599a5690b867b41745bfec1bfe6bd7b60d"/>
    <w:p>
      <w:pPr>
        <w:pStyle w:val="Heading2"/>
      </w:pPr>
      <w:r>
        <w:rPr>
          <w:rStyle w:val="SectionNumber"/>
        </w:rPr>
        <w:t xml:space="preserve">6.4</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[131]. Меню должны составляться заранее и соблюдаться, отражать религиозные, культурные и этнические потребности и мнения жителей и их объединений и пересматриваться диетологом; при этом прямо указано,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а если перед сном подаётся питательный перекус и группа жителей с этим согласна, — до 16 часов. Жителям, желающим есть вне установленного времени, должны предоставляться подходящие альтернативные блюда и перекусы [131].</w:t>
      </w:r>
    </w:p>
    <w:p>
      <w:pPr>
        <w:pStyle w:val="BodyText"/>
      </w:pPr>
      <w:r>
        <w:t xml:space="preserve">Американская норма — наиболее точный зарубежный аналог российского «вариативного меню»: она требует не выбора из двух блюд на каждый приём пищи, а гарантированной альтернативы «сходной пищевой ценности» по запросу. Вопрос о соблюдении норм тем самым снимается: альтернатива по определению равноценна основному блюду.</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[132]. Замена должна соответствовать «обычному ассортименту» учреждения; руководство приводит пример: вместо грейпфрутового сока предложить другой цитрусовый или богатый витамином C сок, который житель любит [132]. Проверка предполагает наблюдение за раздачей и, если житель отказывается от блюда или напитка, установление того, предложена ли ему замена; опрос охватывает вопросы о том, как еда соответствует предпочтениям жителя, предлагают ли замену при отказе, как жителям сообщают об альтернативах и как сведения о предпочтениях доходят до персонала [132]. При выявлении нарушения инспектору предлагается проверить смежные требования: учтены ли предпочтения при комплексной оценке жителя, включены ли они в план ухода, пересматривался ли план с участием жителя или его представителя [132]. Форма наблюдения за приёмом пищи (CMS-20053) особо предписывает начинать наблюдение с первого приёма пищи после прибытия проверяющих, прежде всего в залах, где больше всего жителей, нуждающихся в помощи, а в разделе «Выбор» — выяснять реакцию персонала на отказ идти в столовую, отказ от блюда или просьбу о замене [133].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все за столом не закончат еду; помогающий сидит рядом, а не стоит над жителем, и разговаривает с ним, а не с коллегами; жителю дают столько времени, сколько ему нужно [133].</w:t>
      </w:r>
    </w:p>
    <w:p>
      <w:pPr>
        <w:pStyle w:val="BodyText"/>
      </w:pPr>
      <w:r>
        <w:t xml:space="preserve">Американская процедура показывает, что выбор поддаётся проверке без подсчёта блюд в меню: предметом проверки служит ответ учреждения на отказ конкретного жителя, наблюдаемый в реальном приёме пищи и подтверждаемый опросом.</w:t>
      </w:r>
    </w:p>
    <w:bookmarkEnd w:id="111"/>
    <w:bookmarkStart w:id="112" w:name="X63ed27c1725770a12e9503c231298d2b2ea6706"/>
    <w:p>
      <w:pPr>
        <w:pStyle w:val="Heading2"/>
      </w:pPr>
      <w:r>
        <w:rPr>
          <w:rStyle w:val="SectionNumber"/>
        </w:rPr>
        <w:t xml:space="preserve">6.5</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[134].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днём и вечером — выбор перекусов.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[134].</w:t>
      </w:r>
    </w:p>
    <w:p>
      <w:pPr>
        <w:pStyle w:val="BodyText"/>
      </w:pPr>
      <w:r>
        <w:t xml:space="preserve">Онтарийская норма демонстрирует совместимость выбора и цикличности: цикл в 21 день сам предусматривает альтернативы на каждом приёме пищи. В ней видно и разграничение, отсутствующее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составленная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лишь тогда, когда помогающий свободен; рассматривал ли совет жителей время приёмов пищи и перекусов; сообщаются ли все замены в меню жителям и персоналу [135].</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12"/>
    <w:bookmarkStart w:id="113" w:name="австралия-усиленные-стандарты-качества"/>
    <w:p>
      <w:pPr>
        <w:pStyle w:val="Heading2"/>
      </w:pPr>
      <w:r>
        <w:rPr>
          <w:rStyle w:val="SectionNumber"/>
        </w:rPr>
        <w:t xml:space="preserve">6.6</w:t>
      </w:r>
      <w:r>
        <w:tab/>
      </w:r>
      <w:r>
        <w:t xml:space="preserve">Австралия: усиленные стандарты качества</w:t>
      </w:r>
    </w:p>
    <w:p>
      <w:pPr>
        <w:pStyle w:val="FirstParagraph"/>
      </w:pPr>
      <w:r>
        <w:t xml:space="preserve">С 01.11.2025, со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[136].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[136]. Выбор в питании стал в Австралии предметом государственного стандарта после серии исследований, показавших, насколько мало его в действительности [99].</w:t>
      </w:r>
    </w:p>
    <w:bookmarkEnd w:id="113"/>
    <w:bookmarkStart w:id="114" w:name="Xb8dfc2f5e7342633de66101e6d70d2c5d40554b"/>
    <w:p>
      <w:pPr>
        <w:pStyle w:val="Heading2"/>
      </w:pPr>
      <w:r>
        <w:rPr>
          <w:rStyle w:val="SectionNumber"/>
        </w:rPr>
        <w:t xml:space="preserve">6.7</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представляет собой рекомендацию профессионального общества, а не закон [137]. Для российской дискуссии он ценен тем, что описывает выбор не как принцип, а как совокупность проверяемых операционных требований, которые удобнее привести перечнем:</w:t>
      </w:r>
    </w:p>
    <w:p>
      <w:pPr>
        <w:pStyle w:val="Compact"/>
        <w:numPr>
          <w:ilvl w:val="0"/>
          <w:numId w:val="1005"/>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[137]. На плане меню несколько линий должны быть представлены наглядно, а рекомендуемая — выделена (первой строкой, цветом или символом) [137];</w:t>
      </w:r>
    </w:p>
    <w:p>
      <w:pPr>
        <w:pStyle w:val="Compact"/>
        <w:numPr>
          <w:ilvl w:val="0"/>
          <w:numId w:val="1005"/>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[137];</w:t>
      </w:r>
    </w:p>
    <w:p>
      <w:pPr>
        <w:pStyle w:val="Compact"/>
        <w:numPr>
          <w:ilvl w:val="0"/>
          <w:numId w:val="1005"/>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[137]. В предыдущей версии второй редакции доклада для учреждений было указано «не менее четырёх недель»; по тексту стандарта это значение относится к доставке на дом (исправлено, см. приложение В);</w:t>
      </w:r>
    </w:p>
    <w:p>
      <w:pPr>
        <w:pStyle w:val="Compact"/>
        <w:numPr>
          <w:ilvl w:val="0"/>
          <w:numId w:val="1005"/>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[137];</w:t>
      </w:r>
    </w:p>
    <w:p>
      <w:pPr>
        <w:pStyle w:val="Compact"/>
        <w:numPr>
          <w:ilvl w:val="0"/>
          <w:numId w:val="1005"/>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[137];</w:t>
      </w:r>
    </w:p>
    <w:p>
      <w:pPr>
        <w:pStyle w:val="Compact"/>
        <w:numPr>
          <w:ilvl w:val="0"/>
          <w:numId w:val="1005"/>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[137];</w:t>
      </w:r>
    </w:p>
    <w:p>
      <w:pPr>
        <w:pStyle w:val="Compact"/>
        <w:numPr>
          <w:ilvl w:val="0"/>
          <w:numId w:val="1005"/>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[137];</w:t>
      </w:r>
    </w:p>
    <w:p>
      <w:pPr>
        <w:pStyle w:val="Compact"/>
        <w:numPr>
          <w:ilvl w:val="0"/>
          <w:numId w:val="1005"/>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[137];</w:t>
      </w:r>
    </w:p>
    <w:p>
      <w:pPr>
        <w:pStyle w:val="Compact"/>
        <w:numPr>
          <w:ilvl w:val="0"/>
          <w:numId w:val="1005"/>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[137];</w:t>
      </w:r>
    </w:p>
    <w:p>
      <w:pPr>
        <w:pStyle w:val="Compact"/>
        <w:numPr>
          <w:ilvl w:val="0"/>
          <w:numId w:val="1005"/>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[137], то есть то же ограничение, что и в п. 32 СанПиН 4282-26 [3].</w:t>
      </w:r>
    </w:p>
    <w:p>
      <w:pPr>
        <w:pStyle w:val="FirstParagraph"/>
      </w:pPr>
      <w:r>
        <w:t xml:space="preserve">Из этого перечня российскому учреждению проще всего перенести четыре элемента (рекомендация): план меню с указанием основных компонентов и, где это необходимо, с изображениями; пищевую биографию при поступлении как основу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остальных. Последний приём — «подталкивание» (nudging) — стандарт DGE прямо рассматривает как альтернативу ограничению выбора [137].</w:t>
      </w:r>
    </w:p>
    <w:p>
      <w:pPr>
        <w:pStyle w:val="BodyText"/>
      </w:pPr>
      <w:r>
        <w:t xml:space="preserve">Австрийские стандарты качества питания в учреждениях ухода (2022) аналогичным образом рекомендуют учитывать предпочтения и избегать необоснованных ограничений рациона [138].</w:t>
      </w:r>
    </w:p>
    <w:bookmarkEnd w:id="114"/>
    <w:bookmarkStart w:id="115" w:name="Xd0ab6093744630a5e65ce6ff3bb0fc2b7982e9b"/>
    <w:p>
      <w:pPr>
        <w:pStyle w:val="Heading2"/>
      </w:pPr>
      <w:r>
        <w:rPr>
          <w:rStyle w:val="SectionNumber"/>
        </w:rPr>
        <w:t xml:space="preserve">6.8</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[139].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не должен превышать 11 часов; приёмы пищи должны быть многочисленными, небольшими, насыщенными энергией и белком и распределёнными по суткам [139].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лишь будучи съеденной, «важнее, чтобы еда была вкусной и возбуждала аппетит, чем чтобы она точно соответствовала нормам питания» [139]. Тезис обращён к планированию рациона для групп с плохим аппетитом и норм не отменяет, но задаёт иерархию, обратную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и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напоминает домашнюю [139]. «Выбор» здесь переведён в формулировки, пригодные для договора и проверки, причём первым критерием поставлено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вправе предлагать, каким должно быть меню и как сделать приём пищи спокойным [139].</w:t>
      </w:r>
    </w:p>
    <w:p>
      <w:pPr>
        <w:pStyle w:val="BodyText"/>
      </w:pPr>
      <w:r>
        <w:rPr>
          <w:b/>
          <w:bCs/>
        </w:rPr>
        <w:t xml:space="preserve">Базовое меню и закупка.</w:t>
      </w:r>
      <w:r>
        <w:t xml:space="preserve"> </w:t>
      </w:r>
      <w:r>
        <w:t xml:space="preserve">Первый из пяти шагов планирования состоит в создании «базового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[139]. Базовое меню служит одновременно для расчёта пищевой ценности на уровне группы, для учёта потребления, для внутренних расчётов и для закупки [139]. Второй шаг — готовить в объёме, который реально съедается, и строить систему заказа так, чтобы минимизировать отходы [139]. Тем самым снимается российский вопрос о совместимости выбора с нормами (п. 3.15) и с закупкой (п. 7.13): нормы проверяются по базовому меню на уровне группы, а выбор существует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 за счёт более длительного времени подачи, большего числа вариантов, возможности выбрать соседей по столу, —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[139].</w:t>
      </w:r>
    </w:p>
    <w:bookmarkEnd w:id="115"/>
    <w:bookmarkStart w:id="116" w:name="X075230f8727df5dd6afc65a950c119f1082648d"/>
    <w:p>
      <w:pPr>
        <w:pStyle w:val="Heading2"/>
      </w:pPr>
      <w:r>
        <w:rPr>
          <w:rStyle w:val="SectionNumber"/>
        </w:rPr>
        <w:t xml:space="preserve">6.9</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[140].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позволяя жителям дома престарелых отказываться от питания лишь целыми днями (с уведомлением до 12 часов предыдущего дня) и не позволяя отказываться от отдельных приёмов пищи [140].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[140].</w:t>
      </w:r>
    </w:p>
    <w:p>
      <w:pPr>
        <w:pStyle w:val="BodyText"/>
      </w:pPr>
      <w:r>
        <w:t xml:space="preserve">Выбор понимается здесь не как выбор блюда, а как право не участвовать в общем питании в конкретный приём пищи. Ближайшая конструкция российского права — отказ от социальной услуги (ст. 18 442-ФЗ) [24], однако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разрешается на уровне платы и договора, а не только меню.</w:t>
      </w:r>
    </w:p>
    <w:bookmarkEnd w:id="116"/>
    <w:bookmarkStart w:id="117" w:name="X516cbe5cf56d1ad5b032841e37269dca628e41a"/>
    <w:p>
      <w:pPr>
        <w:pStyle w:val="Heading2"/>
      </w:pPr>
      <w:r>
        <w:rPr>
          <w:rStyle w:val="SectionNumber"/>
        </w:rPr>
        <w:t xml:space="preserve">6.10</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[141]. Это путь финансового стимула: оплачиваются измерение и управление питанием.</w:t>
      </w:r>
    </w:p>
    <w:p>
      <w:pPr>
        <w:pStyle w:val="BodyText"/>
      </w:pPr>
      <w:r>
        <w:t xml:space="preserve">Второй японский механизм непосредственно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взимается отдельно и чётко отделяется от обычной платы [142]. Критерии такого питания установлены приказом-уведомлением № 123 [143]:</w:t>
      </w:r>
    </w:p>
    <w:p>
      <w:pPr>
        <w:pStyle w:val="Compact"/>
        <w:numPr>
          <w:ilvl w:val="0"/>
          <w:numId w:val="1006"/>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06"/>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06"/>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06"/>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06"/>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06"/>
        </w:numPr>
      </w:pPr>
      <w:r>
        <w:t xml:space="preserve">договор заключается после ясного объяснения, что это дополнительная плата сверх обычной [143].</w:t>
      </w:r>
    </w:p>
    <w:p>
      <w:pPr>
        <w:pStyle w:val="FirstParagraph"/>
      </w:pPr>
      <w:r>
        <w:t xml:space="preserve">Японская конструкция разводит два вопроса, которые в российской дискуссии нередко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Прямой аналогии для российского учреждения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Ценен сам перечень гарантий: запрет ухудшения базового меню, информирование, согласие, медицинский фильтр и публичная цена.</w:t>
      </w:r>
    </w:p>
    <w:bookmarkEnd w:id="117"/>
    <w:bookmarkStart w:id="118" w:name="X335a4f457402e0cee31dd52e726a999b64c151d"/>
    <w:p>
      <w:pPr>
        <w:pStyle w:val="Heading2"/>
      </w:pPr>
      <w:r>
        <w:rPr>
          <w:rStyle w:val="SectionNumber"/>
        </w:rPr>
        <w:t xml:space="preserve">6.11</w:t>
      </w:r>
      <w:r>
        <w:tab/>
      </w: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прежних докладов считает верифицированными IDDSI, регламент 14 CQC и ст. 12 Конвенции о правах инвалидов, тогда как каркас международного доклада на ту же дату указывает «проверено источников 0» [23]. Ниже приводится лишь то, что сверено с первоисточником для настоящей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[144]</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[144]</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[128]</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[128]</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[37]</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[37]</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Каркас международного доклада проекта остаётся каркасом: проверка трёх опор не превращает его в обзор опыта стран (рабочая база знаний, wiki/gaps.md, п. 11) [23].</w:t>
      </w:r>
    </w:p>
    <w:bookmarkEnd w:id="118"/>
    <w:bookmarkStart w:id="119" w:name="сводная-таблица-2"/>
    <w:p>
      <w:pPr>
        <w:pStyle w:val="Heading2"/>
      </w:pPr>
      <w:r>
        <w:rPr>
          <w:rStyle w:val="SectionNumber"/>
        </w:rPr>
        <w:t xml:space="preserve">6.12</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[128]</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[130]</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США</w:t>
            </w:r>
          </w:p>
        </w:tc>
        <w:tc>
          <w:tcPr/>
          <w:p>
            <w:pPr>
              <w:pStyle w:val="Compact"/>
            </w:pPr>
            <w:r>
              <w:t xml:space="preserve">42 CFR § 483.60 [131]</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[134]</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[136]</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[137]</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[139]</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[140]</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[141]; приказы-уведомления № 419 и № 123 [142, 143]</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19"/>
    <w:bookmarkStart w:id="120" w:name="выводы-по-главе-6"/>
    <w:p>
      <w:pPr>
        <w:pStyle w:val="Heading2"/>
      </w:pPr>
      <w:r>
        <w:rPr>
          <w:rStyle w:val="SectionNumber"/>
        </w:rPr>
        <w:t xml:space="preserve">6.13</w:t>
      </w:r>
      <w:r>
        <w:tab/>
      </w:r>
      <w:r>
        <w:t xml:space="preserve">Выводы по главе 6</w:t>
      </w:r>
    </w:p>
    <w:p>
      <w:pPr>
        <w:pStyle w:val="FirstParagraph"/>
      </w:pPr>
      <w:r>
        <w:t xml:space="preserve">Ни одна из рассмотренных систем, кроме Онтарио, не требует выбора на каждом приёме пищи, причём и онтарийская норма не фиксирует числа вариантов.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тогда как питание измеряется и оплачивается как управляемый процесс (Япония). Расширенный обзор настоящей редакции добавляет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нормы проверяются на уровне группы, с вариантами внутри него (Швеция); критерии влияния жителя на приём пищи, сформулированные для договора и проверки, где первым поставлено субъективное ощущение самого жителя (Швеция). Датский и японский примеры выводят вопрос на иной уровень — уровень платы: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 Каким образом эти приёмы могут быть реализованы в границах действующего российского права, показывает глава 7.</w:t>
      </w:r>
    </w:p>
    <w:bookmarkEnd w:id="120"/>
    <w:bookmarkEnd w:id="121"/>
    <w:bookmarkStart w:id="141"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22"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описывают решения, которые учреждение вправе принять самостоятельно, не выходя за пределы действующих норм; форма сценария сохранена потому, что каждый из них соотносит практическую задачу с её правовым основанием. В конце каждого сценария указано, что в нём является нормой, что толкованием и что рекомендацией. Числовые примеры представляют собой иллюстративную арифметику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там, где такой вопрос возникает, указано, что его решает врач.</w:t>
      </w:r>
    </w:p>
    <w:bookmarkEnd w:id="122"/>
    <w:bookmarkStart w:id="123"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(столбец «кроме ПНИ и ДСО») в действующей с 01.01.2026 редакции мясо — 90 г нетто, рыба — 32,5 г нетто, птица — 22,2 г нетто [34]. В редакции 2022 г. рыба составляла 41,8 г, птица — 40 г [33]; для ПНИ и ДСО действуют значения 70,5, 46,7 и 36,5 г. Норма суточная, однако учреждения обычно контролируют её по среднему за период (неделя, декада, месяц) посредством накопительной ведомости; способ контроля в постановлении не определён (п. 3.15).</w:t>
      </w:r>
    </w:p>
    <w:p>
      <w:pPr>
        <w:pStyle w:val="BodyText"/>
      </w:pPr>
      <w:r>
        <w:rPr>
          <w:b/>
          <w:bCs/>
        </w:rPr>
        <w:t xml:space="preserve">Иллюстрация.</w:t>
      </w:r>
      <w:r>
        <w:t xml:space="preserve"> </w:t>
      </w:r>
      <w:r>
        <w:t xml:space="preserve">Возьмём учреждение на 100 жителей. Недельная потребность по норме составляет: мясо 90 × 7 × 100 = 63,0 кг нетто, рыба 32,5 × 7 × 100 = 22,75 кг нетто. Допустим, что в базовом меню все три дня на обед подаётся мясное второе с закладкой 75 г нетто мяса на порцию, а альтернативой вводится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а расход рыбы увеличится на 0,4 × 100 × 94 г × 3 ≈ 11,3 кг. Итог недели: мясо 54,0 кг (85,7 % нормы), рыба 34,0 кг (149,6 % нормы). По редакции 2022 г. (рыба 41,8 г) рыба составила бы 138,6 % нормы, так что снижение рыбной нормы с 2026 г. делает перекос заметнее.</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50 %. Проверяющий, сверяющий нормы по группам, это расхождение обнаружит. Устранить его можно тремя способами:</w:t>
      </w:r>
    </w:p>
    <w:p>
      <w:pPr>
        <w:pStyle w:val="Compact"/>
        <w:numPr>
          <w:ilvl w:val="0"/>
          <w:numId w:val="1007"/>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показывать в накопительной ведомости пересчёт заменённых количеств в базовый продукт.</w:t>
      </w:r>
    </w:p>
    <w:p>
      <w:pPr>
        <w:pStyle w:val="Compact"/>
        <w:numPr>
          <w:ilvl w:val="0"/>
          <w:numId w:val="1007"/>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07"/>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её применение для взрослых есть решение учреждения. Ближайшим федеральным документом для взрослых служат приложения № 7 и № 8 к рекомендациям, утверждённым постановлением № 12 [31]. Источник таблицы необходимо назвать в самом локальном акте.</w:t>
      </w:r>
    </w:p>
    <w:p>
      <w:pPr>
        <w:pStyle w:val="BodyText"/>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23"/>
    <w:bookmarkStart w:id="124"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Строка № 1284 (ред. с 01.01.2026)</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Мясо (в ред. 2022 г. — «говядина,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свежие (в ред. 2022 г. — все виды овощей одной строкой)</w:t>
            </w:r>
          </w:p>
        </w:tc>
        <w:tc>
          <w:tcPr/>
          <w:p>
            <w:pPr>
              <w:pStyle w:val="Compact"/>
            </w:pPr>
            <w:r>
              <w:t xml:space="preserve">Салат из свёклы / салат из свежих овощей / винегрет (с оговоркой о солёных огурцах — отдельная строка)</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образована продуктами разных групп. Печень в постановлении № 1284 отдельно не названа: в редакции 2022 г. строка называлась «говядина, свинина», в действующей — «мясо», и относит ли нормотворец субпродукты к этой строке, текст не уточняет [33, 34]. Для такой пары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тогда как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dyText"/>
      </w:pPr>
      <w:r>
        <w:rPr>
          <w:b/>
          <w:bCs/>
        </w:rPr>
        <w:t xml:space="preserve">Классы.</w:t>
      </w:r>
      <w:r>
        <w:t xml:space="preserve"> </w:t>
      </w:r>
      <w:r>
        <w:t xml:space="preserve">Норма — группы продуктов № 1284. Рекомендация — подбор пар внутри группы и потока.</w:t>
      </w:r>
    </w:p>
    <w:bookmarkEnd w:id="124"/>
    <w:bookmarkStart w:id="125"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и пищеблок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и пищеблок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[98]. По Wheeler и соавт., переход к выбору в момент еды увеличил производственные отходы с 55 до 90 г на жителя в день [95].</w:t>
      </w:r>
    </w:p>
    <w:p>
      <w:pPr>
        <w:pStyle w:val="BodyText"/>
      </w:pPr>
      <w:r>
        <w:rPr>
          <w:b/>
          <w:bCs/>
        </w:rPr>
        <w:t xml:space="preserve">Санитарное ограничение.</w:t>
      </w:r>
      <w:r>
        <w:t xml:space="preserve"> </w:t>
      </w:r>
      <w:r>
        <w:t xml:space="preserve">СанПиН 4282-26 запрещает реализовывать готовые блюда на следующий день и замораживать нереализованные (п. 32) [3]. Всё, что приготовлено под прогноз и не роздано, становится отходами, поэтому выбор в момент еды требует прогноза объёмов.</w:t>
      </w:r>
    </w:p>
    <w:p>
      <w:pPr>
        <w:pStyle w:val="BodyText"/>
      </w:pPr>
      <w:r>
        <w:rPr>
          <w:b/>
          <w:bCs/>
        </w:rPr>
        <w:t xml:space="preserve">Иллюстрация прогноза.</w:t>
      </w:r>
      <w:r>
        <w:t xml:space="preserve"> </w:t>
      </w:r>
      <w:r>
        <w:t xml:space="preserve">На старте варианты распределяются в пропорции 50/50 с небольшим резервом на каждый. Ежедневно фиксируются фактическое распределение выбора и число жителей, которым не хватило выбранного варианта; через две-три недели пропорции корректируются по накопленной статистике. Качество прогноза характеризует доля жителей, не получивших выбранного варианта, которая должна стремиться к нулю, а потери — масса нерозданных порций.</w:t>
      </w:r>
    </w:p>
    <w:p>
      <w:pPr>
        <w:pStyle w:val="BodyText"/>
      </w:pPr>
      <w:r>
        <w:rPr>
          <w:b/>
          <w:bCs/>
        </w:rPr>
        <w:t xml:space="preserve">Компромисс.</w:t>
      </w:r>
      <w:r>
        <w:t xml:space="preserve"> </w:t>
      </w:r>
      <w:r>
        <w:t xml:space="preserve">Возможно сочетание заказа накануне для маломобильных жителей, получающих пищу в комнатах, с выбором в момент еды в столовой. Правила внутреннего распорядка ДСО «Серафимовский» разводят столовую, «зал заказного питания (вариативное меню)» и приём пищи маломобильных жителей в комнатах, но порядка заказа для последних не определяют [28].</w:t>
      </w:r>
    </w:p>
    <w:p>
      <w:pPr>
        <w:pStyle w:val="BodyText"/>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25"/>
    <w:bookmarkStart w:id="126"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санитары или младшие медицинские сёстры, порционирующие второй вариант, должны иметь раздачу в числе должностных обязанностей и пройти гигиеническую подготовку. Проблема распространённая и малозаметная: при едином меню в отделение доставляются готовые порции, тогда как с введением выбора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Применимы два решения: лист заказа накануне (сценарий 3) или поднос с обоими вариантами малыми порциями и выбор на месте; во втором случае необходимо решить, как поступать с остатком. Доклад «Не просто накормить» формулирует правило «два варианта на подносе, а не вторая линия в коридоре» [22]; это рекомендация.</w:t>
      </w:r>
    </w:p>
    <w:p>
      <w:pPr>
        <w:pStyle w:val="BodyText"/>
      </w:pPr>
      <w:r>
        <w:rPr>
          <w:b/>
          <w:bCs/>
        </w:rPr>
        <w:t xml:space="preserve">Время.</w:t>
      </w:r>
      <w:r>
        <w:t xml:space="preserve"> </w:t>
      </w:r>
      <w:r>
        <w:t xml:space="preserve">Если выбор в момент еды растягивает раздачу, следует проверить, укладывается ли последняя порция в три часа с момента изготовления, и при необходимости готовить партиями.</w:t>
      </w:r>
    </w:p>
    <w:p>
      <w:pPr>
        <w:pStyle w:val="BodyText"/>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26"/>
    <w:bookmarkStart w:id="127"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является самостоятельным объектом санитарного контроля. Поэтому для каждого варианта учреждение должно располагать следующим:</w:t>
      </w:r>
    </w:p>
    <w:p>
      <w:pPr>
        <w:pStyle w:val="Compact"/>
        <w:numPr>
          <w:ilvl w:val="0"/>
          <w:numId w:val="1008"/>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08"/>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08"/>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разумно отбирать пробу каждого (рекомендация): без пробы одного из вариантов при пищевом отравлении источник не установить;</w:t>
      </w:r>
    </w:p>
    <w:p>
      <w:pPr>
        <w:pStyle w:val="Compact"/>
        <w:numPr>
          <w:ilvl w:val="0"/>
          <w:numId w:val="1008"/>
        </w:numPr>
      </w:pPr>
      <w:r>
        <w:t xml:space="preserve">сведения об аллергенах, если блюдо содержит ингредиенты с аллергенными свойствами (п. 43) [3].</w:t>
      </w:r>
    </w:p>
    <w:p>
      <w:pPr>
        <w:pStyle w:val="FirstParagraph"/>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27"/>
    <w:bookmarkStart w:id="128"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 по 223-ФЗ и своему положению о закупке, за исключением случаев, когда закупка финансируется субсидией на капитальные вложения (ч. 4 ст. 15 44-ФЗ) [55, 56]. В Санкт-Петербурге ДСО «Серафимовский» (автономное учреждение) закупает по 223-ФЗ, а ДСО «Тесовый берег» (бюджетное) — по 44-ФЗ: извещение № 0372200070825000244 от 24.11.2025 о поставке продуктов питания размещено как открытый конкурс [64].</w:t>
      </w:r>
    </w:p>
    <w:p>
      <w:pPr>
        <w:pStyle w:val="BodyText"/>
      </w:pPr>
      <w:r>
        <w:rPr>
          <w:b/>
          <w:bCs/>
        </w:rPr>
        <w:t xml:space="preserve">Выбор и контракт.</w:t>
      </w:r>
      <w:r>
        <w:t xml:space="preserve"> </w:t>
      </w:r>
      <w:r>
        <w:t xml:space="preserve">С введением выбора объёмы отдельных продуктов колеблются: если 40 % жителей выбирают рыбу, рыбы требуется больше, а мяса меньше (сценарий 1). Контракт с жёстко зафиксированными количествами по позициям такой подвижности не выдерживает.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[55].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[55]. Для вариативного меню удобнее первый инструмент, поскольку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[56]. Автономное учреждение может предусмотреть рамочные договоры с ценой единицы и заявочной поставкой. Поэтому 223-ФЗ для выбора гибче, однако эту гибкость задаёт текст положения, а не закон.</w:t>
      </w:r>
    </w:p>
    <w:p>
      <w:pPr>
        <w:pStyle w:val="BodyText"/>
      </w:pPr>
      <w:r>
        <w:rPr>
          <w:b/>
          <w:bCs/>
        </w:rPr>
        <w:t xml:space="preserve">Спецификация.</w:t>
      </w:r>
      <w:r>
        <w:t xml:space="preserve"> </w:t>
      </w:r>
      <w:r>
        <w:t xml:space="preserve">В обоих контурах выбор обеспечивается спецификацией: группами взаимозаменяемых продуктов, пропорциями по статистике выбора, допустимыми заменами. Избыточная детализация (конкретная торговая марка, необоснованные характеристики) способна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при условии, что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 Что вариативное меню может стоять в самом предмете закупки, показывает практика Самарской области: бюджетные учреждения закупают по 44-ФЗ открытым конкурсом «приготовление питания по вариативному меню» с ценой койко-дня (п. 4.10) [94]; содержание их технических заданий доклад не читал, поэтому сопоставить их с восемью строками не может.</w:t>
      </w:r>
    </w:p>
    <w:p>
      <w:pPr>
        <w:pStyle w:val="BodyText"/>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28"/>
    <w:bookmarkStart w:id="129"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Проверяющий оценивает документы и факты, а не намерения. Поэтому до начала пилота целесообразно собрать следующий комплект (рекомендация); перечень сохранён в форме контрольного списка, поскольку служит рабочим инструментом:</w:t>
      </w:r>
    </w:p>
    <w:p>
      <w:pPr>
        <w:pStyle w:val="Compact"/>
        <w:numPr>
          <w:ilvl w:val="0"/>
          <w:numId w:val="1009"/>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Правила внутреннего распорядка ДСО «Серафимовский», утверждённые приказом № 124 [28], таким актом не являются. Они упоминают «зал заказного питания (вариативное меню)» одной фразой о месте приёма пищи. Отдельного положения об организации вариативного питания учреждение в открытом доступе не публикует (п. 4.8). Пример показывает минимум, а не образец.</w:t>
      </w:r>
    </w:p>
    <w:p>
      <w:pPr>
        <w:pStyle w:val="Compact"/>
        <w:numPr>
          <w:ilvl w:val="0"/>
          <w:numId w:val="1009"/>
        </w:numPr>
      </w:pPr>
      <w:r>
        <w:t xml:space="preserve">Утверждённое цикличное меню с указанием вариантов.</w:t>
      </w:r>
    </w:p>
    <w:p>
      <w:pPr>
        <w:pStyle w:val="Compact"/>
        <w:numPr>
          <w:ilvl w:val="0"/>
          <w:numId w:val="1009"/>
        </w:numPr>
      </w:pPr>
      <w:r>
        <w:t xml:space="preserve">Таблица замен с указанием источника и расчёт выполнения норм за период с учётом замен.</w:t>
      </w:r>
    </w:p>
    <w:p>
      <w:pPr>
        <w:pStyle w:val="Compact"/>
        <w:numPr>
          <w:ilvl w:val="0"/>
          <w:numId w:val="1009"/>
        </w:numPr>
      </w:pPr>
      <w:r>
        <w:t xml:space="preserve">Технологические документы на каждый вариант.</w:t>
      </w:r>
    </w:p>
    <w:p>
      <w:pPr>
        <w:pStyle w:val="Compact"/>
        <w:numPr>
          <w:ilvl w:val="0"/>
          <w:numId w:val="1009"/>
        </w:numPr>
      </w:pPr>
      <w:r>
        <w:t xml:space="preserve">Журналы бракеража и суточных проб с записями по каждому варианту.</w:t>
      </w:r>
    </w:p>
    <w:p>
      <w:pPr>
        <w:pStyle w:val="Compact"/>
        <w:numPr>
          <w:ilvl w:val="0"/>
          <w:numId w:val="1009"/>
        </w:numPr>
      </w:pPr>
      <w:r>
        <w:t xml:space="preserve">Учёт выбора: лист заказа (при заказе накануне) или ежедневная статистика распределения выбора.</w:t>
      </w:r>
    </w:p>
    <w:p>
      <w:pPr>
        <w:pStyle w:val="Compact"/>
        <w:numPr>
          <w:ilvl w:val="0"/>
          <w:numId w:val="1009"/>
        </w:numPr>
      </w:pPr>
      <w:r>
        <w:t xml:space="preserve">Протоколы совета (комиссии) по питанию, если такой создан.</w:t>
      </w:r>
    </w:p>
    <w:p>
      <w:pPr>
        <w:pStyle w:val="Compact"/>
        <w:numPr>
          <w:ilvl w:val="0"/>
          <w:numId w:val="1009"/>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Типовые вопросы проверяющего предполагают столь же определённые ответы. На вопрос «почему подают не по меню?» отвечает то, что варианты включены в утверждённое меню; на вопрос «где выполнение норм?» — накопительная ведомость с пересчётом замен; на вопрос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тогда как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29"/>
    <w:bookmarkStart w:id="130"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4.12). Из зарубежных данных известно, что в исследовании Wheeler и соавт. стоимость выросла с 9,20–11,14 до 11,01–12,15 австралийского доллара на жителя в день, а производственные отходы — с 55 до 90 г [95]. Средняя стоимость кейтеринга в австралийских учреждениях составляет 8,00 доллара в день, из них на сырьё приходится 6,08 доллара [127].</w:t>
      </w:r>
    </w:p>
    <w:p>
      <w:pPr>
        <w:pStyle w:val="BodyText"/>
      </w:pPr>
      <w:r>
        <w:rPr>
          <w:b/>
          <w:bCs/>
        </w:rPr>
        <w:t xml:space="preserve">Где возникают затраты (толкование).</w:t>
      </w:r>
      <w:r>
        <w:t xml:space="preserve"> </w:t>
      </w:r>
      <w:r>
        <w:t xml:space="preserve">Затраты на сырьё при парах внутри группы перераспределяются, а не растут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следует проверить собственным замером [95].</w:t>
      </w:r>
    </w:p>
    <w:p>
      <w:pPr>
        <w:pStyle w:val="BodyText"/>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составляет 581,33 руб. в день (кроме ПНИ и ДСО) и 574,43 руб. в день (ПНИ и ДСО) [76]. Если допустить, что организация выбора увеличит расходы на питание на 10–20 % (допущение, близкое к результату Wheeler и соавт. [95]),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4.12) показывают, что стартовый формат вводился и без публично названных дополнительных расходов. Для сопоставления порядков величин: годовой рост тарифа ПНИ и ДСО с 2025 по 2026 г. составил 2,80 руб. в день (571,63 → 574,43) [75, 76], то есть допущенный прирост в 20–40 раз превышает годовую индексацию. Арифметика показывает лишь одно: полный переход крупного учреждения — вопрос учредителя, а не только пищеблока.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dyText"/>
      </w:pPr>
      <w:r>
        <w:rPr>
          <w:b/>
          <w:bCs/>
        </w:rPr>
        <w:t xml:space="preserve">Чего доклад не утверждает.</w:t>
      </w:r>
      <w:r>
        <w:t xml:space="preserve"> </w:t>
      </w:r>
      <w:r>
        <w:t xml:space="preserve">Формулу «вариативность почти бесплатна» доклад «Не просто накормить» из своего текста исключил: стоимость зависит от модели раздачи и устанавливается замером, а без данных нельзя утверждать ни экономию, ни невозможность [22, гл. 29.1]. Настоящий доклад придерживается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эта строка относится к штатному расписанию, а не к продуктовому бюджету,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такова: «отсутствие новой сметы означает отсутствие капитальных затрат на сырьё, но не отсутствие затрат на помощь и оборудование: это отдельные строки». Петербургское сообщение называет именно оборудование и сотрудников [21].</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поэтому выводы делаются по повторяемости замеров, а не по одному из них. Снижение остатков после введения выбора остаётся гипотезой, которую подтверждает лишь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предполагал цикл. ДСО «Серафимовский» как автономное учреждение закупает по 223-ФЗ и своему положению о закупке, причём предметом закупки служат не продукты, а услуга по организации питания (аутсорсинг подтверждён автором [91]; в 2026 г. — договор на год с одним исполнителем, затем краткосрочные закупки в июне — июле, конкурс № 32616197209 на август — декабрь с начальной ценой 92 110 941,90 руб. и договор с другим исполнителем от 17.08.2026 [92, 93]; п. 4.8). Цикличное меню, приложенное к закупочной документации, расписано по вариантам диеты (ОВД, ИП, ОВД2, летний вариант) с одним блюдом на позицию [92], а варианты диеты не являются выбором блюд (п. 1.2). При закупке услуги перераспределение между мясом и рыбой становится заботой исполнителя, но лишь при условии, что варианты и порядок их учёта записаны в техническом задании; при продуктовой закупке по рамочному договору с ценой единицы оно осуществляется заявками без изменения договора (сценарии 6 и 12) [56]. Как выбор закреплён в договоре «Серафимовского», доклад не проверял: техническое задание конкурса № 32616197209 не прочитано и после повторной попытки 07.10.2026, а из открытых карточек известны лишь состав документации и деление предмета на три позиции в человеко-днях (п. 4.8) [92, 93].</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держится на доброй воле исполнителя и исчезает при смене контрагента. Смена контрагента — не гипотеза: в ДСО «Серафимовский» исполнитель услуги питания сменился в середине 2026 г. (договор от 02.12.2025 на год, новый договор от 17.08.2026 по итогам конкурса на август — декабрь) [93]. Всё, что не записано в ТЗ, при такой смене приходится согласовывать заново, а цикл по вариантам диеты из документации без отдельного раздела о выборе блюд выбора не гарантирует (толкование). ДСО «Тесовый берег» как бюджетное учреждение закупает по 44-ФЗ открытым конкурсом [64]; та же задача решается здесь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[55].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фиксируются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30"/>
    <w:bookmarkStart w:id="131"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Настоящая редакция распределяет 90 дней по месяцам так, чтобы первый месяц был отведён на показатели «до», второй — на документы и обучение, а сам выбор начинался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Вспомогательными показателями служат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произвольным.</w:t>
      </w:r>
    </w:p>
    <w:p>
      <w:pPr>
        <w:pStyle w:val="BodyText"/>
      </w:pPr>
      <w:r>
        <w:rPr>
          <w:b/>
          <w:bCs/>
        </w:rPr>
        <w:t xml:space="preserve">Что доказывает пилот.</w:t>
      </w:r>
      <w:r>
        <w:t xml:space="preserve"> </w:t>
      </w:r>
      <w:r>
        <w:t xml:space="preserve">Пилот доказывает, что выбор исполним и безопасен в конкретном учреждении, но не то, как он влияет на пищевой статус: для этого нет контрольной группы и недостаточно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Речь идёт о разных масштабах задачи — перестройке всего дома и пилоте, — а не об ошибке одной из работ.</w:t>
      </w:r>
    </w:p>
    <w:bookmarkEnd w:id="131"/>
    <w:bookmarkStart w:id="132"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исследование Abbey и соавт. показало, что реальный выбор особенно низок у жителей на протёртой пище [99].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этом докладе порядок каналов определён непоследовательно: в гл. 15.4 первым назван зафиксированный в биографии выбор, в гл. 15.9 — текущее выраженное предпочтение [22]. В настоящей редакции расхождение снято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Начать следует с того, чего в праве нет. 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формулирует иначе и точнее: кормление против воли недопустимо в силу ч. 2 ст. 5 Закона № 3185-1 [22]. Распределение утверждений по классам таково: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[145]</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этот доклад заимствует из зарубежной (онтарийской) практики, российской нормой они не являются</w:t>
            </w:r>
          </w:p>
        </w:tc>
      </w:tr>
    </w:tbl>
    <w:p>
      <w:pPr>
        <w:pStyle w:val="BodyText"/>
      </w:pPr>
      <w:r>
        <w:t xml:space="preserve">Отсюда граница для пищеблока и персонала: персонал не кормит силой и не оставляет без помощи, а при отказе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10"/>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10"/>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отдельного производственного процесса.</w:t>
      </w:r>
    </w:p>
    <w:p>
      <w:pPr>
        <w:pStyle w:val="Compact"/>
        <w:numPr>
          <w:ilvl w:val="0"/>
          <w:numId w:val="1010"/>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10"/>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10"/>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10"/>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Протокол не назначает диету, текстуру, обогащение, лекарства и не решает вопроса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Для ПНИ право соблюдать религиозные каноны, включая пост, если это не нарушает внутреннего распорядка, закреплено ч. 2 ст. 37 Закона № 3185-1 в силу ст. 43 [26]. С 01.09.2025 обязанность обеспечивать условия для соблюдения постов возложена на все организации социального обслуживания подп. 15 п. 20 Правил, утверждённых приказом № 305н [27]. В организационном отношении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каким образом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лишь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составляют не более 14 часов (16 часов при перекусе) в США [131] и не более 11 часов в шведских рекомендациях [139]. Доклад «Не просто накормить» использует рабочий ориентир не более 13 часов [22]; это ориентир, а не норма. Выбор блюда не возмещает долгого ночного перерыва: если ужин подаётся в 17:30, а завтрак в 8:30, интервал составляет 15 часов, и это проблема организации режима, а не меню.</w:t>
      </w:r>
    </w:p>
    <w:bookmarkEnd w:id="132"/>
    <w:bookmarkStart w:id="133"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примере одного дня, как учреждение (кроме ПНИ и ДСО,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приводятся по постановлению № 1284 в редакции, действующей с 01.01.2026 [34],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32,5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составляет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(суточная норма птицы с 2026 г. — 22,2 г). В пересчёте на базовый продукт 2,91 кг птицы эквивалентны 2,91 / 0,97 = 3,0 кг говядины, и «мясо с учётом замен» составляет 6,0 + 3,0 = 9,0 кг, то есть ровно план дня (100 × 90 г). Именно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пара гарниров — «картофель или каша» — таблицей, следовательно,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учитывать гарнирные группы раздельно и выравнивать их в остальные дни недели (сценарий 1, способ 2). Первый путь проще всего защитить при проверке (толкование).</w:t>
      </w:r>
    </w:p>
    <w:p>
      <w:pPr>
        <w:pStyle w:val="BodyText"/>
      </w:pPr>
      <w:r>
        <w:rPr>
          <w:b/>
          <w:bCs/>
        </w:rPr>
        <w:t xml:space="preserve">Неделя, а не день.</w:t>
      </w:r>
      <w:r>
        <w:t xml:space="preserve"> </w:t>
      </w:r>
      <w:r>
        <w:t xml:space="preserve">Проверять вариативное меню по одному дню бессмысленно: в день, когда птицы нет в плане, любой выбор птицы выглядит «перерасходом». Контроль ведётся по накопительной ведомости за неделю или декаду (п. 3.15). Чтобы недельная ведомость сходилась без пересчёта, пары между группами (мясо — птица) должны чередоваться с днями, где птица и без того заложена, а их доли — подтверждаться статистикой выбора за предыдущие недели (сценарий 3).</w:t>
      </w:r>
    </w:p>
    <w:p>
      <w:pPr>
        <w:pStyle w:val="BodyText"/>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33"/>
    <w:bookmarkStart w:id="134"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[56]. Закупка продуктов для питания проживающих осуществляется ради оказания услуги конкретным получателям, то есть для нужд самого учреждения, и по логике постановления АС Дальневосточного округа № Ф03-3556/25 остаётся в контуре 223-ФЗ (толкование; определение ВС от 28.01.2026 № 303-ЭС25-15393 об отказе в передаче жалобы позиции по существу спора не содержит) [58, 62, 63].</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равна произведению нормы, числа жителей и числа дней. Для 100 жителей на 91 день это составляет: мясо 90 г × 100 × 91 = 819 кг нетто, рыба 32,5 г × 100 × 91 ≈ 296 кг нетто (иллюстративная арифметика по нормам № 1284 в ред. с 01.01.2026 для учреждений, кроме ПНИ и ДСО [34]). Если поставщик продаёт брутто, объём закупки пересчитывается учреждением по собственным коэффициентам отходов; для иллюстрации по коэффициентам ленинградского приказа (мясо 0,705, рыба 0,550 [46]) это около 1 162 кг мяса и 538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а рыбы — увеличится примерно на 147 кг (+49,7 %) (иллюстративная арифметика: 13 × 9,0 кг и 13 × 11,3 кг). Такой сдвиг не умещается в 10-процентный коридор изменения количества по 44-ФЗ (подп. «б» п. 1 ч. 1 ст. 95) [55], и это главный довод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Целесообразная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строке «мясо» № 1284 [34]) и устанавливаются цена единицы и максимальная сумма договора, 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Той же логике следуют шведские национальные рекомендации, где «базовое меню» с несколькими блюдами на выбор служит одновременно основой расчёта пищевой ценности на уровне группы и основой закупки [139].</w:t>
      </w:r>
    </w:p>
    <w:p>
      <w:pPr>
        <w:pStyle w:val="BodyText"/>
      </w:pPr>
      <w:r>
        <w:rPr>
          <w:b/>
          <w:bCs/>
        </w:rPr>
        <w:t xml:space="preserve">Шаг 4. Что записать в положение о закупке.</w:t>
      </w:r>
      <w:r>
        <w:t xml:space="preserve"> </w:t>
      </w:r>
      <w:r>
        <w:t xml:space="preserve">В положении следует предусмотреть возможность рамочного договора с ценой единицы и заявочной поставкой, порядок изменения количества по отдельным позициям в пределах цены договора и основание для закупки у единственного поставщика при срыве поставки (если положение это допускает). Без этих пунктов гибкость 223-ФЗ остаётся на бумаге, поскольку её задаёт текст положения, а не закон [56].</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[68, 69]. Связь размера лота с риском сговора — толкование, однако дробление лотов по группам продуктов служит одновременно и вариативному меню, и конкуренции. Обратный риск — искусственное дробление ради ухода от конкурентных процедур; критерии допустимого дробления устанавливают положение о закупке и практика контролирующих органов, в докладе не анализировавшаяся.</w:t>
      </w:r>
    </w:p>
    <w:p>
      <w:pPr>
        <w:pStyle w:val="BodyText"/>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34"/>
    <w:bookmarkStart w:id="135"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[48]. Таблица показывает,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[48]</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проверит технологические документы на каждый вариант (п. 11), бракераж (подп. 13 п. 56), время с момента изготовления до раздачи (п. 32) и отсутствие реализации остатков (п. 32) [3]. Роструд — для государственной организации субъекта, орган субъекта — для негосударственного поставщика (п. 8.3–8.4) — проверят выполнение норм питания по ведомости, условия для соблюдения поста (подп. 15 п. 20 Правил, утверждённых приказом № 305н) и соответствие организации питания порядку предоставления услуг (вопросы 64, 75, 65 проверочного листа) [27, 39]. Учредитель потребует обоснования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обнаруживаются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лишь в ходе проверки, а на омлет существовали две карты с разной рецептурой; при закладке продукты недокладывались (маргарин в омлет, сахар в какао) и заменялись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Вывод для вариативного меню прост: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dyText"/>
      </w:pPr>
      <w:r>
        <w:rPr>
          <w:b/>
          <w:bCs/>
        </w:rPr>
        <w:t xml:space="preserve">Открытый вопрос для автора и РГ.</w:t>
      </w:r>
      <w:r>
        <w:t xml:space="preserve"> </w:t>
      </w:r>
      <w:r>
        <w:t xml:space="preserve">Вопрос о том, отбирать ли суточную пробу каждого варианта на собственном пищеблоке организации социального обслуживания при отсутствии прямой нормы об этом для таких организаций в разделе VII СанПиН 4282-26 (п. 2.7, сценарий 5), оставлен открытым по решению автора; повторная сверка текста СанПиН 06.10.2026 прямой нормы не выявила. Нижегородское положение отвечает на него положительно для единого меню («от каждой партии… отдельно каждое блюдо») [48]; если вариант рассматривается как самостоятельное блюдо, тот же локальный принцип распространяется на него без новой нормы.</w:t>
      </w:r>
    </w:p>
    <w:p>
      <w:pPr>
        <w:pStyle w:val="BodyText"/>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35"/>
    <w:bookmarkStart w:id="136"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FirstParagraph"/>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содержит стандарт DGE [137]. Порционирование в отделении допускается лишь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[48].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составляло 35–42 минуты на жителя за приём пищи против 5–9 минут при обычном уходе, перекус между приёмами — 12–13 минут [123–126].</w:t>
      </w:r>
    </w:p>
    <w:p>
      <w:pPr>
        <w:pStyle w:val="BodyText"/>
      </w:pPr>
      <w:r>
        <w:rPr>
          <w:b/>
          <w:bCs/>
        </w:rPr>
        <w:t xml:space="preserve">Иллюстрация (условное отделение на 60 жителей).</w:t>
      </w:r>
      <w:r>
        <w:t xml:space="preserve"> </w:t>
      </w:r>
      <w:r>
        <w:t xml:space="preserve">Допустим, что 40 жителей едят самостоятельно и подходят к линии, 14 нуждаются в подсказке и присутствии сотрудника, 6 —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способно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[123–126]). В трёхчасовое окно п. 32 при этом укладываются 4–5 сотрудников, занятых исключительно помощью при еде (иллюстративная арифметика: 700–840 мин / 180 мин). Это не норматив, а проверка реалистичности: если у отделения такого ресурса нет, выбор для этих 20 жителей сведётся к выбору, сделанному за них.</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что составляет менее половины нижней границы времени помощи (35 минут), при которой в американских исследованиях рос объём съеденного [123–126]. Сопоставление условно, поскольку исследования измеряли иное вмешательство и иную группу жителей (толкование). Однако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Приём пищи целесообразно разделить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следует переносить на момент, когда для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[124, 126]. Штатные нормативы российских учреждений доклад не анализировал; расчёт показывает лишь, что выбор для зависимых жителей — вопрос кадров, а не кулинарии.</w:t>
      </w:r>
    </w:p>
    <w:p>
      <w:pPr>
        <w:pStyle w:val="BodyText"/>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36"/>
    <w:bookmarkStart w:id="137"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Почему это отдельный сценарий.</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[104], в австралийских выбор был особенно низок у жителей на протёртой пище [99]. Для ПНИ и ДСО, где многие жители не говорят или говорят с трудом, этот вопрос не второстепенен.</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их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[137]; лондонские дома — сбор предпочтений при поступлении [104];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[137]</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[139]</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содержит источник сведений и дату (биография — родственник, 03.2026), результаты наблюдения (за 10 обедов с показом двух вариантов — выбор рыбного блюда 7 раз, отказ от второго блюда 1 раз), вывод на ближайший месяц и дату пересмотра. Карта прилагается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лишь в их пределах.</w:t>
      </w:r>
    </w:p>
    <w:p>
      <w:pPr>
        <w:pStyle w:val="BodyTex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[143]. Наблюдаемый отказ (отодвинутая порция, сжатые губы) также является выражением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Доклад «Не просто накормить» называет четыре канала воли — показ двух порций, наблюдение за съеденным, пищевую биографию, сведения близких [22], — но в двух местах располагает их в разном порядке. Противоречие снимается, если различать, может ли житель выразить предпочтение в данный момент.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Правовой опорой этого порядка служит не норма о питании (её нет), а общие положения. Согласно п. 2 ст. 29 ГК РФ,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[146]; это норма о сделках, которую для бытового выбора доклад применяет как ориентир порядка (толкование). Согласно п. 4 ст. 12 Конвенции о правах инвалидов, меры, связанные с реализацией правоспособности, должны ориентироваться на «уважение прав, воли и предпочтений лица» [37]. Выбор блюда на раздаче не является ни сделкой, ни медицинским вмешательством, и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неговорящего жителя — сотрудник, законный представитель или комиссия — и как часто он пересматривается; изложенный порядок каналов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пищеблок не решает самостоятельно.</w:t>
      </w:r>
    </w:p>
    <w:p>
      <w:pPr>
        <w:pStyle w:val="Compact"/>
        <w:numPr>
          <w:ilvl w:val="0"/>
          <w:numId w:val="1011"/>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означает: подавать компоненты раздельно, если житель так ест; показывать оба варианта рядом и в одинаковой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1"/>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Для ПНИ это право по ч. 2 ст. 37 в силу ст. 43 Закона № 3185-1 [26], для всех организаций — обязанность по подп. 15 п. 20 Правил № 305н обеспечивать условия для соблюдения постов [27] (</w:t>
      </w:r>
      <w:r>
        <w:rPr>
          <w:b/>
          <w:bCs/>
        </w:rPr>
        <w:t xml:space="preserve">норма</w:t>
      </w:r>
      <w:r>
        <w:t xml:space="preserve">). Логистика включает маркировку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1"/>
        </w:numPr>
      </w:pPr>
      <w:r>
        <w:rPr>
          <w:i/>
          <w:iCs/>
        </w:rPr>
        <w:t xml:space="preserve">Текстура по шкале IDDSI</w:t>
      </w:r>
      <w:r>
        <w:t xml:space="preserve"> </w:t>
      </w:r>
      <w:r>
        <w:t xml:space="preserve">(уровни 0–7, п. 6.11) [144]: если врач назначил жителю определённый уровень, пищеблок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ошибся. Уровень назначает не пищеблок и не доклад; шкала служит здесь общим языком маркировки для врача, пищеблока и раздачи (рекомендация).</w:t>
      </w:r>
    </w:p>
    <w:p>
      <w:pPr>
        <w:pStyle w:val="FirstParagraph"/>
      </w:pPr>
      <w:r>
        <w:t xml:space="preserve">Граница «пищеблок ≠ клиника» не сдвигается: ни один из приведённых пунктов не является медицинской рекомендацией.</w:t>
      </w:r>
    </w:p>
    <w:p>
      <w:pPr>
        <w:pStyle w:val="BodyText"/>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37"/>
    <w:bookmarkStart w:id="138"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С 01.09.2025 организации социального обслуживания обязаны обеспечивать условия для соблюдения постов (подп. 15 п. 20 Правил, утверждённых приказом № 305н) [27]; для ПНИ право соблюдать религиозные каноны, включая пост, если это не нарушает внутреннего распорядка, закреплено ч. 2 ст. 37 Закона № 3185-1 [26]. Какие ограничения соблюдать, решает сам житель; учреждение не определяет за него, какой пост и насколько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2"/>
        </w:numPr>
      </w:pPr>
      <w:r>
        <w:rPr>
          <w:b/>
          <w:bCs/>
        </w:rPr>
        <w:t xml:space="preserve">Рыбные дни.</w:t>
      </w:r>
      <w:r>
        <w:t xml:space="preserve"> </w:t>
      </w:r>
      <w:r>
        <w:t xml:space="preserve">По приложению № 11 100 г говядины заменяются 125 г трески [3], и порция трески составляет 75 × 1,25 ≈ 94 г. За неделю это даёт −1,8 кг мяса и +2,25 кг рыбы (12 × 75 г × 2 и 12 × 94 г × 2). Замена предусмотрена таблицей и отражается в ведомости строкой «с учётом замен» (сценарий 11).</w:t>
      </w:r>
    </w:p>
    <w:p>
      <w:pPr>
        <w:pStyle w:val="Compact"/>
        <w:numPr>
          <w:ilvl w:val="0"/>
          <w:numId w:val="1012"/>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и, следовательно, увеличивает её расход, тогда как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2"/>
        </w:numPr>
      </w:pPr>
      <w:r>
        <w:rPr>
          <w:b/>
          <w:bCs/>
        </w:rPr>
        <w:t xml:space="preserve">Масштаб.</w:t>
      </w:r>
      <w:r>
        <w:t xml:space="preserve"> </w:t>
      </w:r>
      <w:r>
        <w:t xml:space="preserve">В целом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потребует объяснения.</w:t>
      </w:r>
    </w:p>
    <w:p>
      <w:pPr>
        <w:pStyle w:val="FirstParagraph"/>
      </w:pPr>
      <w:r>
        <w:rPr>
          <w:b/>
          <w:bCs/>
        </w:rPr>
        <w:t xml:space="preserve">Как оформить (рекомендация).</w:t>
      </w:r>
      <w:r>
        <w:t xml:space="preserve"> </w:t>
      </w:r>
      <w:r>
        <w:t xml:space="preserve">Локальный акт о питании должен содержать пункт о порядке заявления жителем о соблюдении поста и о перечне постных вариантов; меню периода — постные блюда как варианты, а не как отдельную «постную кухню» (сценарий 10); ведомость — отдельную строку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необходимы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Пробел, который вскрывает сценарий.</w:t>
      </w:r>
      <w:r>
        <w:t xml:space="preserve"> </w:t>
      </w:r>
      <w:r>
        <w:t xml:space="preserve">Федеральной таблицей замен, на которую ссылаются учреждения, невозможно сбалансировать исполнение обязанности по приказу №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тогда как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 Официальных разъяснений о соотношении поста и норм питания по состоянию на 06.10.2026 не обнаружено.</w:t>
      </w:r>
    </w:p>
    <w:p>
      <w:pPr>
        <w:pStyle w:val="BodyText"/>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38"/>
    <w:bookmarkStart w:id="139"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предполагают измерения, тогда как российские кейсы (п. 4.12) их не публикуют. Отчасти это объясняется тем, что в отечественном социальном обслуживании нет общепринятых инструментов, оценивающих питание с точки зрения жителя. В зарубежной литературе такие инструменты существуют; ниже рассмотрены те, чьи свойства проверены по публикациям, с оценкой применимости. Валидированных русскоязычных версий найти не удалось, поэтому их использование в российском учреждении представляет собой адаптацию, а не готовую методику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различных предмета, смешивать которые недопустимо: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измеряющее лишь первое, знает, что популярно, но не знает, что съедено; учреждение, измеряющее лишь удовлетворённость, не заметит, что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[116].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цвет посуды оказался связан с разной долей несъеденного: от 26 % на белой тарелке до 9 % на белой тарелке с жёлтым ободком и красным кольцом [116]. Результат приводится не как совет приобретать цветную посуду, а как напоминание о том, что при сравнении «до» и «после» внедрения выбора посуда, порция и способ подачи должны оставаться неизменными;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[147]. Вариативное меню затрагивает сразу три из них, поэтому эффект его внедрения невозможно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Под ними понимается масса блюд, приготовленных, но не розданных. Именно этот показатель вырос в исследовании Wheeler и соавт. при переходе к выбору в момент еды (с 55 до 90 г на жителя в день) [95]. Российскому учреждению измерить его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нельзя отличить ситуацию «вариант Б непопулярен» от ситуации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[148]. Wright и соавт. использовали Resident Foodservice Satisfaction Questionnaire и связали удовлетворённость с числом вариантов и временем между выбором и подачей [98]. Wheeler и соавт. ограничились пятибалльной шкалой Лайкерта [95]. Для российского учреждения, где значительная часть жителей не в состоянии заполнить многостраничную анкету, реалистичны короткая шкала из нескольких вопросов, заполняемая самим жителем или сотрудником с его слов,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это пример упрощённого инструмента изучения предпочтений, однако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[149]. Опросник дополняет анкеты для жителей и персонала, разработанные той же университетской группой [149]. Русскоязычной версии нет; для учреждения ценна сама идея — опрашивать родственников отдельно и раздельно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ставят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[139].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[137]. Вместе с тем расчёт фактически съеденного по меню и отходам систематически завышает потребление — в японском исследовании CLEVER в среднем на 232 ккал в сутки (15,3 %) по сравнению с методом дважды меченой воды [118]. Снижение возвратов после введения выбора служит доводом в пользу выбора, но не доказывает,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заполняемый обученным наблюдателем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практиками, в большей мере ориентированными на отношения, в общих отделениях, но не в отделениях для людей с деменцией; авторы предполагают, что там решающую роль играет подготовка персонала [150].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[151]. Вывод для российского ДСО прост: изменения среды приёма пищи поддаются наблюдению по чек-листу, который учреждение может вести собственными силами,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в набор потому, что учреждение её уже ведёт; толкует её врач. Научного исследования эти показатели не образуют: без контрольной группы и при малой выборке они показывают направление изменений и позволяют заметить вред, но не доказывают эффекта выбора.</w:t>
      </w:r>
    </w:p>
    <w:bookmarkEnd w:id="139"/>
    <w:bookmarkStart w:id="140" w:name="выводы-по-главе-7"/>
    <w:p>
      <w:pPr>
        <w:pStyle w:val="Heading2"/>
      </w:pPr>
      <w:r>
        <w:rPr>
          <w:rStyle w:val="SectionNumber"/>
        </w:rPr>
        <w:t xml:space="preserve">7.19</w:t>
      </w:r>
      <w:r>
        <w:tab/>
      </w:r>
      <w:r>
        <w:t xml:space="preserve">Выводы по главе 7</w:t>
      </w:r>
    </w:p>
    <w:p>
      <w:pPr>
        <w:pStyle w:val="FirstParagraph"/>
      </w:pPr>
      <w:r>
        <w:t xml:space="preserve">Шестнадцать сценариев показывают, что вариативное меню может быть организовано в границах действующего права, но каждое из его звеньев требует собственного документального основания. Главная трудность лежит не в санитарных правилах, которые выбора не запрещают, а в согласовании выбора с групповыми нормами питания: пары внутри одной группы продуктов норму не затрагивают, пары между группами требуют утверждённой учреждением таблицы замен и контроля по накопительной ведомости, причём федеральная таблица не покрывает ни пары «картофель — крупа», ни растительного эквивалента мяса, необходимого для поста. Выбор переносится в закупку через спецификацию по группам нормы и механизм цены единицы, а при аутсорсинге существует лишь в той мере, в какой записан в техническом задании. Стоимость выбора распадается на сырьевую строку, труд помощи и оборудование, и именно время персонала определяет, дойдёт ли выбор до жителей, которых кормят или которые не могут выразить предпочтение словами; для них предложен порядок каналов воли, опирающийся не на норму о питании, а на общие положения о предпочтениях лица. Измерить результат учреждение может минимальным набором показателей, разделяющим выбранное, съеденное, оценённое и среду приёма пищи. Открытыми остаются вопросы о суточной пробе каждого варианта, о фиксации вывода карты предпочтений и о судьбе иллюстрации масштаба затрат. Как эти решения выглядят с позиции проверяющего, рассматривает глава 8.</w:t>
      </w:r>
    </w:p>
    <w:bookmarkEnd w:id="140"/>
    <w:bookmarkEnd w:id="141"/>
    <w:bookmarkStart w:id="159" w:name="контроль-кто-и-что-проверяет"/>
    <w:p>
      <w:pPr>
        <w:pStyle w:val="Heading1"/>
      </w:pPr>
      <w:r>
        <w:rPr>
          <w:rStyle w:val="SectionNumber"/>
        </w:rPr>
        <w:t xml:space="preserve">8</w:t>
      </w:r>
      <w:r>
        <w:tab/>
      </w:r>
      <w:r>
        <w:t xml:space="preserve">Контроль: кто и что проверяет</w:t>
      </w:r>
    </w:p>
    <w:bookmarkStart w:id="142"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каждый из которых исследует собственный предмет. Большинство конфликтов при проверках возникает из смешения предметов контроля: учреждение отвечает санитарному инспектору о качестве социальной услуги, а ведомственному контролёру — о санитарных нормах. Поэтому глава последовательно разграничивает органы по предмету и показывает, какой вопрос о выборе каждый из них вправе поставить.</w:t>
      </w:r>
    </w:p>
    <w:bookmarkEnd w:id="142"/>
    <w:bookmarkStart w:id="143"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Предметом надзора является соблюдение обязательных требований СанПиН 4282-26 и иных санитарных правил: приём продукции, условия хранения, поточность, температурный режим,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однако каждое блюдо проверяется по общим правилам (сценарий 5). Ответственность наступает по ст. 6.6 КоАП (п. 2.11).</w:t>
      </w:r>
    </w:p>
    <w:bookmarkEnd w:id="143"/>
    <w:bookmarkStart w:id="144"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лиц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вступившему в силу 01.07.2021 [152]. Предмет контроля в обоих случаях един: соблюдение требований 442-ФЗ, иных федеральных актов и актов субъекта, регулирующих социальное обслуживание, а следовательно, и региональных норм питания (ч. 2 ст. 33 442-ФЗ; п. 2 Положения) [24, 152].</w:t>
      </w:r>
    </w:p>
    <w:p>
      <w:pPr>
        <w:pStyle w:val="BodyText"/>
      </w:pPr>
      <w:r>
        <w:rPr>
          <w:b/>
          <w:bCs/>
        </w:rPr>
        <w:t xml:space="preserve">Исправление.</w:t>
      </w:r>
      <w:r>
        <w:t xml:space="preserve"> </w:t>
      </w:r>
      <w:r>
        <w:t xml:space="preserve">В предыдущей версии главы региональный государственный контроль был описан как надзор за государственными домами-интернатами субъекта. Для государственных учреждений это неверно с 01.07.2021: проверяющим органом является Роструд, тогда как орган субъекта выступает учредителем (п. 8.5). Для Санкт-Петербурга то же следует из постановления Правительства Санкт-Петербурга от 14.12.2021 № 985: предметом регионального контроля Комитета по социальной политике служит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[153]. Расхождение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[39].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[39]. Косвенно к питанию относятся вопросы 65 (соблюдение порядка предоставления социальных услуг) и 70 (предоставление услуг в объёмах не менее установленных стандартом) [39].</w:t>
      </w:r>
    </w:p>
    <w:p>
      <w:pPr>
        <w:pStyle w:val="BodyText"/>
      </w:pPr>
      <w:r>
        <w:t xml:space="preserve">Для вариативного меню отсюда вытекают три вывода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лишь однажды — в вопросе 46, применительно к размещению по спальням [39], что воспроизводит асимметрию самих Правил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исчерпывает проверки: приказ прямо оговаривает, что выездные проверки не сводятся к вопросам листа [39].</w:t>
      </w:r>
    </w:p>
    <w:bookmarkEnd w:id="144"/>
    <w:bookmarkStart w:id="145"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предметом служат те же обязательные требования, включая региональные нормы питания, но в отношении негосударственных организаций и индивидуальных предпринимателей [24, 153]. Для вариативного меню различие существенно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45"/>
    <w:bookmarkStart w:id="146"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изменяет структуру расходов на питание, штат или оборудование. Для государственного дома-интерната субъекта учредителем является тот же орган, который в отношении негосударственных поставщиков осуществляет региональный контроль, — в Санкт-Петербурге Комитет по социальной политике (п. 1.3 Положения по постановлению № 985) [153]. Петербургское сообщение о вариативном меню прозвучало на заседании рабочей группы при Комитете по социальной политике [21]; такой формат, при котором учредитель извещён и практика с ним обсуждается, снижает риск того, что её примут за самовольное отступление от порядка.</w:t>
      </w:r>
    </w:p>
    <w:bookmarkEnd w:id="146"/>
    <w:bookmarkStart w:id="147"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После отмены полномочия Управления социального питания Санкт-Петербурга по региональному контролю за соблюдением норм питания (п. 8.3) [153] у Управления сохранилась иная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[154]. Это не государственный контроль (надзор) по 248-ФЗ, а оценка с рекомендациями и мониторингом их исполнения (толкование по тексту отчёта). Независимой научной или экспертной оценки этой процедуры обнаружить не удалось (повторный поиск — 06.10.2026).</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[154]. Учреждению присваивается категория: высшая (100 баллов), 1-я (85–99), 2-я (60–84), 3-я (30–59), 4-я (менее 30) [154].</w:t>
      </w:r>
    </w:p>
    <w:p>
      <w:pPr>
        <w:pStyle w:val="BodyText"/>
      </w:pPr>
      <w:r>
        <w:rPr>
          <w:b/>
          <w:bCs/>
        </w:rPr>
        <w:t xml:space="preserve">Результаты.</w:t>
      </w:r>
      <w:r>
        <w:t xml:space="preserve"> </w:t>
      </w:r>
      <w:r>
        <w:t xml:space="preserve">За первое полугодие 2025 г. проведено 418 оценок, в том числе 15 в учреждениях социального обслуживания населения, из которых 7 получили 1-ю категорию и 8 — 2-ю; средний балл учреждений социального обслуживания (83,83) оказался самым низким среди всех типов учреждений при общем среднем 88,02 [154]. По всем учреждениям выдано 1 564 рекомендации, 232 из них связаны с технологией приготовления, причём среди оснований названы ошибки в технологической документации и бракеражном журнале и «факты несоответствия ежедневных меню цикличному меню» [154]. Учреждения по итогам претензионной работы выставили поставщикам штрафы на 1 754 034,89 руб. за полугодие [154].</w:t>
      </w:r>
    </w:p>
    <w:p>
      <w:pPr>
        <w:pStyle w:val="BodyText"/>
      </w:pPr>
      <w:r>
        <w:t xml:space="preserve">Для вариативного меню из этой процедуры следуют два вывода (толкование). Во-первых,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тогда как аналогичного механизма участия жителей учреждений социального обслуживания отчёт не описывает [154]. Во-вторых, несоответствие ежедневного меню цикличному фиксируется как недочёт. Поэтому учреждению, вводящему выбор, следует оформлять варианты внутри утверждённого цикличного меню (оба — позициями цикла), а не как отступление от него; в противном случае вариативность предстанет в отчёте нарушением (рекомендация; противоречие внесено в гл. 9).</w:t>
      </w:r>
    </w:p>
    <w:bookmarkEnd w:id="147"/>
    <w:bookmarkStart w:id="148"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Примером служит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Предметом такой проверки являются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ещё один контролёр, перед которым каждая замена должна иметь документальное основание (сценарий 13).</w:t>
      </w:r>
    </w:p>
    <w:bookmarkEnd w:id="148"/>
    <w:bookmarkStart w:id="150"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[66]. Прокурорский надзор может быть обращён в обе стороны: на качество питания и на соблюдение прав жителей, предусмотренных ст. 9 442-ФЗ и (для ПНИ) ст. 37 Закона № 3185-1.</w:t>
      </w:r>
    </w:p>
    <w:bookmarkStart w:id="149" w:name="Xe40d101577e9fb5332631863d0a906419103f5e"/>
    <w:p>
      <w:pPr>
        <w:pStyle w:val="Heading3"/>
      </w:pPr>
      <w:r>
        <w:rPr>
          <w:rStyle w:val="SectionNumber"/>
        </w:rPr>
        <w:t xml:space="preserve">8.8.1</w:t>
      </w:r>
      <w:r>
        <w:tab/>
      </w:r>
      <w:r>
        <w:t xml:space="preserve">Правовая позиция учреждения: как отвечать на запрос прокурора</w:t>
      </w:r>
    </w:p>
    <w:p>
      <w:pPr>
        <w:pStyle w:val="FirstParagraph"/>
      </w:pPr>
      <w:r>
        <w:rPr>
          <w:b/>
          <w:bCs/>
        </w:rPr>
        <w:t xml:space="preserve">Какие составы могут быть вменены (норма).</w:t>
      </w:r>
      <w:r>
        <w:t xml:space="preserve"> </w:t>
      </w:r>
      <w:r>
        <w:t xml:space="preserve">Ст. 6.6 КоАП является специальной нормой (нарушение санитарно-эпидемиологических требований к организации питания населения), ст. 6.3 КоАП — общей (нарушение законодательства о санитарно-эпидемиологическом благополучии) (п. 2.11) [65]. К претензиям к питанию в стационаре применяется ст. 6.6 [66]. Ни один из этих составов не предусматривает ответственности за наличие второго варианта блюда; оба наказывают за нарушение санитарных требований к поданному. Нарушение региональных норм питания (количества и состава рациона) составляет отдельный предмет —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обнаружено; реестр судебной практики проекта (case_law_registry.csv) содержит две незаполненные строки со статусом «не верифицировано» [23]. Ссылаться на «сложившуюся практику» в каком бы то ни было направлении нельзя.</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dyText"/>
      </w:pPr>
      <w:r>
        <w:rPr>
          <w:b/>
          <w:bCs/>
        </w:rPr>
        <w:t xml:space="preserve">Чего не говорить</w:t>
      </w:r>
      <w:r>
        <w:t xml:space="preserve"> </w:t>
      </w:r>
      <w:r>
        <w:t xml:space="preserve">(по [22, гл. 32.4]). Формула «так теперь везде» неверна и доводом не является; ссылка «нам разрешил диетолог» уязвима, поскольку такой должности может не быть в штате; утверждение «жители сами захотели» без документа непроверяемо; тезис «принудительное кормление запрещено законом» ошибочен, так как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и согласия на него не требуется ни от жителя как юридического акта, ни от опекуна [22, гл. 16.3]. Отсюда три формулировки, которых в документах учреждения следует избегать. Первая — «с согласия недееспособного» как юридическое основание чего бы то ни было: сделки за недееспособного совершает опекун с учётом его мнения (п. 2 ст. 29 ГК РФ) [146]. Вторая — «недееспособный дал согласие на диету / зондовое питание / ограничение рациона»: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[145], и подменять его записью о «согласии» жителя нельзя. Третья — «согласие недееспособного на участие в вариативном меню»: согласие не требуется, а подобная строка создаёт видимость, будто без неё выбор незаконен.</w:t>
      </w:r>
    </w:p>
    <w:p>
      <w:pPr>
        <w:pStyle w:val="BodyText"/>
      </w:pPr>
      <w:r>
        <w:t xml:space="preserve">Корректная формула локального акта такова: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49"/>
    <w:bookmarkEnd w:id="150"/>
    <w:bookmarkStart w:id="151"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её территориальные органы контролируют закупки и выявляют картели на торгах продуктами (п. 2.11) [68, 69]. Для вариативного меню риск состоит в том, что спецификацию, составленную под конкретный вариант блюда, сочтут ограничивающей конкуренцию.</w:t>
      </w:r>
    </w:p>
    <w:bookmarkEnd w:id="151"/>
    <w:bookmarkStart w:id="152"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однако формируют публичную репутацию учреждения,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[78], а не в организациях социального обслуживания взрослых (п. 3.2).</w:t>
      </w:r>
    </w:p>
    <w:bookmarkEnd w:id="152"/>
    <w:bookmarkStart w:id="153"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на котором вариативное меню видно ежедневно. Опыт Усть-Илимска и «Доброго дома „Солнечногорский“» показывает, что коллегиальный орган по питанию принимает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проверку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суточную пробу от каждой партии; раздачу не позднее двух часов после приготовления [48]. Все эти процедуры переносятся на вариативное меню без изменения сути и лишь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ограничен кашей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[137]. Для внутреннего контроля вариативного меню это естественный показатель: возвраты по каждому варианту показывают, что выбирают и что не доедают. Предел показателю устанавливает японское исследование CLEVER, в котором расчёт потребления по рецептурам и отходам завышал фактическое потребление в среднем на 15,3 % [118]; поэтому низкие возвраты не доказывают достаточности питания конкретного жителя (п. 5.9).</w:t>
      </w:r>
    </w:p>
    <w:bookmarkEnd w:id="153"/>
    <w:bookmarkStart w:id="154"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не строгостью, а предметом: проверяется, как учреждение отвечает на волю жителя, и проверяется это в реальном приёме пищи.</w:t>
      </w:r>
    </w:p>
    <w:p>
      <w:pPr>
        <w:pStyle w:val="BodyText"/>
      </w:pPr>
      <w:r>
        <w:t xml:space="preserve">В США инспектор наблюдает раздачу с первого приёма пищи после прибытия и при отказе жителя от блюда устанавливает, предложена ли замена; он опрашивает жителей о соответствии еды их предпочтениям, а персонал — о том, как сведения о предпочтениях доходят до пищеблока, и при выявлении нарушения проверяет, учтены ли предпочтения в оценке и плане ухода [132, 133]. В Онтарио 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[135]. В Англии 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[129]. В Швеции 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[139]. В Дании 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[140]. В Японии для «особого питания» по выбору проверяемы формальные гарантии — публичное объявление содержания и цены, согласие, подтверждение врача, отсутствие ухудшения обычного питания [143].</w:t>
      </w:r>
    </w:p>
    <w:p>
      <w:pPr>
        <w:pStyle w:val="BodyText"/>
      </w:pPr>
      <w:r>
        <w:t xml:space="preserve">Ни одна из этих процедур не требует определённого числа блюд. Их общий знаменатель — наблюдение приёма пищи, опрос жителя и проверка связи между записанным предпочтением и поданным (толкование).</w:t>
      </w:r>
    </w:p>
    <w:bookmarkEnd w:id="154"/>
    <w:bookmarkStart w:id="155"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предстоит создать самостоятельно. Ниже приведены вопросы, составленные по образцу американской формы CMS-20053 и онтарийского протокола [133, 135] и привязанные к российским основаниям там, где они имеются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[135]</w:t>
            </w:r>
          </w:p>
        </w:tc>
        <w:tc>
          <w:tcPr/>
          <w:p>
            <w:pPr>
              <w:pStyle w:val="Compact"/>
            </w:pPr>
            <w:r>
              <w:t xml:space="preserve">Вопрос 17 проверочного листа Роструда — открытость информации об условиях питания [39]</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[133, 135]</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[132, 133]</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[133, 135]</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[135]</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[133]</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[135]</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[132]</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39]</w:t>
            </w:r>
          </w:p>
        </w:tc>
      </w:tr>
    </w:tbl>
    <w:p>
      <w:pPr>
        <w:pStyle w:val="BodyText"/>
      </w:pPr>
      <w:r>
        <w:t xml:space="preserve">Ответы фиксируются по одному наблюдению на отделение в неделю (рекомендация). Чек-лист дополняет, но не заменяет бракераж, взвешивание порций и суточную пробу.</w:t>
      </w:r>
    </w:p>
    <w:bookmarkEnd w:id="155"/>
    <w:bookmarkStart w:id="156"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на вопросы разных контролёров. Таблица показывает, какое звено на чей вопрос отвечает (толкование; формы — по нижегородскому положению [48]).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[39]</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[48]</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[137]</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[39]</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[39]</w:t>
            </w:r>
          </w:p>
        </w:tc>
        <w:tc>
          <w:tcPr/>
          <w:p>
            <w:pPr>
              <w:pStyle w:val="Compact"/>
            </w:pPr>
            <w:r>
              <w:t xml:space="preserve">—</w:t>
            </w:r>
          </w:p>
        </w:tc>
        <w:tc>
          <w:tcPr/>
          <w:p>
            <w:pPr>
              <w:pStyle w:val="Compact"/>
            </w:pPr>
            <w:r>
              <w:t xml:space="preserve">Пересмотр меню</w:t>
            </w:r>
          </w:p>
        </w:tc>
      </w:tr>
    </w:tbl>
    <w:bookmarkEnd w:id="156"/>
    <w:bookmarkStart w:id="157"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С 01.09.2025 обязанность обеспечивать условия для соблюдения постов закреплена в подп. 15 п. 20 Правил по приказу № 305н [27], а с 24.02.2026 она прямо включена в проверочный лист Роструда как вопрос 75 [39].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 Вместе с тем вопрос 64 того же листа проверяет выполнение региональных норм питания [39],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Таким образом, два вопроса одного проверочного листа могут требовать от учреждения трудно совместимого —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включает список жителей, заявивших о соблюдении поста (с датой и подписью или отметкой о способе выражения воли); постный вариант в утверждённом меню; накопительную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57"/>
    <w:bookmarkStart w:id="158" w:name="выводы-по-главе-8"/>
    <w:p>
      <w:pPr>
        <w:pStyle w:val="Heading2"/>
      </w:pPr>
      <w:r>
        <w:rPr>
          <w:rStyle w:val="SectionNumber"/>
        </w:rPr>
        <w:t xml:space="preserve">8.16</w:t>
      </w:r>
      <w:r>
        <w:tab/>
      </w:r>
      <w:r>
        <w:t xml:space="preserve">Выводы по главе 8</w:t>
      </w:r>
    </w:p>
    <w:p>
      <w:pPr>
        <w:pStyle w:val="FirstParagraph"/>
      </w:pPr>
      <w:r>
        <w:t xml:space="preserve">Вариативное меню не является самостоятельным предметом ни одного вида государственного контроля, но каждый контролёр проверяет свою часть его документального основания. Санитарный надзор интересуется каждым вариантом как блюдом и не оценивает ни числа вариантов, ни соблюдения рекомендательных норм. Государственный дом-интернат субъекта с 01.07.2021 проверяет Роструд, а не орган субъекта, который выступает учредителем и контролирует лишь негосударственных поставщиков; проверочный лист Роструда спрашивает о нормах питания и условиях для соблюдения постов, но не о выборе, и два эти вопроса при посте без продуктов животного происхождения трудно совместимы. Петербургская оценка уровня организации социального питания фиксирует несоответствие ежедневного меню цикличному как недочёт и не содержит показателей выбора и удовлетворённости, поэтому варианты следует оформлять позициями цикла. Контрольно-счётные органы и прокуратура проверяют документальную обоснованность замен и соблюдение прав, а судебной практики о вариативном меню нет. Зарубежные процедуры показывают, что выбор проверяем без подсчёта блюд — наблюдением приёма пищи и опросом жителя; российскому учреждению этот инструмент приходится создавать самостоятельно в рамках внутреннего контроля. Сводка предметов контроля приведена в таблице; выявленные расхождения между источниками и нормами систематизированы в главе 9.</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58"/>
    <w:bookmarkEnd w:id="159"/>
    <w:bookmarkStart w:id="163"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60"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[22], предшествующие аналитические записки и рабочая база знаний проекта — создавались в разное время, разными методами и при неодинаковом доступе к источникам, поэтому расхождения между ними неизбежны. Сглаживать их значило бы скрыть от читателя степень достоверности каждого утверждения. В перечне для каждого расхождения указаны его существо, способ, которым его разрешает первоисточник, и то, что остаётся открытым. Номера в скобках обозначают пункты перечня противоречий рабочей базы знаний [23], если такой пункт имеется.</w:t>
      </w:r>
    </w:p>
    <w:bookmarkEnd w:id="160"/>
    <w:bookmarkStart w:id="161"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доклад [22],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(доклад [22]) (15)</w:t>
            </w:r>
          </w:p>
        </w:tc>
        <w:tc>
          <w:tcPr/>
          <w:p>
            <w:pPr>
              <w:pStyle w:val="Compact"/>
            </w:pPr>
            <w:r>
              <w:t xml:space="preserve">Общая и специальная нормы; для организации питания — ст. 6.6 [65]</w:t>
            </w:r>
          </w:p>
        </w:tc>
        <w:tc>
          <w:tcPr/>
          <w:p>
            <w:pPr>
              <w:pStyle w:val="Compact"/>
            </w:pPr>
            <w:r>
              <w:t xml:space="preserve">Снято</w:t>
            </w:r>
          </w:p>
        </w:tc>
      </w:tr>
      <w:tr>
        <w:tc>
          <w:tcPr/>
          <w:p>
            <w:pPr>
              <w:pStyle w:val="Compact"/>
            </w:pPr>
            <w:r>
              <w:t xml:space="preserve">6</w:t>
            </w:r>
          </w:p>
        </w:tc>
        <w:tc>
          <w:tcPr/>
          <w:p>
            <w:pPr>
              <w:pStyle w:val="Compact"/>
            </w:pPr>
            <w:r>
              <w:t xml:space="preserve">Плата не более 75 %: ч. 4 ст. 32 442-ФЗ (доклад [22])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[35]</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второй редакции</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[95];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[78]</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(доклад [22])</w:t>
            </w:r>
          </w:p>
        </w:tc>
        <w:tc>
          <w:tcPr/>
          <w:p>
            <w:pPr>
              <w:pStyle w:val="Compact"/>
            </w:pPr>
            <w:r>
              <w:t xml:space="preserve">8,00 — весь кейтеринг; сырьё — 6,08 [127]</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[55]</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(доклад [22],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[146] и п. 4 ст. 12 КПИ («воля и предпочтения») [37].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(доклад [22],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[145];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(доклад [22])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(доклад [22]) / на приём или заказ заранее (первая редакция) / на период (предшествующая записка) (6)</w:t>
            </w:r>
          </w:p>
        </w:tc>
        <w:tc>
          <w:tcPr/>
          <w:p>
            <w:pPr>
              <w:pStyle w:val="Compact"/>
            </w:pPr>
            <w:r>
              <w:t xml:space="preserve">Определения разных слоёв; вторая редакция использует определение доклада [22]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доклада [22])</w:t>
            </w:r>
          </w:p>
        </w:tc>
        <w:tc>
          <w:tcPr/>
          <w:p>
            <w:pPr>
              <w:pStyle w:val="Compact"/>
            </w:pPr>
            <w:r>
              <w:t xml:space="preserve">№ 1068 — приказ Департамента социальной защиты населения Москвы от 24.12.2014, а не постановление «-ПП» [79]; в приказе № 228 прочитаны п. 1–2.1, в том числе допуск ±5 % калорийности по приёмам пищи при соблюдении среднего за неделю [70]; текст № 1068 прочитан: брутто, три графы, в том числе психоневрологические организации [80]. Оба приказа — акты одного ведомства, иерархии между ними нет; № 228 утверждает нормы для тех же адресатов позднее [70, 80]</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доклада [22])</w:t>
            </w:r>
          </w:p>
        </w:tc>
        <w:tc>
          <w:tcPr/>
          <w:p>
            <w:pPr>
              <w:pStyle w:val="Compact"/>
            </w:pPr>
            <w:r>
              <w:t xml:space="preserve">Реквизиты по первой редакции и международной базе FAOLEX — приказ [84]; вид, дата и номер акта подтверждены справочной отметкой о признании утратившим силу прежнего приказа № 340 [85]</w:t>
            </w:r>
          </w:p>
        </w:tc>
        <w:tc>
          <w:tcPr/>
          <w:p>
            <w:pPr>
              <w:pStyle w:val="Compact"/>
            </w:pPr>
            <w:r>
              <w:t xml:space="preserve">Снято в седьмом проходе: акт является приказом Комитета по социальной защите от 14.07.2020 № 206 (п. 3.7)</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[46]</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152]; в Санкт-Петербурге полномочие Управления социального питания по контролю норм питания отменено с 01.01.2022 [153]</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[59])</w:t>
            </w:r>
          </w:p>
        </w:tc>
        <w:tc>
          <w:tcPr/>
          <w:p>
            <w:pPr>
              <w:pStyle w:val="Compact"/>
            </w:pPr>
            <w:r>
              <w:t xml:space="preserve">Постановление округа ставит критерием цель закупки, а не источник денег [58]; комментарий ГАРАНТ.РУ делает более узкий вывод [63]; блог неверно излагает предмет договора и позицию апелляции; под этим номером в открытой базе найдено только определение об отсрочке госпошлины [60]; дата (28.01.2026) и итог подтверждены вторым вторичным источником, который излагает позицию через цель закупки [61]; текст определения от 28.01.2026 (официальный сайт ВС, 07.10.2026) — стандартный отказ в передаче жалобы по ст. 291.6, 291.11 АПК РФ без мотивировки по существу: ни источника денег, ни цели закупки, ни 44-ФЗ и 223-ФЗ в нём нет, цитаты блога тоже нет [62]</w:t>
            </w:r>
          </w:p>
        </w:tc>
        <w:tc>
          <w:tcPr/>
          <w:p>
            <w:pPr>
              <w:pStyle w:val="Compact"/>
            </w:pPr>
            <w:r>
              <w:t xml:space="preserve">Снято 07.10.2026: «окончательная точка» и критерий источника денег текстом определения не подтверждаются; позиция по делу — постановление округа [58]; вывод п. 2.10 — толкование</w:t>
            </w:r>
          </w:p>
        </w:tc>
      </w:tr>
      <w:tr>
        <w:tc>
          <w:tcPr/>
          <w:p>
            <w:pPr>
              <w:pStyle w:val="Compact"/>
            </w:pPr>
            <w:r>
              <w:t xml:space="preserve">34</w:t>
            </w:r>
          </w:p>
        </w:tc>
        <w:tc>
          <w:tcPr/>
          <w:p>
            <w:pPr>
              <w:pStyle w:val="Compact"/>
            </w:pPr>
            <w:r>
              <w:t xml:space="preserve">Тарифы на питание в Санкт-Петербурге: разница «с СБКС / без СБКС» в ПНИ 90,77 руб. (2025) и 43,21 руб. (2026); тариф ПНИ выше общего в 2025 г. и ниже в 2026 г. (вторая редакция писала «при неизменных нормах»)</w:t>
            </w:r>
          </w:p>
        </w:tc>
        <w:tc>
          <w:tcPr/>
          <w:p>
            <w:pPr>
              <w:pStyle w:val="Compact"/>
            </w:pPr>
            <w:r>
              <w:t xml:space="preserve">Нормы изменены постановлением № 507 с 01.01.2026: общая норма пересобрана по № 520н, ПНИ-норма почти не изменилась, СБКС — по медицинским показаниям [33, 34]; тарифы — [75, 76]; методика расчёта не опубликована</w:t>
            </w:r>
          </w:p>
        </w:tc>
        <w:tc>
          <w:tcPr/>
          <w:p>
            <w:pPr>
              <w:pStyle w:val="Compact"/>
            </w:pPr>
            <w:r>
              <w:t xml:space="preserve">Частично снято в шестом проходе: смена знака разницы совпадает со сменой общей нормы; сокращение разницы «с СБКС / без СБКС» не объяснено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[137]</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Санкт-Петербург с 01.01.2026) против включения в общую норму (Ленинградская обл., ХМАО — Югра по ред. 2014 г.; Санкт-Петербург до 31.12.2025)</w:t>
            </w:r>
          </w:p>
        </w:tc>
        <w:tc>
          <w:tcPr/>
          <w:p>
            <w:pPr>
              <w:pStyle w:val="Compact"/>
            </w:pPr>
            <w:r>
              <w:t xml:space="preserve">Разные региональные модели [34, 46, 47, 72]; вторая редакция относила Санкт-Петербург ко второй модели по редакции 2022 г. [33]; в действующей редакции ХМАО (2017) строка СБКС есть, значение в публичной версии не видно [88]</w:t>
            </w:r>
          </w:p>
        </w:tc>
        <w:tc>
          <w:tcPr/>
          <w:p>
            <w:pPr>
              <w:pStyle w:val="Compact"/>
            </w:pPr>
            <w:r>
              <w:t xml:space="preserve">Не противоречие; препятствие для прямого сравнения норм (п. 3.14)</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39]</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[154]</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Нижегородской области — в нетто, Санкт-Петербурга (и в ред. 2022 г., и в ред. 2026 г.), Ленинградской области и ХМАО (ред. 2017 г.) — в обеих величинах [33, 34, 45–47, 71, 88]; прежние редакции ошибочно относили Санкт-Петербург к нетто</w:t>
            </w:r>
          </w:p>
        </w:tc>
        <w:tc>
          <w:tcPr/>
          <w:p>
            <w:pPr>
              <w:pStyle w:val="Compact"/>
            </w:pPr>
            <w:r>
              <w:t xml:space="preserve">Снято методически: прямое сравнение без пересчёта некорректно (п. 3.12)</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[58, 60]; в определении от 28.01.2026 по той же жалобе номер дела указан верно — А73-20917/2024 [62]</w:t>
            </w:r>
          </w:p>
        </w:tc>
        <w:tc>
          <w:tcPr/>
          <w:p>
            <w:pPr>
              <w:pStyle w:val="Compact"/>
            </w:pPr>
            <w:r>
              <w:t xml:space="preserve">Техническое расхождение (опечатка подтверждена 07.10.2026)</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49]</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[91]; закупки по 223-ФЗ — по карточкам агрегатора [92, 93]; цикличные меню из закупочной документации — по вариантам диеты, без выбора блюд; исполнитель сменился в середине 2026 г. [93]. Один кейс — учреждение автора; ТЗ конкурса на август — декабрь 2026 г. и договор не прочитаны, условия о выборе не проверены (повторная попытка 07.10.2026: ЕИС недоступна, агрегаторы показывают только перечень файлов) [92]. 08.10.2026 найдены закупки шести бюджетных учреждений Самарской области по 44-ФЗ «по вариативному меню» (с 2025 г.); их технические задания также не прочитаны [94]</w:t>
            </w:r>
          </w:p>
        </w:tc>
        <w:tc>
          <w:tcPr/>
          <w:p>
            <w:pPr>
              <w:pStyle w:val="Compact"/>
            </w:pPr>
            <w:r>
              <w:t xml:space="preserve">Снято: кейс внесён (п. 4.8) с оговоркой о непроверенных условиях договора; вывод о единственном кейсе аутсорсинга с выбором снят 08.10.2026 (п. 4.10)</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[37, 128, 144]</w:t>
            </w:r>
          </w:p>
        </w:tc>
        <w:tc>
          <w:tcPr/>
          <w:p>
            <w:pPr>
              <w:pStyle w:val="Compact"/>
            </w:pPr>
            <w:r>
              <w:t xml:space="preserve">Снято для трёх опор (п. 6.11); каркас остаётся каркасом</w:t>
            </w:r>
          </w:p>
        </w:tc>
      </w:tr>
      <w:tr>
        <w:tc>
          <w:tcPr/>
          <w:p>
            <w:pPr>
              <w:pStyle w:val="Compact"/>
            </w:pPr>
            <w:r>
              <w:t xml:space="preserve">46</w:t>
            </w:r>
          </w:p>
        </w:tc>
        <w:tc>
          <w:tcPr/>
          <w:p>
            <w:pPr>
              <w:pStyle w:val="Compact"/>
            </w:pPr>
            <w:r>
              <w:t xml:space="preserve">Нормы Санкт-Петербурга в первой и второй редакциях обзора — по редакции № 1284 от 27.06.2022: птица 40 г, рыба 41,8 г, творог 40 г в общей норме; СБКС и ВМК в общей норме; «нормы не менялись»</w:t>
            </w:r>
          </w:p>
        </w:tc>
        <w:tc>
          <w:tcPr/>
          <w:p>
            <w:pPr>
              <w:pStyle w:val="Compact"/>
            </w:pPr>
            <w:r>
              <w:t xml:space="preserve">Приложение изложено заново постановлением № 507 от 18.07.2025 с 01.01.2026 [34]</w:t>
            </w:r>
          </w:p>
        </w:tc>
        <w:tc>
          <w:tcPr/>
          <w:p>
            <w:pPr>
              <w:pStyle w:val="Compact"/>
            </w:pPr>
            <w:r>
              <w:t xml:space="preserve">Снято в шестом проходе: п. 3.2, сценарии 1, 2, 11 и 12 гл. 7, прил. Б пересчитаны по действующей редакции</w:t>
            </w:r>
          </w:p>
        </w:tc>
      </w:tr>
      <w:tr>
        <w:tc>
          <w:tcPr/>
          <w:p>
            <w:pPr>
              <w:pStyle w:val="Compact"/>
            </w:pPr>
            <w:r>
              <w:t xml:space="preserve">47</w:t>
            </w:r>
          </w:p>
        </w:tc>
        <w:tc>
          <w:tcPr/>
          <w:p>
            <w:pPr>
              <w:pStyle w:val="Compact"/>
            </w:pPr>
            <w:r>
              <w:t xml:space="preserve">Приказ ДСО «Серафимовский» № 124 в докладе — «закреплено заказное питание, в том числе для маломобильных» (вторая редакция)</w:t>
            </w:r>
          </w:p>
        </w:tc>
        <w:tc>
          <w:tcPr/>
          <w:p>
            <w:pPr>
              <w:pStyle w:val="Compact"/>
            </w:pPr>
            <w:r>
              <w:t xml:space="preserve">Правила внутреннего распорядка учреждения: «зал заказного питания (вариативное меню)» упомянут одной фразой о месте приёма пищи; маломобильные едят в комнатах; порядок заказа не определён [28]</w:t>
            </w:r>
          </w:p>
        </w:tc>
        <w:tc>
          <w:tcPr/>
          <w:p>
            <w:pPr>
              <w:pStyle w:val="Compact"/>
            </w:pPr>
            <w:r>
              <w:t xml:space="preserve">Снято в шестом проходе: формулировки уточнены (п. 4.8, сценарии 3 и 7 гл. 7, прил. А)</w:t>
            </w:r>
          </w:p>
        </w:tc>
      </w:tr>
    </w:tbl>
    <w:bookmarkEnd w:id="161"/>
    <w:bookmarkStart w:id="162" w:name="выводы-по-главе-9"/>
    <w:p>
      <w:pPr>
        <w:pStyle w:val="Heading2"/>
      </w:pPr>
      <w:r>
        <w:rPr>
          <w:rStyle w:val="SectionNumber"/>
        </w:rPr>
        <w:t xml:space="preserve">9.3</w:t>
      </w:r>
      <w:r>
        <w:tab/>
      </w:r>
      <w:r>
        <w:t xml:space="preserve">Выводы по главе 9</w:t>
      </w:r>
    </w:p>
    <w:p>
      <w:pPr>
        <w:pStyle w:val="FirstParagraph"/>
      </w:pPr>
      <w:r>
        <w:t xml:space="preserve">Перечень распадается на четыре группы, различающиеся по тому, как с ними следует обращаться. Пункты 1–6, 10, 12–14, 21–23, 25, 28, 30–33, 35 и 41–43 представляют собой исправленные факты или восполненные пробелы, и вторая редакция опирается на исправленные версии; пункт 25 закрыт в седьмом проходе, когда справочная отметка подтвердила вид, дату и номер псковского акта [85], а пункт 33 — дополнением 07.10.2026, когда был прочитан текст определения Верховного Суда от 28.01.2026 [62]. Четыре пункта этой группы (32, 35, 42 и 43) исправляют ошибки самой второй редакции, обнаруженные при её дополнении: требование называть расхождения явно доклад распространяет и на собственный текст. К ним примыкают пункты 46 и 47, также исправляющие ошибки второй редакции и найденные в шестом проходе при сверке с данными учреждения и действующей редакцией № 1284; после этого пункт 34 остаётся открытым лишь в части разницы тарифов «с СБКС / без СБКС».</w:t>
      </w:r>
    </w:p>
    <w:p>
      <w:pPr>
        <w:pStyle w:val="BodyText"/>
      </w:pPr>
      <w:r>
        <w:t xml:space="preserve">Вторую группу составляют открытые вопросы — пункты 9, 15, 24, 26, 29, 34 (частично), 37 и 38; сверх установленного доклад по ним ничего не утверждает. Третья группа включает пункты, снятые решением автора: пункты 17 и 18 — в пятом проходе (порядок каналов воли принят как рекомендация, формула о «запрете принудительного кормления» признана неверной с разведением нормы и толкования), пункт 44 — подтверждением автора с оговоркой о непроверенном договоре, пункт 45 — для трёх международных опор. Наконец, пункты 19, 20 и 36 отражают различие задач, определений или региональных моделей и выбора между версиями не требуют, а пункты 39 и 40 имеют методический и технический характер.</w:t>
      </w:r>
    </w:p>
    <w:p>
      <w:pPr>
        <w:pStyle w:val="BodyText"/>
      </w:pPr>
      <w:r>
        <w:t xml:space="preserve">Существенно, что ни одно из выявленных расхождений не указывает на норму, запрещающую выбор блюд. Большинство из них сосредоточено в реквизитах актов, расчётах и статусе отдельных документов; открытые вопросы содержательного свойства (пункты 15, 29, 37 и 38) касаются не допустимости выбора как такового, а того, как совместить его с санитарными процедурами, нормами питания и региональной оценкой. Именно в этих точках читателю, применяющему доклад на практике, следует сверяться с первоисточником, а сами вопросы переходят в предложения главы 10.</w:t>
      </w:r>
    </w:p>
    <w:bookmarkEnd w:id="162"/>
    <w:bookmarkEnd w:id="163"/>
    <w:bookmarkStart w:id="168"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настоящей главы являются рекомендациями автора как директора учреждения и участника профессиональной дискуссии. Они не выражают позицию Минтруда России, рабочей группы или иного органа и нормами не являются. При каждом предложении указано, на какую проблему из глав 2–9 оно отвечает и на какой образец опирается; если образца нет, это оговорено. Предложения сохраняют сквозную нумерацию, поскольку на них ссылаются другие разделы доклада, и распределены по уровням, на которых может быть принято соответствующее решение: федеральному, региональному и уровню учреждения.</w:t>
      </w:r>
    </w:p>
    <w:bookmarkStart w:id="164" w:name="федеральный-уровень"/>
    <w:p>
      <w:pPr>
        <w:pStyle w:val="Heading2"/>
      </w:pPr>
      <w:r>
        <w:rPr>
          <w:rStyle w:val="SectionNumber"/>
        </w:rPr>
        <w:t xml:space="preserve">10.1</w:t>
      </w:r>
      <w:r>
        <w:tab/>
      </w:r>
      <w:r>
        <w:t xml:space="preserve">Федеральный уровень</w:t>
      </w:r>
    </w:p>
    <w:p>
      <w:pPr>
        <w:pStyle w:val="FirstParagraph"/>
      </w:pPr>
      <w:r>
        <w:t xml:space="preserve">Федеральные предложения направлены не на изменение закона, а на устранение пробелов методического и санитарного регулирования, из-за которых одна и та же практика получает разную оценку у разных проверяющих.</w:t>
      </w:r>
    </w:p>
    <w:p>
      <w:pPr>
        <w:pStyle w:val="Compact"/>
        <w:numPr>
          <w:ilvl w:val="0"/>
          <w:numId w:val="1013"/>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В отсутствие общего понятийного аппарата одну и ту же практику разные проверяющие оценивают по-разному.</w:t>
      </w:r>
    </w:p>
    <w:p>
      <w:pPr>
        <w:pStyle w:val="Compact"/>
        <w:numPr>
          <w:ilvl w:val="0"/>
          <w:numId w:val="1013"/>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либо прямо распространить на них приложение № 11 к СанПиН 4282-26. До этого учреждения применяют детскую таблицу по аналогии (п. 2.6).</w:t>
      </w:r>
    </w:p>
    <w:p>
      <w:pPr>
        <w:pStyle w:val="Compact"/>
        <w:numPr>
          <w:ilvl w:val="0"/>
          <w:numId w:val="1013"/>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Единственной найденной региональной опорой для взрослых служит п. 2.1 московского приказа № 228, допускающий отклонение калорийности по приёмам пищи на ±5 % при соблюдении среднего за неделю [70]; он пригоден как образец формулировки.</w:t>
      </w:r>
    </w:p>
    <w:p>
      <w:pPr>
        <w:pStyle w:val="Compact"/>
        <w:numPr>
          <w:ilvl w:val="0"/>
          <w:numId w:val="1013"/>
        </w:numPr>
      </w:pPr>
      <w:r>
        <w:rPr>
          <w:b/>
          <w:bCs/>
        </w:rPr>
        <w:t xml:space="preserve">Суточная проба.</w:t>
      </w:r>
      <w:r>
        <w:t xml:space="preserve"> </w:t>
      </w:r>
      <w:r>
        <w:t xml:space="preserve">Устранить пробел в регулировании суточной пробы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3"/>
        </w:numPr>
      </w:pPr>
      <w:r>
        <w:rPr>
          <w:b/>
          <w:bCs/>
        </w:rPr>
        <w:t xml:space="preserve">Формула альтернативы.</w:t>
      </w:r>
      <w:r>
        <w:t xml:space="preserve"> </w:t>
      </w:r>
      <w:r>
        <w:t xml:space="preserve">При возможном регулировании выбора исходить не из числа блюд, а из формулы «альтернатива сходной пищевой ценности по запросу», известной американскому праву [131], и из онтарийской модели цикла меню с выбором, утверждаемого диетологом при участии совета жителей [134]. Американское руководство для инспекторов показывает, что такая формула проверяема: предметом проверки служит ответ учреждения на отказ конкретного жителя от блюда [132].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выразить выбор словами.</w:t>
      </w:r>
    </w:p>
    <w:p>
      <w:pPr>
        <w:pStyle w:val="Compact"/>
        <w:numPr>
          <w:ilvl w:val="0"/>
          <w:numId w:val="1013"/>
        </w:numPr>
      </w:pPr>
      <w:r>
        <w:rPr>
          <w:b/>
          <w:bCs/>
        </w:rPr>
        <w:t xml:space="preserve">Постное питание.</w:t>
      </w:r>
      <w:r>
        <w:t xml:space="preserve"> </w:t>
      </w:r>
      <w:r>
        <w:t xml:space="preserve">Разъяснить, каким образом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В проверочном листе Роструда соседствуют вопрос 64 о соблюдении норм питания и вопрос 75 об условиях для соблюдения постов [39], тогда как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Для разрешения коллизии достаточно было бы дополнить таблицу замен строками растительных источников белка с коэффициентами по белку (предложение 2).</w:t>
      </w:r>
    </w:p>
    <w:p>
      <w:pPr>
        <w:pStyle w:val="Compact"/>
        <w:numPr>
          <w:ilvl w:val="0"/>
          <w:numId w:val="1013"/>
        </w:numPr>
      </w:pPr>
      <w:r>
        <w:rPr>
          <w:b/>
          <w:bCs/>
        </w:rPr>
        <w:t xml:space="preserve">Брутто и нетто.</w:t>
      </w:r>
      <w:r>
        <w:t xml:space="preserve"> </w:t>
      </w:r>
      <w:r>
        <w:t xml:space="preserve">В рекомендуемых нормах (приказ № 520н) и методических материалах для субъектов прямо указывать, в каких единицах (брутто или нетто) выражена каждая позиция, и рекомендовать субъектам поступать так же. Из шести прочитанных региональных актов два выражены в брутто, один в нетто, три в обеих величинах, поэтому граммы нельзя напрямую сравнивать ни между ними, ни с № 520н (п. 3.12; гл. 9, позиция 39).</w:t>
      </w:r>
    </w:p>
    <w:p>
      <w:pPr>
        <w:pStyle w:val="Compact"/>
        <w:numPr>
          <w:ilvl w:val="0"/>
          <w:numId w:val="1013"/>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самостоятельно [95, 116]; пределы отходов как меры съеденного выявило исследование CLEVER [118].</w:t>
      </w:r>
    </w:p>
    <w:p>
      <w:pPr>
        <w:pStyle w:val="Compact"/>
        <w:numPr>
          <w:ilvl w:val="0"/>
          <w:numId w:val="1013"/>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[132, 135]. Действующий лист содержит 79 вопросов, ни один из которых не касается учёта предпочтений в питании; предпочтения упомянуты лишь применительно к размещению в спальнях (вопрос 46) [39]. Такой вопрос не требует от учреждения определённого числа блюд и совместим с действующими нормами.</w:t>
      </w:r>
    </w:p>
    <w:p>
      <w:pPr>
        <w:pStyle w:val="Compact"/>
        <w:numPr>
          <w:ilvl w:val="0"/>
          <w:numId w:val="1013"/>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[139] и онтарийского требования о рассмотрении времени приёмов пищи советом жителей [135].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[154].</w:t>
      </w:r>
    </w:p>
    <w:bookmarkEnd w:id="164"/>
    <w:bookmarkStart w:id="165" w:name="региональный-уровень"/>
    <w:p>
      <w:pPr>
        <w:pStyle w:val="Heading2"/>
      </w:pPr>
      <w:r>
        <w:rPr>
          <w:rStyle w:val="SectionNumber"/>
        </w:rPr>
        <w:t xml:space="preserve">10.2</w:t>
      </w:r>
      <w:r>
        <w:tab/>
      </w:r>
      <w:r>
        <w:t xml:space="preserve">Региональный уровень</w:t>
      </w:r>
    </w:p>
    <w:p>
      <w:pPr>
        <w:pStyle w:val="FirstParagraph"/>
      </w:pPr>
      <w:r>
        <w:t xml:space="preserve">Региональные предложения касаются трёх инструментов, которые находятся в руках субъекта: структуры норм питания, тарифа и процедуры оценки организации питания.</w:t>
      </w:r>
    </w:p>
    <w:p>
      <w:pPr>
        <w:pStyle w:val="Compact"/>
        <w:numPr>
          <w:ilvl w:val="0"/>
          <w:numId w:val="1014"/>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3.15). Образцом локальной формы служат таблицы взаимозаменяемости и замены по белкам и углеводам, утверждённые положением нижегородского дома-интерната [48].</w:t>
      </w:r>
    </w:p>
    <w:p>
      <w:pPr>
        <w:pStyle w:val="Compact"/>
        <w:numPr>
          <w:ilvl w:val="0"/>
          <w:numId w:val="1014"/>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по меньшей мере стоимость набора по группам продуктов. В Санкт-Петербурге разница между двумя ПНИ-тарифами за год сократилась с 90,77 до 43,21 руб., хотя граммы обеих ПНИ-норм почти не изменились, а соотношение тарифов ПНИ и общего сменило знак одновременно с пересборкой общей нормы постановлением № 507. Опубликованные документы не позволяют разделить влияние состава набора, цен и методики (п. 3.2; гл. 9, позиция 34). Без методики учреждение не может доказать учредителю ни того, что выбор требует дополнительных средств, ни того, что не требует.</w:t>
      </w:r>
    </w:p>
    <w:p>
      <w:pPr>
        <w:pStyle w:val="Compact"/>
        <w:numPr>
          <w:ilvl w:val="0"/>
          <w:numId w:val="1014"/>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4"/>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[154]),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4"/>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одних описаний.</w:t>
      </w:r>
    </w:p>
    <w:bookmarkEnd w:id="165"/>
    <w:bookmarkStart w:id="166" w:name="уровень-учреждения"/>
    <w:p>
      <w:pPr>
        <w:pStyle w:val="Heading2"/>
      </w:pPr>
      <w:r>
        <w:rPr>
          <w:rStyle w:val="SectionNumber"/>
        </w:rPr>
        <w:t xml:space="preserve">10.3</w:t>
      </w:r>
      <w:r>
        <w:tab/>
      </w:r>
      <w:r>
        <w:t xml:space="preserve">Уровень учреждения</w:t>
      </w:r>
    </w:p>
    <w:p>
      <w:pPr>
        <w:pStyle w:val="FirstParagraph"/>
      </w:pPr>
      <w:r>
        <w:t xml:space="preserve">Предложения для учреждения выстроены в порядке, в котором их целесообразно реализовывать: от минимального пилота и его документального оформления к закупке, сбору сведений о жителе и измерению результата.</w:t>
      </w:r>
    </w:p>
    <w:p>
      <w:pPr>
        <w:pStyle w:val="Compact"/>
        <w:numPr>
          <w:ilvl w:val="0"/>
          <w:numId w:val="1015"/>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15"/>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15"/>
        </w:numPr>
      </w:pPr>
      <w:r>
        <w:rPr>
          <w:b/>
          <w:bCs/>
        </w:rPr>
        <w:t xml:space="preserve">Закрепить порядок локальным актом</w:t>
      </w:r>
      <w:r>
        <w:t xml:space="preserve"> </w:t>
      </w:r>
      <w:r>
        <w:t xml:space="preserve">до начала работы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15"/>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15"/>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[137] и опроса семьи у Yaxley и соавт. [149]; эти сведения составляют основу решений за тех, кто не может выразить выбор (сценарий 15).</w:t>
      </w:r>
    </w:p>
    <w:p>
      <w:pPr>
        <w:pStyle w:val="Compact"/>
        <w:numPr>
          <w:ilvl w:val="0"/>
          <w:numId w:val="1015"/>
        </w:numPr>
      </w:pPr>
      <w:r>
        <w:rPr>
          <w:b/>
          <w:bCs/>
        </w:rPr>
        <w:t xml:space="preserve">Измерять до и после</w:t>
      </w:r>
      <w:r>
        <w:t xml:space="preserve"> </w:t>
      </w:r>
      <w:r>
        <w:t xml:space="preserve">по меньшей мере отходы с тарелки, возвраты по каждому варианту и распределение выбора (сценарий 8, п. 7.18), учитывая, что низкие возвраты не доказывают достаточности питания конкретного жителя [118].</w:t>
      </w:r>
    </w:p>
    <w:p>
      <w:pPr>
        <w:pStyle w:val="Compact"/>
        <w:numPr>
          <w:ilvl w:val="0"/>
          <w:numId w:val="1015"/>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[133, 135].</w:t>
      </w:r>
    </w:p>
    <w:p>
      <w:pPr>
        <w:pStyle w:val="Compact"/>
        <w:numPr>
          <w:ilvl w:val="0"/>
          <w:numId w:val="1015"/>
        </w:numPr>
      </w:pPr>
      <w:r>
        <w:rPr>
          <w:b/>
          <w:bCs/>
        </w:rPr>
        <w:t xml:space="preserve">Включать неговорящих и маломобильных</w:t>
      </w:r>
      <w:r>
        <w:t xml:space="preserve"> </w:t>
      </w:r>
      <w:r>
        <w:t xml:space="preserve">с первого этапа, а не после «отладки на ходячих» (сценарии 4, 10 и 15).</w:t>
      </w:r>
    </w:p>
    <w:p>
      <w:pPr>
        <w:pStyle w:val="Compact"/>
        <w:numPr>
          <w:ilvl w:val="0"/>
          <w:numId w:val="1015"/>
        </w:numPr>
      </w:pPr>
      <w:r>
        <w:rPr>
          <w:b/>
          <w:bCs/>
        </w:rPr>
        <w:t xml:space="preserve">Публиковать результаты</w:t>
      </w:r>
      <w:r>
        <w:t xml:space="preserve"> </w:t>
      </w:r>
      <w:r>
        <w:t xml:space="preserve">с датами и числами, включая неудачи. Пока российские сообщения остаются описаниями без измерений (п. 4.12), спор о пользе и вреде выбора будет спором мнений.</w:t>
      </w:r>
    </w:p>
    <w:bookmarkEnd w:id="166"/>
    <w:bookmarkStart w:id="167" w:name="выводы-по-главе-10"/>
    <w:p>
      <w:pPr>
        <w:pStyle w:val="Heading2"/>
      </w:pPr>
      <w:r>
        <w:rPr>
          <w:rStyle w:val="SectionNumber"/>
        </w:rPr>
        <w:t xml:space="preserve">10.4</w:t>
      </w:r>
      <w:r>
        <w:tab/>
      </w:r>
      <w:r>
        <w:t xml:space="preserve">Выводы по главе 10</w:t>
      </w:r>
    </w:p>
    <w:p>
      <w:pPr>
        <w:pStyle w:val="FirstParagraph"/>
      </w:pPr>
      <w:r>
        <w:t xml:space="preserve">Предложения объединены общим принципом: регулировать не число блюд, а условия, при которых выбор совместим с нормами питания и проверяем. На федеральном уровне это означает понятийное разграничение, таблицу замен для взрослых, учёт норм по периоду и разрешение коллизии поста и норм; на региональном — нормы, сформулированные группами продуктов, прозрачную методику тарифа и критерии оценки, не квалифицирующие предусмотренные циклом варианты как отступление от него; на уровне учреждения — постепенный пилот, оформленный локальным актом и измеряемый до и после. Ни одно предложение не требует изменения федерального закона, и все они остаются рекомендациями автора, а не позицией какого-либо органа.</w:t>
      </w:r>
    </w:p>
    <w:bookmarkEnd w:id="167"/>
    <w:bookmarkEnd w:id="168"/>
    <w:bookmarkStart w:id="169" w:name="заключение"/>
    <w:p>
      <w:pPr>
        <w:pStyle w:val="Heading1"/>
      </w:pPr>
      <w:r>
        <w:rPr>
          <w:rStyle w:val="SectionNumber"/>
        </w:rPr>
        <w:t xml:space="preserve">11</w:t>
      </w:r>
      <w:r>
        <w:tab/>
      </w:r>
      <w:r>
        <w:t xml:space="preserve">Заключение</w:t>
      </w:r>
    </w:p>
    <w:p>
      <w:pPr>
        <w:pStyle w:val="FirstParagraph"/>
      </w:pPr>
      <w:r>
        <w:t xml:space="preserve">Проведённое исследование позволяет ответить на вопрос, поставленный во введении: допускает ли действующее регулирование вариативное меню в стационарных организациях социального обслуживания и на каких условиях оно может быть реализовано. Ответ складывается из десяти выводов, расположенных в порядке от правовой рамки к практике, научным данным, зарубежному опыту и контролю. Класс каждого утверждения указан в соответствующем разделе основной части; ссылки, уже приведённые в тексте, здесь повторяются не везде.</w:t>
      </w:r>
    </w:p>
    <w:p>
      <w:pPr>
        <w:numPr>
          <w:ilvl w:val="0"/>
          <w:numId w:val="1016"/>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39, 40, 152].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Следовательно, постный вариант блюда в период поста представляет собой исполнение обязанности, а не инициативу пищеблока.</w:t>
      </w:r>
    </w:p>
    <w:p>
      <w:pPr>
        <w:numPr>
          <w:ilvl w:val="0"/>
          <w:numId w:val="1016"/>
        </w:numPr>
      </w:pPr>
      <w:r>
        <w:rPr>
          <w:b/>
          <w:bCs/>
        </w:rPr>
        <w:t xml:space="preserve">Смена санитарных правил не изменила ответа на вопрос о выборе, но изменила его цену.</w:t>
      </w:r>
      <w:r>
        <w:t xml:space="preserve"> </w:t>
      </w:r>
      <w:r>
        <w:t xml:space="preserve">С 01.09.2026 действует СанПиН 4282-26; СанПиН 3590-20 применяется к документам и событиям до 31.08.2026 [2, 3]. Новый акт, как и прежний, не регулирует числа вариантов, однако требования к технологическому документу на каждое блюдо (п. 11), трёхчасовой предел нахождения на раздаче и запрет реализации остатков на следующий день (п. 32), бракераж каждого блюда (подп. 13 п. 56) превращают каждый дополнительный вариант в отдельный объект производственного контроля.</w:t>
      </w:r>
    </w:p>
    <w:p>
      <w:pPr>
        <w:numPr>
          <w:ilvl w:val="0"/>
          <w:numId w:val="1016"/>
        </w:numPr>
      </w:pPr>
      <w:r>
        <w:rPr>
          <w:b/>
          <w:bCs/>
        </w:rPr>
        <w:t xml:space="preserve">Главный правовой пробел составляет отсутствие механизма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для взрослых не содержат ни постановление Санкт-Петербурга № 1284 (в действующей с 01.01.2026 редакции отсылка к таблице замены СанПиН есть только в разделе норм для детей),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 этой причине выбор между мясом и рыбой юридически более уязвим, чем выбор между гречкой и рисом, хотя по пищевой ценности обе пары могут быть равноценны.</w:t>
      </w:r>
    </w:p>
    <w:p>
      <w:pPr>
        <w:numPr>
          <w:ilvl w:val="0"/>
          <w:numId w:val="1016"/>
        </w:numPr>
      </w:pPr>
      <w:r>
        <w:rPr>
          <w:b/>
          <w:bCs/>
        </w:rPr>
        <w:t xml:space="preserve">Региональные нормы дают выбору больше простора, чем принято считать.</w:t>
      </w:r>
      <w:r>
        <w:t xml:space="preserve"> </w:t>
      </w:r>
      <w:r>
        <w:t xml:space="preserve">Нормы № 1284 сформулированы по строкам-группам продуктов (с 01.01.2026 — более дробным: овощи свежие, солёные, зелень и консервированные — отдельно); внутри строки (крупы, овощи свежие,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16"/>
        </w:numPr>
      </w:pPr>
      <w:r>
        <w:rPr>
          <w:b/>
          <w:bCs/>
        </w:rPr>
        <w:t xml:space="preserve">Российская практика расширилась, но не измерена.</w:t>
      </w:r>
      <w:r>
        <w:t xml:space="preserve"> </w:t>
      </w:r>
      <w:r>
        <w:t xml:space="preserve">За 2024–2026 гг. найдены сообщения восьми учреждений и одного регионального органа; министр социального развития Иркутской области подтвердил запуск вариативного питания в регионе в 2025 г. [18], а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Спектр форматов простирается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 единственный найденный кейс, где выбор при аутсорсинге питания описан как практика; условия договора о выборе не проверены). В Самарской области с 2025 г. шесть бюджетных учреждений закупают по 44-ФЗ приготовление питания «по вариативному меню», так что выбор появился уже в предмете закупки; содержание их технических заданий не установлено [94]. С июня 2026 г. в Вологодской области работает межрегиональная площадка.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являются самоотчётами, а не результатами проверки.</w:t>
      </w:r>
    </w:p>
    <w:p>
      <w:pPr>
        <w:numPr>
          <w:ilvl w:val="0"/>
          <w:numId w:val="1016"/>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[95]. Те же данные обнаруживают цену выбора в момент еды: рост производственных отходов и стоимости примерно на 9–20 % [95]. Систематические обзоры оценивают эффект вмешательств в организацию питания на пищевой статус как небольшой и плохо измеренный [108, 109].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[111] и в условиях нормированного набора не проверено.</w:t>
      </w:r>
    </w:p>
    <w:p>
      <w:pPr>
        <w:numPr>
          <w:ilvl w:val="0"/>
          <w:numId w:val="1016"/>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[128, 131, 134];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[137, 139, 143]. Ни один из изученных актов не устанавливает минимального числа вторых блюд. Перенос этих формул в российское право возможен только актом федерального или регионального уровня.</w:t>
      </w:r>
    </w:p>
    <w:p>
      <w:pPr>
        <w:numPr>
          <w:ilvl w:val="0"/>
          <w:numId w:val="1016"/>
        </w:numPr>
      </w:pPr>
      <w:r>
        <w:rPr>
          <w:b/>
          <w:bCs/>
        </w:rPr>
        <w:t xml:space="preserve">Выбор, недоступный жителю, не является выбором.</w:t>
      </w:r>
      <w:r>
        <w:t xml:space="preserve"> </w:t>
      </w:r>
      <w:r>
        <w:t xml:space="preserve">И австралийские данные о низком выборе для получающих протёртую пищу [99], и канадские данные о том, что пища изменённой консистенции назначена 47 % жителей [119], свидетельствуют, что вариативное меню, рассчитанное на ходячих и говорящих, может не охватить значительную часть жителей. Включение маломобильных и невербальных жителей является условием вариативности, а не её следующим этапом.</w:t>
      </w:r>
    </w:p>
    <w:p>
      <w:pPr>
        <w:numPr>
          <w:ilvl w:val="0"/>
          <w:numId w:val="1016"/>
        </w:numPr>
      </w:pPr>
      <w:r>
        <w:rPr>
          <w:b/>
          <w:bCs/>
        </w:rPr>
        <w:t xml:space="preserve">Государственный контроль оценивает соблюдение норм, а не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152].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[39]. Зарубежные процедуры, напротив, проверяют ответ учреждения на волю жителя, наблюдаемый в реальном приёме пищи [132, 133, 135]. Пока подобного инструмента в российской процедуре нет, реальность выбора может удостоверить только внутренний контроль учреждения.</w:t>
      </w:r>
    </w:p>
    <w:p>
      <w:pPr>
        <w:numPr>
          <w:ilvl w:val="0"/>
          <w:numId w:val="1016"/>
        </w:numPr>
      </w:pPr>
      <w:r>
        <w:rPr>
          <w:b/>
          <w:bCs/>
        </w:rPr>
        <w:t xml:space="preserve">Противоречия не устранены, а названы.</w:t>
      </w:r>
      <w:r>
        <w:t xml:space="preserve"> </w:t>
      </w:r>
      <w:r>
        <w:t xml:space="preserve">Глава 9 перечисляет 47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органом, уполномоченным разъяснять или издавать нормы.</w:t>
      </w:r>
    </w:p>
    <w:p>
      <w:pPr>
        <w:pStyle w:val="FirstParagraph"/>
      </w:pPr>
      <w:r>
        <w:t xml:space="preserve">Для руководителя учреждения практический итог исследования выражается в четырёх требованиях, обоснованных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остаются рекомендациями автора и позиции какого-либо органа не выражают.</w:t>
      </w:r>
    </w:p>
    <w:p>
      <w:pPr>
        <w:pStyle w:val="BodyText"/>
      </w:pPr>
      <w:r>
        <w:t xml:space="preserve">В целом исследование показывает, что вопрос о вариативном меню в стационарных организациях социального обслуживания является не вопросом о допустимости, а вопросом о процедуре: право выбора не запрещает, но и не снабжает учреждение инструментами, позволяющими совместить выбор с нормами питания, санитарным контролем и проверкой. Дальнейшая работа видится в двух направлениях — в восполнении названных пробелов на федеральном и региональном уровнях и в накоплении измеренных, а не только описанных результатов российской практики; открытые вопросы, перечисленные в главе 9 и приложении В, задают её ближайшую повестку.</w:t>
      </w:r>
    </w:p>
    <w:bookmarkEnd w:id="169"/>
    <w:bookmarkStart w:id="170" w:name="список-источников"/>
    <w:p>
      <w:pPr>
        <w:pStyle w:val="Heading1"/>
      </w:pPr>
      <w:r>
        <w:t xml:space="preserve">Список источников</w:t>
      </w:r>
    </w:p>
    <w:p>
      <w:pPr>
        <w:pStyle w:val="FirstParagraph"/>
      </w:pPr>
      <w:r>
        <w:t xml:space="preserve">Библиографические описания составлены по ГОСТ Р 7.0.100-2018; источники пронумерованы в порядке первой ссылки на них в тексте. Пометка [н] обозначает источник, впервые привлечённый во второй редакции, пометка [о] — источник, использованный и в первой редакции [1]. Электронные ресурсы проверены на дату обращения, указанную в описании.</w:t>
      </w:r>
    </w:p>
    <w:p>
      <w:pPr>
        <w:pStyle w:val="Compact"/>
        <w:numPr>
          <w:ilvl w:val="0"/>
          <w:numId w:val="1017"/>
        </w:numPr>
      </w:pPr>
      <w:r>
        <w:t xml:space="preserve">[о] Вариативное меню: НПА. Нормативно-правовое регулирование и региональная практика: доклад (литературная редакция 29.08.2026). 82 с. — Текст : электронный // Репозиторий qlolp/seminar-variable-food-2026, папка raw/sources/variativnoe-menu-npa-2026/.</w:t>
      </w:r>
    </w:p>
    <w:p>
      <w:pPr>
        <w:pStyle w:val="Compact"/>
        <w:numPr>
          <w:ilvl w:val="0"/>
          <w:numId w:val="1017"/>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Текст : электронный // Гарант.ру : информационно-правовой портал. — URL: https://base.garant.ru/74891586/ (дата обращения: 05.10.2026).</w:t>
      </w:r>
    </w:p>
    <w:p>
      <w:pPr>
        <w:pStyle w:val="Compact"/>
        <w:numPr>
          <w:ilvl w:val="0"/>
          <w:numId w:val="1017"/>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Текст : электронный // Гарант.ру : информационно-правовой портал. — URL: https://www.garant.ru/products/ipo/prime/doc/414229257/ (дата обращения: 05.10.2026).</w:t>
      </w:r>
    </w:p>
    <w:p>
      <w:pPr>
        <w:pStyle w:val="Compact"/>
        <w:numPr>
          <w:ilvl w:val="0"/>
          <w:numId w:val="1017"/>
        </w:numPr>
      </w:pPr>
      <w:r>
        <w:t xml:space="preserve">[н] Как устроены ПНИ в России: исследование / Проект «Если быть точным». 09.04.2026. — Текст : электронный // tochno.st : [сайт]. — URL: https://tochno.st/materials/kak-ustroeny-pni-v-rossii-issledovanie-esli-byt-tocnym (дата обращения: 23.07.2026).</w:t>
      </w:r>
    </w:p>
    <w:p>
      <w:pPr>
        <w:pStyle w:val="Compact"/>
        <w:numPr>
          <w:ilvl w:val="0"/>
          <w:numId w:val="1017"/>
        </w:numPr>
      </w:pPr>
      <w:r>
        <w:t xml:space="preserve">[о] Вариативное питание / ГАУССО НСО «Болотнинский психоневрологический интернат». 16.08.2024. — Текст : электронный // bpni.nso.ru : [сайт]. — URL: https://bpni.nso.ru/news/2312 (дата обращения: 05.10.2026).</w:t>
      </w:r>
    </w:p>
    <w:p>
      <w:pPr>
        <w:pStyle w:val="Compact"/>
        <w:numPr>
          <w:ilvl w:val="0"/>
          <w:numId w:val="1017"/>
        </w:numPr>
      </w:pPr>
      <w:r>
        <w:t xml:space="preserve">[н] Вариативное питание — выбор за вами! / ГАУССО НСО «Болотнинский психоневрологический интернат». 03.09.2026. — Текст : электронный // bpni.nso.ru : [сайт]. — URL: https://bpni.nso.ru/news/8993 (дата обращения: 05.10.2026).</w:t>
      </w:r>
    </w:p>
    <w:p>
      <w:pPr>
        <w:pStyle w:val="Compact"/>
        <w:numPr>
          <w:ilvl w:val="0"/>
          <w:numId w:val="1017"/>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Текст : электронный // upni.nso.ru : [сайт]. — URL: https://upni.nso.ru/news/1916 (дата обращения: 05.10.2026).</w:t>
      </w:r>
    </w:p>
    <w:p>
      <w:pPr>
        <w:pStyle w:val="Compact"/>
        <w:numPr>
          <w:ilvl w:val="0"/>
          <w:numId w:val="1017"/>
        </w:numPr>
      </w:pPr>
      <w:r>
        <w:t xml:space="preserve">[н] Разумная Т. Успенский интернат расширяет «Шведский стол»: теперь и в третьем отделении проживающие сами выбирают блюда. — Текст : электронный // ЧС-ИНФО. 23.10.2025. — URL: https://4s-info.ru/2025/10/23/uspenskij-internat-rasshiryaet-shvedskij-stol-teper-i-v-tretem-otdelenii-prozhivayushhie-sami-vybirayut-blyuda/ (дата обращения: 05.10.2026).</w:t>
      </w:r>
    </w:p>
    <w:p>
      <w:pPr>
        <w:pStyle w:val="Compact"/>
        <w:numPr>
          <w:ilvl w:val="0"/>
          <w:numId w:val="1017"/>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Текст : электронный // kpi.nso.ru : [сайт]. — URL: https://kpi.nso.ru/news/395 (дата обращения: 05.10.2026).</w:t>
      </w:r>
    </w:p>
    <w:p>
      <w:pPr>
        <w:pStyle w:val="Compact"/>
        <w:numPr>
          <w:ilvl w:val="0"/>
          <w:numId w:val="1017"/>
        </w:numPr>
      </w:pPr>
      <w:r>
        <w:t xml:space="preserve">[н] Софин Р. Шведский стол за 3 млн приучил к аккуратности жильцов психинтерната НСО. — Текст : электронный // Прецедент TV. 27.07.2026. — URL: https://precedent.tv/shvedskij-stol-za-3-mln-priuchil-k-akkuratnosti-zhiltsov-psihinternata-nso (дата обращения: 05.10.2026).</w:t>
      </w:r>
    </w:p>
    <w:p>
      <w:pPr>
        <w:pStyle w:val="Compact"/>
        <w:numPr>
          <w:ilvl w:val="0"/>
          <w:numId w:val="1017"/>
        </w:numPr>
      </w:pPr>
      <w:r>
        <w:t xml:space="preserve">[н] Наша главная задача — не просто накормить, а создать домашнюю атмосферу / ГАУССО НСО «Успенский психоневрологический интернат». 27.07.2026. — Текст : электронный // upni.nso.ru : [сайт]. — URL: https://upni.nso.ru/news/5804 (дата обращения: 05.10.2026).</w:t>
      </w:r>
    </w:p>
    <w:p>
      <w:pPr>
        <w:pStyle w:val="Compact"/>
        <w:numPr>
          <w:ilvl w:val="0"/>
          <w:numId w:val="1017"/>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Текст : электронный // Лента новостей Новосибирска. 20.06.2025. — URL: https://novosibirsk-news.net/society/2025/06/20/338927.html (дата обращения: 05.10.2026).</w:t>
      </w:r>
    </w:p>
    <w:p>
      <w:pPr>
        <w:pStyle w:val="Compact"/>
        <w:numPr>
          <w:ilvl w:val="0"/>
          <w:numId w:val="1017"/>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Текст : электронный // ui-ogbuso.ru : [сайт]. — URL: https://ui-ogbuso.ru/novosti/ (дата обращения: 05.10.2026).</w:t>
      </w:r>
    </w:p>
    <w:p>
      <w:pPr>
        <w:pStyle w:val="Compact"/>
        <w:numPr>
          <w:ilvl w:val="0"/>
          <w:numId w:val="1017"/>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Текст : электронный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17"/>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Текст : электронный // Областная газета. 26.11.2025. — URL: https://www.ogirk.ru/2025/11/26/v-chunskom-zavershaetsja-stroitelstvo-dvuh-modulnyh-zhilyh-korpusov/ (дата обращения: 05.10.2026).</w:t>
      </w:r>
    </w:p>
    <w:p>
      <w:pPr>
        <w:pStyle w:val="Compact"/>
        <w:numPr>
          <w:ilvl w:val="0"/>
          <w:numId w:val="1017"/>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https://base.garant.ru/34763286/ (дата обращения: 05.10.2026).</w:t>
      </w:r>
    </w:p>
    <w:p>
      <w:pPr>
        <w:pStyle w:val="Compact"/>
        <w:numPr>
          <w:ilvl w:val="0"/>
          <w:numId w:val="1017"/>
        </w:numPr>
      </w:pPr>
      <w:r>
        <w:t xml:space="preserve">[н] Вариативное меню появляется в домах соцобслуживания Вологодчины. — Текст : электронный // СеверИнфо. 05.07.2026. — URL: https://www.severinfo.ru/society/91519-variativnoe-menju-pojavljaetsja-v-domah-socobsluzhivanija-vologodchiny.html (дата обращения: 05.10.2026).</w:t>
      </w:r>
    </w:p>
    <w:p>
      <w:pPr>
        <w:pStyle w:val="Compact"/>
        <w:numPr>
          <w:ilvl w:val="0"/>
          <w:numId w:val="1017"/>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Текст : электронный // Областная газета. 04.02.2026. № 11 (2949). — URL: https://www.ogirk.ru/2026/02/04/vladimir-rodionov-na-prieme-v-sluzhbah-soczashhity-net-ocheredej/ (дата обращения: 05.10.2026).</w:t>
      </w:r>
    </w:p>
    <w:p>
      <w:pPr>
        <w:pStyle w:val="Compact"/>
        <w:numPr>
          <w:ilvl w:val="0"/>
          <w:numId w:val="1017"/>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Текст : электронный // nldi.ru : [сайт]. — URL: http://nldi.ru/files/8983.pdf (дата обращения: 05.10.2026).</w:t>
      </w:r>
    </w:p>
    <w:p>
      <w:pPr>
        <w:pStyle w:val="Compact"/>
        <w:numPr>
          <w:ilvl w:val="0"/>
          <w:numId w:val="1017"/>
        </w:numPr>
      </w:pPr>
      <w:r>
        <w:t xml:space="preserve">[н] Иркутский дом-интернат для престарелых и инвалидов продолжает совершенствоваться / Пресс-служба Правительства Иркутской области. — Текст : электронный // Областная газета. 21.01.2025. — URL: https://www.ogirk.ru/2025/01/21/irkutskij-dom-internat-dlja-prestarelyh-i-invalidov-prodolzhaet-sovershenstvovatsja/ (дата обращения: 05.10.2026).</w:t>
      </w:r>
    </w:p>
    <w:p>
      <w:pPr>
        <w:pStyle w:val="Compact"/>
        <w:numPr>
          <w:ilvl w:val="0"/>
          <w:numId w:val="1017"/>
        </w:numPr>
      </w:pPr>
      <w:r>
        <w:t xml:space="preserve">[н] Работа по развитию психоневрологических интернатов продолжается / Комитет по социальной политике Санкт-Петербурга. 22.07.2025. — Текст : электронный // Администрация Санкт-Петербурга. — URL: https://gov.spb.ru/gov/otrasl/trud/news/302216/ (дата обращения: 05.10.2026).</w:t>
      </w:r>
    </w:p>
    <w:p>
      <w:pPr>
        <w:pStyle w:val="Compact"/>
        <w:numPr>
          <w:ilvl w:val="0"/>
          <w:numId w:val="1017"/>
        </w:numPr>
      </w:pPr>
      <w:r>
        <w:t xml:space="preserve">[н] Не просто накормить: доклад к семинару 25–27.08.2026. — Текст : электронный // Репозиторий qlolp/seminar-variable-food-2026, папка raw/sources/ne-prosto-nakormit/doklad/.</w:t>
      </w:r>
    </w:p>
    <w:p>
      <w:pPr>
        <w:pStyle w:val="Compact"/>
        <w:numPr>
          <w:ilvl w:val="0"/>
          <w:numId w:val="1017"/>
        </w:numPr>
      </w:pPr>
      <w:r>
        <w:t xml:space="preserve">[н] Рабочая база знаний проекта (wiki/, в том числе wiki/gaps.md, wiki/entities/, wiki/concepts/) и предшествующие аналитические записки (raw/sources/related/). — Текст : электронный // Репозиторий qlolp/seminar-variable-food-2026.</w:t>
      </w:r>
    </w:p>
    <w:p>
      <w:pPr>
        <w:pStyle w:val="Compact"/>
        <w:numPr>
          <w:ilvl w:val="0"/>
          <w:numId w:val="1017"/>
        </w:numPr>
      </w:pPr>
      <w:r>
        <w:t xml:space="preserve">[о] Федеральный закон от 28.12.2013 № 442-ФЗ «Об основах социального обслуживания граждан в Российской Федерации». — Текст : электронный // КонсультантПлюс : справочная правовая система. — URL: https://www.consultant.ru/document/cons_doc_LAW_156558/ (дата обращения: 05.10.2026).</w:t>
      </w:r>
    </w:p>
    <w:p>
      <w:pPr>
        <w:pStyle w:val="Compact"/>
        <w:numPr>
          <w:ilvl w:val="0"/>
          <w:numId w:val="1017"/>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https://base.garant.ru/70829256/ (дата обращения: 05.10.2026).</w:t>
      </w:r>
    </w:p>
    <w:p>
      <w:pPr>
        <w:pStyle w:val="Compact"/>
        <w:numPr>
          <w:ilvl w:val="0"/>
          <w:numId w:val="1017"/>
        </w:numPr>
      </w:pPr>
      <w:r>
        <w:t xml:space="preserve">[н] Закон РФ от 02.07.1992 № 3185-1 «О психиатрической помощи и гарантиях прав граждан при её оказании». — Текст : электронный // КонсультантПлюс : справочная правовая система. — URL: https://www.consultant.ru/document/cons_doc_LAW_4205/ (дата обращения: 05.10.2026).</w:t>
      </w:r>
    </w:p>
    <w:p>
      <w:pPr>
        <w:pStyle w:val="Compact"/>
        <w:numPr>
          <w:ilvl w:val="0"/>
          <w:numId w:val="1017"/>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Текст : электронный // КонсультантПлюс : справочная правовая система. — URL: https://www.consultant.ru/document/cons_doc_LAW_506945/ (дата обращения: 05.10.2026).</w:t>
      </w:r>
    </w:p>
    <w:p>
      <w:pPr>
        <w:pStyle w:val="Compact"/>
        <w:numPr>
          <w:ilvl w:val="0"/>
          <w:numId w:val="1017"/>
        </w:numPr>
      </w:pPr>
      <w:r>
        <w:t xml:space="preserve">[н] Приказ СПб ГАСУСОН «ДСО „Серафимовский“» от 10.03.2026 № 124 «Об утверждении правил внутреннего распорядка жителей СПб ГАСУСОН „ДСО „Серафимовский“»» (графический образ на бланке с наименованием учредителя — Комитета по социальной политике Санкт-Петербурга; подписан директором учреждения), п. 3.6, 3.9, 3.13 правил. — Текст : электронный // sdso-spb.ru : [сайт]. — URL: https://sdso-spb.ru/wp-content/uploads/sfv/docs/8388b0948844-Приказ-124-от-10.03.2026.pdf ; раздел «Документы учреждения»: https://sdso-spb.ru/dokumenty-uchrezhdeniya/ ; ранее — архивная копия сайта pni9.ru от 15.04.2026: https://web.archive.org/web/20260415001233/https://www.pni9.ru/правила-внутреннего-распорядка/ (дата обращения: 05.10.2026).</w:t>
      </w:r>
    </w:p>
    <w:p>
      <w:pPr>
        <w:pStyle w:val="Compact"/>
        <w:numPr>
          <w:ilvl w:val="0"/>
          <w:numId w:val="1017"/>
        </w:numPr>
      </w:pPr>
      <w:r>
        <w:t xml:space="preserve">[н] Питание / ГАСУСО МО «Добрый дом „Солнечногорский“». — Текст : электронный // ddsol.ru : [сайт]. — URL: https://ddsol.ru/about/pitanie/ (дата обращения: 05.10.2026).</w:t>
      </w:r>
    </w:p>
    <w:p>
      <w:pPr>
        <w:pStyle w:val="Compact"/>
        <w:numPr>
          <w:ilvl w:val="0"/>
          <w:numId w:val="1017"/>
        </w:numPr>
      </w:pPr>
      <w:r>
        <w:t xml:space="preserve">[н] Nijs K. A. N. D., de Graaf C., Kok F. J., van Staveren W. A. Effect of family style mealtimes on quality of life, physical performance, and body weight of nursing home residents: cluster randomised controlled trial. — Текст : электронный // BMJ. — 2006. — Vol. 332. — P. 1180–1184. — DOI: 10.1136/bmj.38825.401181.7C.</w:t>
      </w:r>
    </w:p>
    <w:p>
      <w:pPr>
        <w:pStyle w:val="Compact"/>
        <w:numPr>
          <w:ilvl w:val="0"/>
          <w:numId w:val="1017"/>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Текст : электронный // Гарант.ру : информационно-правовой портал. — URL: https://base.garant.ru/184396/ ; первоначальная редакция: https://base.garant.ru/5365902/ (дата обращения: 05.10.2026).</w:t>
      </w:r>
    </w:p>
    <w:p>
      <w:pPr>
        <w:pStyle w:val="Compact"/>
        <w:numPr>
          <w:ilvl w:val="0"/>
          <w:numId w:val="1017"/>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Текст : электронный // Гарант.ру : информационно-правовой портал. — URL: https://base.garant.ru/405707433/ ; https://mintrud.gov.ru/docs/2466 (дата обращения: 05.10.2026).</w:t>
      </w:r>
    </w:p>
    <w:p>
      <w:pPr>
        <w:pStyle w:val="Compact"/>
        <w:numPr>
          <w:ilvl w:val="0"/>
          <w:numId w:val="1017"/>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редакция, действовавшая до 31.12.2025; с 01.01.2026 приложение изложено заново постановлением от 18.07.2025 № 507, см. эту позицию в списке источников). — Текст : электронный // Гарант.ру : информационно-правовой портал. — URL: https://base.garant.ru/22921449/ (дата обращения: 05.10.2026).</w:t>
      </w:r>
    </w:p>
    <w:p>
      <w:pPr>
        <w:pStyle w:val="Compact"/>
        <w:numPr>
          <w:ilvl w:val="0"/>
          <w:numId w:val="1017"/>
        </w:numPr>
      </w:pPr>
      <w:r>
        <w:t xml:space="preserve">[н] Постановление Правительства Санкт-Петербурга от 18.07.2025 № 507 «О внесении изменений в постановление Правительства Санкт-Петербурга от 29.12.2014 № 1284» (приложение к № 1284 изложено в новой редакции; вступает в силу с 01.01.2026). Официальное опубликование: портал правовой информации, номер 7800202507240011, 24.07.2025. — Текст : электронный // Официальный интернет-портал правовой информации. — URL: http://publication.pravo.gov.ru/Document/View/7800202507240011 ; текст приложения: https://base.garant.ru/412376974/8b7b3c1c76e91f88d33c08b3736aa67a/ (дата обращения: 05.10.2026).</w:t>
      </w:r>
    </w:p>
    <w:p>
      <w:pPr>
        <w:pStyle w:val="Compact"/>
        <w:numPr>
          <w:ilvl w:val="0"/>
          <w:numId w:val="1017"/>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Текст : электронный // normacs.net : [сайт]. — URL: https://normacs.net/Doclist/doc/200DS.html (дата обращения: 05.10.2026).</w:t>
      </w:r>
    </w:p>
    <w:p>
      <w:pPr>
        <w:pStyle w:val="Compact"/>
        <w:numPr>
          <w:ilvl w:val="0"/>
          <w:numId w:val="1017"/>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Текст : электронный // КонсультантПлюс : справочная правовая система. — URL: https://www.consultant.ru/document/cons_doc_LAW_28399/ (дата обращения: 05.10.2026).</w:t>
      </w:r>
    </w:p>
    <w:p>
      <w:pPr>
        <w:pStyle w:val="Compact"/>
        <w:numPr>
          <w:ilvl w:val="0"/>
          <w:numId w:val="1017"/>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Текст : электронный // Организация Объединённых Наций. — URL: https://www.un.org/ru/documents/decl_conv/conventions/disability.shtml (дата обращения: 05.10.2026).</w:t>
      </w:r>
    </w:p>
    <w:p>
      <w:pPr>
        <w:pStyle w:val="Compact"/>
        <w:numPr>
          <w:ilvl w:val="0"/>
          <w:numId w:val="1017"/>
        </w:numPr>
      </w:pPr>
      <w:r>
        <w:t xml:space="preserve">[н] Committee on the Rights of Persons with Disabilities. General comment No. 1 (2014). Article 12: Equal recognition before the law. CRPD/C/GC/1. — Текст : электронный // United Nations Digital Library. — URL: https://documents.un.org/doc/undoc/gen/g14/031/20/pdf/g1403120.pdf (дата обращения: 05.10.2026).</w:t>
      </w:r>
    </w:p>
    <w:p>
      <w:pPr>
        <w:pStyle w:val="Compact"/>
        <w:numPr>
          <w:ilvl w:val="0"/>
          <w:numId w:val="1017"/>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Текст : электронный // Официальный интернет-портал правовой информации. — URL: http://publication.pravo.gov.ru/document/0001202602130013 ; https://pravo.ppt.ru/prikaz/rostrud/n-18-326901 ; https://www.consultant.ru/document/cons_doc_LAW_526542/ (дата обращения: 05.10.2026).</w:t>
      </w:r>
    </w:p>
    <w:p>
      <w:pPr>
        <w:pStyle w:val="Compact"/>
        <w:numPr>
          <w:ilvl w:val="0"/>
          <w:numId w:val="1017"/>
        </w:numPr>
      </w:pPr>
      <w:r>
        <w:t xml:space="preserve">[н] Агафонов И. Что изменится в жизни подопечных ПНИ с сентября. — Текст : электронный // Милосердие.ru. 20.06.2025. — URL: https://www.miloserdie.ru/news/novye-pravila-i-novye-vozmozhnosti-chto-izmenitsya-v-zhizni-podopechnyh-pni-s-sentyabrya/ (дата обращения: 05.10.2026).</w:t>
      </w:r>
    </w:p>
    <w:p>
      <w:pPr>
        <w:pStyle w:val="Compact"/>
        <w:numPr>
          <w:ilvl w:val="0"/>
          <w:numId w:val="1017"/>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17"/>
        </w:numPr>
      </w:pPr>
      <w:r>
        <w:t xml:space="preserve">[н] Горелик С. Г. и др. Оценка нутритивного статуса и коррекция питания лиц пожилого возраста в учреждении социального обслуживания. — Текст : электронный // Современные проблемы здравоохранения и медицинской статистики. — 2020. — № 4. — URL: https://cyberleninka.ru/ (дата обращения: 05.10.2026).</w:t>
      </w:r>
    </w:p>
    <w:p>
      <w:pPr>
        <w:pStyle w:val="Compact"/>
        <w:numPr>
          <w:ilvl w:val="0"/>
          <w:numId w:val="1017"/>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Текст : электронный // Роспотребнадзор. — URL: https://www.rospotrebnadzor.ru/documents/details.php?ELEMENT_ID=18979 (дата обращения: 05.10.2026).</w:t>
      </w:r>
    </w:p>
    <w:p>
      <w:pPr>
        <w:pStyle w:val="Compact"/>
        <w:numPr>
          <w:ilvl w:val="0"/>
          <w:numId w:val="1017"/>
        </w:numPr>
      </w:pPr>
      <w:r>
        <w:t xml:space="preserve">[о] Постановление Правительства Свердловской области от 10.11.2022 № 765-ПП (нормы питания в организациях социального обслуживания). — Текст : электронный // Гарант.ру : информационно-правовой портал. — URL: https://base.garant.ru/405688359/ (дата обращения: 05.10.2026).</w:t>
      </w:r>
    </w:p>
    <w:p>
      <w:pPr>
        <w:pStyle w:val="Compact"/>
        <w:numPr>
          <w:ilvl w:val="0"/>
          <w:numId w:val="1017"/>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Текст : электронный // ctonus.ru : [сайт]. — URL: https://ctonus.ru/f/normy_pitaniya.docx (дата обращения: 05.10.2026).</w:t>
      </w:r>
    </w:p>
    <w:p>
      <w:pPr>
        <w:pStyle w:val="Compact"/>
        <w:numPr>
          <w:ilvl w:val="0"/>
          <w:numId w:val="1017"/>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Текст : электронный // luga-pni.ru : [сайт]. — URL: https://luga-pni.ru/f/prikazom_komiteta_po_socialnoj_zashchite_naseleniya_leningradskoj_oblasti_no04_ot_30122021_goda_ob_utverzhdenii_normativov_o.pdf (дата обращения: 05.10.2026).</w:t>
      </w:r>
    </w:p>
    <w:p>
      <w:pPr>
        <w:pStyle w:val="Compact"/>
        <w:numPr>
          <w:ilvl w:val="0"/>
          <w:numId w:val="1017"/>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Текст : электронный // vencson.nso.ru : [сайт].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17"/>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Текст : электронный // soc52.ru : [сайт]. — URL: https://soc52.ru/sorm-di-documents/statement/item/447-statement-food (дата обращения: 05.10.2026).</w:t>
      </w:r>
    </w:p>
    <w:p>
      <w:pPr>
        <w:pStyle w:val="Compact"/>
        <w:numPr>
          <w:ilvl w:val="0"/>
          <w:numId w:val="1017"/>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Текст : электронный // Официальный интернет-портал правовой информации. — URL: http://publication.pravo.gov.ru/Document/View/0001202011120001 (дата обращения: 05.10.2026).</w:t>
      </w:r>
    </w:p>
    <w:p>
      <w:pPr>
        <w:pStyle w:val="Compact"/>
        <w:numPr>
          <w:ilvl w:val="0"/>
          <w:numId w:val="1017"/>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Текст : электронный // Гарант.ру : информационно-правовой портал. — URL: https://base.garant.ru/12133007/ (дата обращения: 05.10.2026).</w:t>
      </w:r>
    </w:p>
    <w:p>
      <w:pPr>
        <w:pStyle w:val="Compact"/>
        <w:numPr>
          <w:ilvl w:val="0"/>
          <w:numId w:val="1017"/>
        </w:numPr>
      </w:pPr>
      <w:r>
        <w:t xml:space="preserve">[о] Приказ Минздрава России от 21.06.2013 № 395н «Об утверждении норм лечебного питания». — Текст : электронный // Гарант.ру : информационно-правовой портал. — URL: https://base.garant.ru/70412098/ (дата обращения: 05.10.2026).</w:t>
      </w:r>
    </w:p>
    <w:p>
      <w:pPr>
        <w:pStyle w:val="Compact"/>
        <w:numPr>
          <w:ilvl w:val="0"/>
          <w:numId w:val="1017"/>
        </w:numPr>
      </w:pPr>
      <w:r>
        <w:t xml:space="preserve">[о] Приказ Минздрава России от 23.09.2020 № 1008н «Об утверждении порядка обеспечения пациентов лечебным питанием». — Текст : электронный // Гарант.ру : информационно-правовой портал. — URL: https://base.garant.ru/74703746/ (дата обращения: 05.10.2026).</w:t>
      </w:r>
    </w:p>
    <w:p>
      <w:pPr>
        <w:pStyle w:val="Compact"/>
        <w:numPr>
          <w:ilvl w:val="0"/>
          <w:numId w:val="1017"/>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Текст : электронный // Российский журнал гериатрической медицины. — 2021. — № 1. — С. 15–34. — DOI: 10.37586/2686-8636-1-2021-15-34.</w:t>
      </w:r>
    </w:p>
    <w:p>
      <w:pPr>
        <w:pStyle w:val="Compact"/>
        <w:numPr>
          <w:ilvl w:val="0"/>
          <w:numId w:val="1017"/>
        </w:numPr>
      </w:pPr>
      <w:r>
        <w:t xml:space="preserve">[о] Организация питания: страницы сайтов учреждений социального обслуживания Омской области. — Текст : электронный // ditavrich55.ru : [сайт]. — URL: http://www.ditavrich55.ru/pitanie ; https://pni55.ru/perechen-zapreshchennyh-produktov (дата обращения: 16.07.2026, по первой редакции обзора).</w:t>
      </w:r>
    </w:p>
    <w:p>
      <w:pPr>
        <w:pStyle w:val="Compact"/>
        <w:numPr>
          <w:ilvl w:val="0"/>
          <w:numId w:val="1017"/>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Текст : электронный // КонсультантПлюс : справочная правовая система. — URL: https://www.consultant.ru/document/cons_doc_LAW_144624/ (дата обращения: 05.10.2026).</w:t>
      </w:r>
    </w:p>
    <w:p>
      <w:pPr>
        <w:pStyle w:val="Compact"/>
        <w:numPr>
          <w:ilvl w:val="0"/>
          <w:numId w:val="1017"/>
        </w:numPr>
      </w:pPr>
      <w:r>
        <w:t xml:space="preserve">[н] Федеральный закон от 18.07.2011 № 223-ФЗ «О закупках товаров, работ, услуг отдельными видами юридических лиц». — Текст : электронный // КонсультантПлюс : справочная правовая система. — URL: https://www.consultant.ru/document/cons_doc_LAW_116964/ (дата обращения: 05.10.2026).</w:t>
      </w:r>
    </w:p>
    <w:p>
      <w:pPr>
        <w:pStyle w:val="Compact"/>
        <w:numPr>
          <w:ilvl w:val="0"/>
          <w:numId w:val="1017"/>
        </w:numPr>
      </w:pPr>
      <w:r>
        <w:t xml:space="preserve">[н] Письмо Минфина России от 29.12.2014 № 02-02-08/68298. — Текст : электронный // Гарант.ру : информационно-правовой портал. — URL: https://base.garant.ru/70853116/ (дата обращения: 05.10.2026).</w:t>
      </w:r>
    </w:p>
    <w:p>
      <w:pPr>
        <w:pStyle w:val="Compact"/>
        <w:numPr>
          <w:ilvl w:val="0"/>
          <w:numId w:val="1017"/>
        </w:numPr>
      </w:pPr>
      <w:r>
        <w:t xml:space="preserve">[н] Постановление Арбитражного суда Дальневосточного округа от 05.12.2025 № Ф03-3556/25 по делу № А73-20917/2024. — Текст : электронный // Гарант.ру : информационно-правовой портал. — URL: https://base.garant.ru/37266612/ ; https://www.garant.ru/files/6/0/2049606/postanovlenie_arbitragnogo_suda_dalnevostochnogo_okruga_ot_5_dekabrya_2025_g_n_f0.pdf (дата обращения: 05.10.2026).</w:t>
      </w:r>
    </w:p>
    <w:p>
      <w:pPr>
        <w:pStyle w:val="Compact"/>
        <w:numPr>
          <w:ilvl w:val="0"/>
          <w:numId w:val="1017"/>
        </w:numPr>
      </w:pPr>
      <w:r>
        <w:t xml:space="preserve">[н] Красавин Е. Верховный Суд: закупки по госзаданию автономные учреждения обязаны проводить по 44-ФЗ. Определение № 303-ЭС25-15393. — Текст : электронный // Блог pro-ability.ru. 25.02.2026. — URL: https://www.pro-ability.ru/tpost/sbdtgydex1-verhovnii-sud-zakupki-po-goszadaniyu-avt (дата обращения: 05.10.2026).</w:t>
      </w:r>
    </w:p>
    <w:p>
      <w:pPr>
        <w:pStyle w:val="Compact"/>
        <w:numPr>
          <w:ilvl w:val="0"/>
          <w:numId w:val="1017"/>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и в определении от 28.01.2026 — А73-20917/2024). — Текст : электронный // СудАкт. — URL: https://sudact.ru/vsrf/doc/aZCIdQcDpC5v/ (дата обращения: 05.10.2026) ; Верховный Суд Российской Федерации : официальный сайт. — URL: https://vsrf.ru/lk/practice/stor_pdf_ec/2512972 (дата обращения: 07.10.2026).</w:t>
      </w:r>
    </w:p>
    <w:p>
      <w:pPr>
        <w:pStyle w:val="Compact"/>
        <w:numPr>
          <w:ilvl w:val="0"/>
          <w:numId w:val="1017"/>
        </w:numPr>
      </w:pPr>
      <w:r>
        <w:t xml:space="preserve">[н] Кулаков А. Обзор решений Верховного суда РФ по закупкам [в т. ч. определение ВС РФ от 28.01.2026 № 303-ЭС25-15393 по делу № А73-20917/2024]. — Текст : электронный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17"/>
        </w:numPr>
      </w:pPr>
      <w:r>
        <w:t xml:space="preserve">[н] Определение судьи Верховного Суда Российской Федерации от 28.01.2026 № 303-ЭС25-15393 [об отказе в передаче кассационной жалобы краевого государственного специализированного автономного учреждения «Дальневосточная база авиационной охраны лесов» для рассмотрения в судебном заседании Судебной коллегии по экономическим спорам; дело № А73-20917/2024]. — Текст : электронный // Верховный Суд Российской Федерации : официальный сайт. — URL: https://vsrf.ru/lk/practice/stor_pdf_ec/2517490 (дата обращения: 07.10.2026).</w:t>
      </w:r>
    </w:p>
    <w:p>
      <w:pPr>
        <w:pStyle w:val="Compact"/>
        <w:numPr>
          <w:ilvl w:val="0"/>
          <w:numId w:val="1017"/>
        </w:numPr>
      </w:pPr>
      <w:r>
        <w:t xml:space="preserve">[н] Когда автономные учреждения не вправе контрактоваться по Закону № 223-ФЗ / ГАРАНТ.РУ; воспроизведено: Информационный портал закупок. 2026. — Текст : электронный // zakupki-portal.ru : [сайт]. — URL: https://www.zakupki-portal.ru/novosti/main-news/kogda-avtonomnye-uchrezhdeniya-ne-vprave-kontraktovat-sya-po-zakonu-223-fz/ (дата обращения: 05.10.2026).</w:t>
      </w:r>
    </w:p>
    <w:p>
      <w:pPr>
        <w:pStyle w:val="Compact"/>
        <w:numPr>
          <w:ilvl w:val="0"/>
          <w:numId w:val="1017"/>
        </w:numPr>
      </w:pPr>
      <w:r>
        <w:t xml:space="preserve">[н] Извещение № 0372200070825000244 «Поставка продуктов питания» (заказчик — СПб ГБСУСОН «ДСО „Тесовый берег“», ИНН 7827661874; опубл. 24.11.2025). — Текст : электронный // tenderguru.ru : [сайт]. — URL: https://www.tenderguru.ru/tender/90473908 (дата обращения: 05.10.2026).</w:t>
      </w:r>
    </w:p>
    <w:p>
      <w:pPr>
        <w:pStyle w:val="Compact"/>
        <w:numPr>
          <w:ilvl w:val="0"/>
          <w:numId w:val="1017"/>
        </w:numPr>
      </w:pPr>
      <w:r>
        <w:t xml:space="preserve">[о] Кодекс Российской Федерации об административных правонарушениях от 30.12.2001 № 195-ФЗ. Ст. 6.3, 6.6, 6.7. — Текст : электронный // КонсультантПлюс : справочная правовая система. — URL: https://www.consultant.ru/document/cons_doc_LAW_34661/ (дата обращения: 05.10.2026).</w:t>
      </w:r>
    </w:p>
    <w:p>
      <w:pPr>
        <w:pStyle w:val="Compact"/>
        <w:numPr>
          <w:ilvl w:val="0"/>
          <w:numId w:val="1017"/>
        </w:numPr>
      </w:pPr>
      <w:r>
        <w:t xml:space="preserve">[н] Новости прокуратуры: привлечение к ответственности по ст. 6.6 КоАП РФ руководителя социально-реабилитационного центра (2022). — Текст : электронный // Кашин.инфо. — URL: https://www.kashin.info/prokuratura-informiruet/novosti-prokuratury/9121 (дата обращения: 23.07.2026).</w:t>
      </w:r>
    </w:p>
    <w:p>
      <w:pPr>
        <w:pStyle w:val="Compact"/>
        <w:numPr>
          <w:ilvl w:val="0"/>
          <w:numId w:val="1017"/>
        </w:numPr>
      </w:pPr>
      <w:r>
        <w:t xml:space="preserve">[н] Постановление Верховного Суда РФ от 21.02.2019 № 11-АД19-4. — Текст : электронный // Гарант.ру : информационно-правовой портал. — URL: https://www.garant.ru/products/ipo/prime/doc/72095418/ (дата обращения: 05.10.2026).</w:t>
      </w:r>
    </w:p>
    <w:p>
      <w:pPr>
        <w:pStyle w:val="Compact"/>
        <w:numPr>
          <w:ilvl w:val="0"/>
          <w:numId w:val="1017"/>
        </w:numPr>
      </w:pPr>
      <w:r>
        <w:t xml:space="preserve">[н] ФАС раскрыла картель на торгах на поставку социально значимых продуктов. — Текст : электронный // Российская газета. 25.07.2024. — URL: https://rg.ru/2024/07/25/fas-raskryla-kartel-na-torgah-na-postavku-socialno-znachimyh-produktov.html (дата обращения: 23.07.2026).</w:t>
      </w:r>
    </w:p>
    <w:p>
      <w:pPr>
        <w:pStyle w:val="Compact"/>
        <w:numPr>
          <w:ilvl w:val="0"/>
          <w:numId w:val="1017"/>
        </w:numPr>
      </w:pPr>
      <w:r>
        <w:t xml:space="preserve">[н] Челябинское УФАС: картель на 27 тендерах школьного питания. — Текст : электронный // Про-Госзаказ. — 2025. — URL: https://pro-goszakaz.ru/news/116068 (дата обращения: 05.10.2026).</w:t>
      </w:r>
    </w:p>
    <w:p>
      <w:pPr>
        <w:pStyle w:val="Compact"/>
        <w:numPr>
          <w:ilvl w:val="0"/>
          <w:numId w:val="1017"/>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Текст : электронный // Гарант.ру : информационно-правовой портал. — URL: https://base.garant.ru/405012407/ (дата обращения: 05.10.2026).</w:t>
      </w:r>
    </w:p>
    <w:p>
      <w:pPr>
        <w:pStyle w:val="Compact"/>
        <w:numPr>
          <w:ilvl w:val="0"/>
          <w:numId w:val="1017"/>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Текст : электронный // nn-gov.ru : [сайт]. — URL: https://nn-gov.ru/doc/123332 (дата обращения: 05.10.2026).</w:t>
      </w:r>
    </w:p>
    <w:p>
      <w:pPr>
        <w:pStyle w:val="Compact"/>
        <w:numPr>
          <w:ilvl w:val="0"/>
          <w:numId w:val="1017"/>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постановление № 231-п в списке источников). — Текст : электронный // lawmix.ru : [сайт]. — URL: https://lawmix.ru/zakonodatelstvo/1941538 (дата обращения: 05.10.2026).</w:t>
      </w:r>
    </w:p>
    <w:p>
      <w:pPr>
        <w:pStyle w:val="Compact"/>
        <w:numPr>
          <w:ilvl w:val="0"/>
          <w:numId w:val="1017"/>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Текст : электронный // Гарант.ру : информационно-правовой портал. — URL: https://www.garant.ru/hotlaw/peterburg/1318583/ (дата обращения: 05.10.2026).</w:t>
      </w:r>
    </w:p>
    <w:p>
      <w:pPr>
        <w:pStyle w:val="Compact"/>
        <w:numPr>
          <w:ilvl w:val="0"/>
          <w:numId w:val="1017"/>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Текст : электронный // Гарант.ру : информационно-правовой портал. — URL: https://base.garant.ru/22921910/ (дата обращения: 05.10.2026).</w:t>
      </w:r>
    </w:p>
    <w:p>
      <w:pPr>
        <w:pStyle w:val="Compact"/>
        <w:numPr>
          <w:ilvl w:val="0"/>
          <w:numId w:val="1017"/>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Текст : электронный // Гарант.ру : информационно-правовой портал. — URL: https://base.garant.ru/411120324/ ; официальная публикация (номер 7801202412170003): http://publication.pravo.gov.ru/Document/View/7801202412170003 (дата обращения: 05.10.2026).</w:t>
      </w:r>
    </w:p>
    <w:p>
      <w:pPr>
        <w:pStyle w:val="Compact"/>
        <w:numPr>
          <w:ilvl w:val="0"/>
          <w:numId w:val="1017"/>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Текст : электронный // Официальный интернет-портал правовой информации. — URL: http://publication.pravo.gov.ru/document/7801202512190004 (дата обращения: 05.10.2026).</w:t>
      </w:r>
    </w:p>
    <w:p>
      <w:pPr>
        <w:pStyle w:val="Compact"/>
        <w:numPr>
          <w:ilvl w:val="0"/>
          <w:numId w:val="1017"/>
        </w:numPr>
      </w:pPr>
      <w:r>
        <w:t xml:space="preserve">[н] Постановление Правительства Санкт-Петербурга от 23.07.2009 № 873 «О мерах по реализации Закона Санкт-Петербурга „О социальном питании в Санкт-Петербурге“», п. 7 (в ред. постановления от 21.11.2013 № 889) [копия текста на сайте образовательного учреждения]. — Текст : электронный // school537.spb.ru : [сайт]. — URL: https://school537.spb.ru/wp-content/uploads/2025/12/o-merakh-po-realizatsii-zakona-sankt_peterburga-</w:t>
      </w:r>
      <w:r>
        <w:rPr>
          <w:i/>
          <w:iCs/>
        </w:rPr>
        <w:t xml:space="preserve">o-sotsialnom-pitanii-v-sankt_peterburge</w:t>
      </w:r>
      <w:r>
        <w:t xml:space="preserve">-.pdf (дата обращения: 05.10.2026).</w:t>
      </w:r>
    </w:p>
    <w:p>
      <w:pPr>
        <w:pStyle w:val="Compact"/>
        <w:numPr>
          <w:ilvl w:val="0"/>
          <w:numId w:val="1017"/>
        </w:numPr>
      </w:pPr>
      <w:r>
        <w:t xml:space="preserve">[о] Ежегодный доклад Уполномоченного по правам ребёнка в Санкт-Петербурге за 2024 год. — Текст : электронный // spbdeti.org : [сайт]. — URL: https://spbdeti.org/upload/iblock/357/f10ncjwqcpqic00z1kiskc8zw7jy26ow/ZAKS_2025.pdf (дата обращения: 16.07.2026, по первой редакции обзора).</w:t>
      </w:r>
    </w:p>
    <w:p>
      <w:pPr>
        <w:pStyle w:val="Compact"/>
        <w:numPr>
          <w:ilvl w:val="0"/>
          <w:numId w:val="1017"/>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Текст : электронный // navigator.osoboepravo.ru : [сайт]. — URL: https://navigator.osoboepravo.ru/explanation/417.html (дата обращения: 05.10.2026).</w:t>
      </w:r>
    </w:p>
    <w:p>
      <w:pPr>
        <w:pStyle w:val="Compact"/>
        <w:numPr>
          <w:ilvl w:val="0"/>
          <w:numId w:val="1017"/>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Текст : электронный // pvt31.ru : [сайт]. — URL: https://pvt31.ru/files/fload/NPA/prikaz_departamenta_socialnoy_zashchity_naseleniya_goroda_moskvy_ot_24_dekabrya_2014_g._no_1068_.pdf (дата обращения: 05.10.2026).</w:t>
      </w:r>
    </w:p>
    <w:p>
      <w:pPr>
        <w:pStyle w:val="Compact"/>
        <w:numPr>
          <w:ilvl w:val="0"/>
          <w:numId w:val="1017"/>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Текст : электронный // Гарант.ру : информационно-правовой портал. — URL: https://base.garant.ru/404606671/ (дата обращения: 05.10.2026).</w:t>
      </w:r>
    </w:p>
    <w:p>
      <w:pPr>
        <w:pStyle w:val="Compact"/>
        <w:numPr>
          <w:ilvl w:val="0"/>
          <w:numId w:val="1017"/>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Текст : электронный // chk-di.soc52.ru : [сайт]. — URL: http://chk-di.soc52.ru/chk-di-documents/statement/3786-statement-nutrition (дата обращения: 05.10.2026).</w:t>
      </w:r>
    </w:p>
    <w:p>
      <w:pPr>
        <w:pStyle w:val="Compact"/>
        <w:numPr>
          <w:ilvl w:val="0"/>
          <w:numId w:val="1017"/>
        </w:numPr>
      </w:pPr>
      <w:r>
        <w:t xml:space="preserve">[о] Приказ от 11.11.2014 № 171-п (нормы питания в организациях социального обслуживания Омской области). — Текст : электронный // Гарант.ру : информационно-правовой портал. — URL: https://base.garant.ru/15588873/ (дата обращения: 05.10.2026).</w:t>
      </w:r>
    </w:p>
    <w:p>
      <w:pPr>
        <w:pStyle w:val="Compact"/>
        <w:numPr>
          <w:ilvl w:val="0"/>
          <w:numId w:val="1017"/>
        </w:numPr>
      </w:pPr>
      <w:r>
        <w:t xml:space="preserve">[о] Приказ Комитета по социальной защите населения Псковской области от 14.07.2020 № 206 (нормы питания). — Текст : электронный // FAOLEX. — URL: https://faolex.fao.org/docs/pdf/rus203529.pdf (дата обращения: 05.10.2026).</w:t>
      </w:r>
    </w:p>
    <w:p>
      <w:pPr>
        <w:pStyle w:val="Compact"/>
        <w:numPr>
          <w:ilvl w:val="0"/>
          <w:numId w:val="1017"/>
        </w:numPr>
      </w:pPr>
      <w:r>
        <w:t xml:space="preserve">[н] Приказ Главного государственного управления социальной защиты населения Псковской области от 07.11.2014 № 340 : справочная информация (отметка: «Приказом Комитета по социальной защите Псковской области от 14 июля 2020 г. N 206 настоящий документ признан утратившим силу с 3 августа 2020 г.»). — Текст : электронный // Гарант.ру : информационно-правовой портал. — URL: https://base.garant.ru/16751623/ (дата обращения: 06.10.2026).</w:t>
      </w:r>
    </w:p>
    <w:p>
      <w:pPr>
        <w:pStyle w:val="Compact"/>
        <w:numPr>
          <w:ilvl w:val="0"/>
          <w:numId w:val="1017"/>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Текст : электронный // Официальный интернет-портал правовой информации. — URL: https://base.garant.ru/408512695/ ; https://base.garant.ru/412848299/ ; https://base.garant.ru/29905144/53f89421bbdaf741eb2d1ecc4ddb4c33/ (дата обращения: 05.10.2026).</w:t>
      </w:r>
    </w:p>
    <w:p>
      <w:pPr>
        <w:pStyle w:val="Compact"/>
        <w:numPr>
          <w:ilvl w:val="0"/>
          <w:numId w:val="1017"/>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Текст : электронный // Официальный интернет-портал правовой информации. — URL: http://publication.pravo.gov.ru/document/4701202508060002 ; http://publication.pravo.gov.ru/file/pdf?eoNumber=4701202508060002 (дата обращения: 05.10.2026).</w:t>
      </w:r>
    </w:p>
    <w:p>
      <w:pPr>
        <w:pStyle w:val="Compact"/>
        <w:numPr>
          <w:ilvl w:val="0"/>
          <w:numId w:val="1017"/>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Текст : электронный // Гарант.ру : информационно-правовой портал. — URL: https://base.garant.ru/18936377/ ; https://base.garant.ru/18936377/53f89421bbdaf741eb2d1ecc4ddb4c33/ (дата обращения: 05.10.2026).</w:t>
      </w:r>
    </w:p>
    <w:p>
      <w:pPr>
        <w:pStyle w:val="Compact"/>
        <w:numPr>
          <w:ilvl w:val="0"/>
          <w:numId w:val="1017"/>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Текст : электронный // sprt.tatar : [сайт]. — URL: https://sprt.tatar/files/Otchet_Psih_2025.pdf (дата обращения: 16.07.2026, по первой редакции обзора).</w:t>
      </w:r>
    </w:p>
    <w:p>
      <w:pPr>
        <w:pStyle w:val="Compact"/>
        <w:numPr>
          <w:ilvl w:val="0"/>
          <w:numId w:val="1017"/>
        </w:numPr>
      </w:pPr>
      <w:r>
        <w:t xml:space="preserve">[н] СПб ГАСУСОН «ДСО „Серафимовский“» (ранее СПб ГАСУ СО «ПНИ № 9»). Информация об организации социального питания в СПб ГАСУ СО «ПНИ № 9» на 2022 год. — Текст : электронный // sdso-spb.ru : [сайт]. — URL: https://sdso-spb.ru/wp-content/uploads/sfv/docs/a08dfea89605-Информация-об-организации-социального-питания-СПБ-ГАСУ-СО-ПНИ-9-на-2022-год.pdf (дата обращения: 05.10.2026).</w:t>
      </w:r>
    </w:p>
    <w:p>
      <w:pPr>
        <w:pStyle w:val="Compact"/>
        <w:numPr>
          <w:ilvl w:val="0"/>
          <w:numId w:val="1017"/>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pStyle w:val="Compact"/>
        <w:numPr>
          <w:ilvl w:val="0"/>
          <w:numId w:val="1017"/>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 извещению приложены цикличные меню — «приложение № 2, ч. 1 ЦМ ОВД», «ч. 2 ЦМ ИП», «ч. 3 ЦМ ОВД2», «ч. 4 ЦМ лето») [карточки агрегатора закупок; Единая информационная система с бокса недоступна, извещения по ней не сверялись]. — Текст : электронный // orenburg.bt.su : [сайт]. — URL: https://orenburg.bt.su/tender/336737354.html ; https://orenburg.bt.su/tender/336248763.html (дата обращения: 05.10.2026; перечень документации и протоколов по извещению № 32616197209 — 07.10.2026).</w:t>
      </w:r>
    </w:p>
    <w:p>
      <w:pPr>
        <w:pStyle w:val="Compact"/>
        <w:numPr>
          <w:ilvl w:val="0"/>
          <w:numId w:val="1017"/>
        </w:numPr>
      </w:pPr>
      <w:r>
        <w:t xml:space="preserve">[н] Закупки СПб ГАСУСОН «ДСО „Серафимовский“» (ИНН 7807022277) по 223-ФЗ, ОКПД2 56.29.19.000 «Услуги по обеспечению питанием»: «Оказание услуг по организации питания в 2026 году» (извещение № 32515363453; договор № 32515363453-01 от 02.12.2025, исполнитель — ООО «АгроФуд», 219 945 788 руб.); «…в июле 2026 года» (извещение № 32616169674 от 01.07.2026; 18 663 001,30 руб.; 22 165, 496 и 6 820 человеко-дней по трём позициям); серия закупок у единственного поставщика по 591 326 руб. (24.06–02.07.2026); «…в августе — декабре 2026 года» (извещение № 32616197209; 109 395, 2 448 и 33 660 человеко-дней по трём позициям; договор № 32616197209-01 от 17.08.2026, исполнитель — ООО «Мастерская Гурмана»). Карточки агрегатора закупок по данным ЕИС; номера и исполнители договоров 2025 и 2026 гг. взяты из реестра договоров ЕИС, который с бокса автора недоступен; агрегаторы эти договоры не показывают, сверка не проведена. — Текст : электронный // zakupkipro.com : [сайт]. — URL: https://zakupkipro.com/zakazchik/7807022277/ ; https://zakupkipro.com/zakupka/32616169674/ ; https://zakupkipro.com/zakupka/32616197209/ ; ЕИС: https://zakupki.gov.ru/ (дата обращения: 05.10.2026; карточка № 32616197209 — 07.10.2026, ЕИС с бокса недоступна и 07.10.2026).</w:t>
      </w:r>
    </w:p>
    <w:p>
      <w:pPr>
        <w:pStyle w:val="Compact"/>
        <w:numPr>
          <w:ilvl w:val="0"/>
          <w:numId w:val="1017"/>
        </w:numPr>
      </w:pPr>
      <w:r>
        <w:t xml:space="preserve">[н] Закупки государственных бюджетных учреждений социального обслуживания Самарской области «Оказание услуг по приготовлению питания по вариативному меню…» по 44-ФЗ (открытые конкурсы в электронной форме; ОКПД2 56.29.20.190; единица — койко-день): Тольяттинский дом-интернат для престарелых, инвалидов (извещение № 0142200001325020012 от 26.08.2025; 18 438 795,48 руб.; 502,31 руб. за койко-день); 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(показ 28.08–14.09.2026; 17 269 464,28 руб.); Отрадненский дом-интернат для престарелых, инвалидов на 2027 г. (№ 0142200001326016025 от 12.08.2026; 12 027 024,75 руб.; 13 975 койко-дней по 860,61 руб.); Чапаевский дом-интернат для престарелых, инвалидов (№ 0142200001326016110; 12 597 084,15 руб.; 818,79 руб.); ДСО «Самарский» (№ 0142200001326016190; 11 921 555,20 руб.); ДСО «Алексеевский» (№ 0142200001326016350 от 18.08.2026; 6 463 386,03 руб.; 715,57 руб.) [карточки агрегаторов закупок по данным ЕИС; ЕИС с бокса недоступна, документация (техническое задание, меню, проект контракта) не прочитана; снимки карточек —</w:t>
      </w:r>
      <w:r>
        <w:t xml:space="preserve"> </w:t>
      </w:r>
      <w:r>
        <w:rPr>
          <w:rStyle w:val="VerbatimChar"/>
        </w:rPr>
        <w:t xml:space="preserve">raw/sources/samara-variativnoe-menu-zakupki/</w:t>
      </w:r>
      <w:r>
        <w:t xml:space="preserve">]. — Текст : электронный // poisktenderov.ru ; bicotender.ru ; samara.bt.su ; tendermedia.ru ; kpshka.ru ; expertcentre.org : [сайты]. — URL: https://poisktenderov.ru/item/0142200001326016564/ ; https://poisktenderov.ru/item/0142200001325020877/ ; https://poisktenderov.ru/item/0142200001325020012/ ; https://poisktenderov.ru/item/0142200001326016350/ ; https://samara.bt.su/tender/339730731.html ; https://tendermedia.ru/lot/show/61650588 ; https://kpshka.ru/eis/tender-0142200001326016110 ; https://expertcentre.org/purchase/6a7f21bb6d4875be4f91f412 (дата обращения: 08.10.2026).</w:t>
      </w:r>
    </w:p>
    <w:p>
      <w:pPr>
        <w:pStyle w:val="Compact"/>
        <w:numPr>
          <w:ilvl w:val="0"/>
          <w:numId w:val="1017"/>
        </w:numPr>
      </w:pPr>
      <w:r>
        <w:t xml:space="preserve">[н] Wheeler M., Abbey K. L., Capra S. M. Choice on the menu: Increasing meal choice for people living in residential aged care, a pilot study. — Текст : электронный // Journal of Human Nutrition and Dietetics. — 2025. — Vol. 38, № 1. — e13401. — DOI: 10.1111/jhn.13401.</w:t>
      </w:r>
    </w:p>
    <w:p>
      <w:pPr>
        <w:pStyle w:val="Compact"/>
        <w:numPr>
          <w:ilvl w:val="0"/>
          <w:numId w:val="1017"/>
        </w:numPr>
      </w:pPr>
      <w:r>
        <w:t xml:space="preserve">[н] ГБУ СО «Кошкинский дом-интернат для престарелых, инвалидов». Основные виды социальных услуг [раздел «Качество горячего питания» в отчётах за 2017 и 2018 гг.] ; Пансионату 10 лет [недатированная статья]. — Текст : электронный // koshpvt.ru : [сайт]. — URL: https://koshpvt.ru/uslugi/10-uslugi ; https://koshpvt.ru/component/content/article/2-uncategorised/41-pansionatu-10-let (дата обращения: 08.10.2026).</w:t>
      </w:r>
    </w:p>
    <w:p>
      <w:pPr>
        <w:pStyle w:val="Compact"/>
        <w:numPr>
          <w:ilvl w:val="0"/>
          <w:numId w:val="1017"/>
        </w:numPr>
      </w:pPr>
      <w:r>
        <w:t xml:space="preserve">[н] Cereda E., Pedrolli C., Klersy C. et al. Nutritional status in older persons according to healthcare setting: A systematic review and meta-analysis of prevalence data using MNA®. — Текст : электронный // Clinical Nutrition. — 2016. — Vol. 35, № 6. — P. 1282–1290. — DOI: 10.1016/j.clnu.2016.03.008.</w:t>
      </w:r>
    </w:p>
    <w:p>
      <w:pPr>
        <w:pStyle w:val="Compact"/>
        <w:numPr>
          <w:ilvl w:val="0"/>
          <w:numId w:val="1017"/>
        </w:numPr>
      </w:pPr>
      <w:r>
        <w:t xml:space="preserve">[н] Wright O. R. L., Connelly L. B., Capra S., Hendrikz J. Determinants of foodservice satisfaction for patients in geriatrics/rehabilitation and residents in residential aged care. — Текст : электронный // Health Expectations. — 2013. — Vol. 16, № 3. — P. 251–265. — DOI: 10.1111/j.1369-7625.2011.00711.x.</w:t>
      </w:r>
    </w:p>
    <w:p>
      <w:pPr>
        <w:pStyle w:val="Compact"/>
        <w:numPr>
          <w:ilvl w:val="0"/>
          <w:numId w:val="1017"/>
        </w:numPr>
      </w:pPr>
      <w:r>
        <w:t xml:space="preserve">[н] Abbey K. L., Wright O. R. L., Capra S. Menu Planning in Residential Aged Care — The Level of Choice and Quality of Planning of Meals Available to Residents. — Текст : электронный // Nutrients. — 2015. — Vol. 7, № 9. — P. 7580–7592. — DOI: 10.3390/nu7095354.</w:t>
      </w:r>
    </w:p>
    <w:p>
      <w:pPr>
        <w:pStyle w:val="Compact"/>
        <w:numPr>
          <w:ilvl w:val="0"/>
          <w:numId w:val="1017"/>
        </w:numPr>
      </w:pPr>
      <w:r>
        <w:t xml:space="preserve">[н] Wheeler M., Abbey K. L., Capra S. M. Choice on the menu in residential aged care: An underrated tool for maintaining resident autonomy. — Текст : электронный // Nutrition &amp; Dietetics. — 2025. — Vol. 82, № 3. — P. 327–336. — DOI: 10.1111/1747-0080.70002.</w:t>
      </w:r>
    </w:p>
    <w:p>
      <w:pPr>
        <w:pStyle w:val="Compact"/>
        <w:numPr>
          <w:ilvl w:val="0"/>
          <w:numId w:val="1017"/>
        </w:numPr>
      </w:pPr>
      <w:r>
        <w:t xml:space="preserve">[н] McCray S., Maunder K., Krikowa R., MacKenzie-Shalders K. Room Service Improves Nutritional Intake and Increases Patient Satisfaction While Decreasing Food Waste and Cost. — Текст : электронный // Journal of the Academy of Nutrition and Dietetics. — 2018. — Vol. 118, № 2. — P. 284–293. — DOI: 10.1016/j.jand.2017.05.014.</w:t>
      </w:r>
    </w:p>
    <w:p>
      <w:pPr>
        <w:pStyle w:val="Compact"/>
        <w:numPr>
          <w:ilvl w:val="0"/>
          <w:numId w:val="1017"/>
        </w:numPr>
      </w:pPr>
      <w:r>
        <w:t xml:space="preserve">[н] Wang D., Everett B., Brunero S. et al. Perspectives of residents and staff regarding food choice in residential aged care: A qualitative study. — Текст : электронный // Journal of Clinical Nursing. — 2020. — Vol. 29, № 3–4. — P. 626–637. — DOI: 10.1111/jocn.15115.</w:t>
      </w:r>
    </w:p>
    <w:p>
      <w:pPr>
        <w:pStyle w:val="Compact"/>
        <w:numPr>
          <w:ilvl w:val="0"/>
          <w:numId w:val="1017"/>
        </w:numPr>
      </w:pPr>
      <w:r>
        <w:t xml:space="preserve">[н] Bailey A., Bailey S., Bernoth M. ‘I’d rather die happy’: residents’ experiences with food regulations, risk and food choice in residential aged care. A qualitative study. — Текст : электронный // Contemporary Nurse. — 2017. — Vol. 53, № 6. — P. 597–606. — DOI: 10.1080/10376178.2017.1361334.</w:t>
      </w:r>
    </w:p>
    <w:p>
      <w:pPr>
        <w:pStyle w:val="Compact"/>
        <w:numPr>
          <w:ilvl w:val="0"/>
          <w:numId w:val="1017"/>
        </w:numPr>
      </w:pPr>
      <w:r>
        <w:t xml:space="preserve">[н] Mondkar A., Murdoch M., Gallagher J. E., Patel R. What’s on the menu? A qualitative study on the views of care home staff and residents on nutritional practices and implications for oral health. — Текст : электронный // BDJ Open. — 2025. — Vol. 11. — Art. 33. — DOI: 10.1038/s41405-025-00325-9.</w:t>
      </w:r>
    </w:p>
    <w:p>
      <w:pPr>
        <w:pStyle w:val="Compact"/>
        <w:numPr>
          <w:ilvl w:val="0"/>
          <w:numId w:val="1017"/>
        </w:numPr>
      </w:pPr>
      <w:r>
        <w:t xml:space="preserve">[н] Crogan N. L., Dupler A. E., Short R., Heaton G. Food choice can improve nursing home resident meal service satisfaction and nutritional status. — Текст : электронный // Journal of Gerontological Nursing. — 2013. — Vol. 39, № 5. — P. 38–45. — DOI: 10.3928/00989134-20130313-02.</w:t>
      </w:r>
    </w:p>
    <w:p>
      <w:pPr>
        <w:pStyle w:val="Compact"/>
        <w:numPr>
          <w:ilvl w:val="0"/>
          <w:numId w:val="1017"/>
        </w:numPr>
      </w:pPr>
      <w:r>
        <w:t xml:space="preserve">[н] Divert C., Laghmaoui R., Crema C. et al. Improving meal context in nursing homes. Impact of four strategies on food intake and meal pleasure. — Текст : электронный // Appetite. — 2015. — Vol. 84. — P. 139–147. — DOI: 10.1016/j.appet.2014.09.027.</w:t>
      </w:r>
    </w:p>
    <w:p>
      <w:pPr>
        <w:pStyle w:val="Compact"/>
        <w:numPr>
          <w:ilvl w:val="0"/>
          <w:numId w:val="1017"/>
        </w:numPr>
      </w:pPr>
      <w:r>
        <w:t xml:space="preserve">[н] Kenkmann A., Price G. M., Bolton J., Hooper L. Health, wellbeing and nutritional status of older people living in UK care homes: an exploratory evaluation of changes in food and drink provision. — Текст : электронный // BMC Geriatrics. — 2010. — Vol. 10. — Art. 28. — DOI: 10.1186/1471-2318-10-28.</w:t>
      </w:r>
    </w:p>
    <w:p>
      <w:pPr>
        <w:pStyle w:val="Compact"/>
        <w:numPr>
          <w:ilvl w:val="0"/>
          <w:numId w:val="1017"/>
        </w:numPr>
      </w:pPr>
      <w:r>
        <w:t xml:space="preserve">[н] Abbott R. A., Whear R., Thompson-Coon J. et al. Effectiveness of mealtime interventions on nutritional outcomes for the elderly living in residential care: a systematic review and meta-analysis. — Текст : электронный // Ageing Research Reviews. — 2013. — Vol. 12, № 4. — P. 967–981. — DOI: 10.1016/j.arr.2013.06.002.</w:t>
      </w:r>
    </w:p>
    <w:p>
      <w:pPr>
        <w:pStyle w:val="Compact"/>
        <w:numPr>
          <w:ilvl w:val="0"/>
          <w:numId w:val="1017"/>
        </w:numPr>
      </w:pPr>
      <w:r>
        <w:t xml:space="preserve">[н] Herke M., Fink A., Langer G. et al. Environmental and behavioural modifications for improving food and fluid intake in people with dementia. — Текст : электронный // Cochrane Database of Systematic Reviews. — 2018. — № 7. — CD011542. — DOI: 10.1002/14651858.CD011542.pub2.</w:t>
      </w:r>
    </w:p>
    <w:p>
      <w:pPr>
        <w:pStyle w:val="Compact"/>
        <w:numPr>
          <w:ilvl w:val="0"/>
          <w:numId w:val="1017"/>
        </w:numPr>
      </w:pPr>
      <w:r>
        <w:t xml:space="preserve">[н] Roos C., Alam M., Swall A. et al. Factors associated with older persons’ perceptions of dignity and well-being over a three-year period. A retrospective national study in residential care facilities. — Текст : электронный // BMC Geriatrics. — 2022. — Vol. 22. — Art. 515. — DOI: 10.1186/s12877-022-03205-1.</w:t>
      </w:r>
    </w:p>
    <w:p>
      <w:pPr>
        <w:pStyle w:val="Compact"/>
        <w:numPr>
          <w:ilvl w:val="0"/>
          <w:numId w:val="1017"/>
        </w:numPr>
      </w:pPr>
      <w:r>
        <w:t xml:space="preserve">[н] Teasdale S. B., Ward P. B., Samaras K. et al. Dietary intake of people with severe mental illness: systematic review and meta-analysis. — Текст : электронный // British Journal of Psychiatry. — 2019. — Vol. 214, № 5. — P. 251–259. — DOI: 10.1192/bjp.2019.20.</w:t>
      </w:r>
    </w:p>
    <w:p>
      <w:pPr>
        <w:pStyle w:val="Compact"/>
        <w:numPr>
          <w:ilvl w:val="0"/>
          <w:numId w:val="1017"/>
        </w:numPr>
      </w:pPr>
      <w:r>
        <w:t xml:space="preserve">[н] Özdemir A., Chapman H., Hall R., Ellahi B. Eating Well When Living With an Intellectual Disability — Exploring the Carer: Client Relationship in Residential Settings. — Текст : электронный // Journal of Applied Research in Intellectual Disabilities. — 2025. — Vol. 38, № 6. — e70157. — DOI: 10.1111/jar.70157.</w:t>
      </w:r>
    </w:p>
    <w:p>
      <w:pPr>
        <w:pStyle w:val="Compact"/>
        <w:numPr>
          <w:ilvl w:val="0"/>
          <w:numId w:val="1017"/>
        </w:numPr>
      </w:pPr>
      <w:r>
        <w:t xml:space="preserve">[н] Pfister F., Uhlmann K., Olalia L., Kaufmann B. Institutional and interpersonal determinants of dietary practices of persons with intellectual disability in institutional accommodation in Switzerland: a qualitative study. — Текст : электронный // BMC Public Health. — 2026. — Vol. 26. — Art. 1100. — DOI: 10.1186/s12889-026-26794-7.</w:t>
      </w:r>
    </w:p>
    <w:p>
      <w:pPr>
        <w:pStyle w:val="Compact"/>
        <w:numPr>
          <w:ilvl w:val="0"/>
          <w:numId w:val="1017"/>
        </w:numPr>
      </w:pPr>
      <w:r>
        <w:t xml:space="preserve">[н] Volkert D., Beck A. M., Cederholm T. et al. ESPEN practical guideline: Clinical nutrition and hydration in geriatrics. — Текст : электронный // Clinical Nutrition. — 2022. — Vol. 41, № 4. — P. 958–989. — DOI: 10.1016/j.clnu.2022.01.024.</w:t>
      </w:r>
    </w:p>
    <w:p>
      <w:pPr>
        <w:pStyle w:val="Compact"/>
        <w:numPr>
          <w:ilvl w:val="0"/>
          <w:numId w:val="1017"/>
        </w:numPr>
      </w:pPr>
      <w:r>
        <w:t xml:space="preserve">[н] Volkert D., Beck A. M., Faxén-Irving G. et al. ESPEN guideline on nutrition and hydration in dementia — Update 2024. — Текст : электронный // Clinical Nutrition. — 2024. — Vol. 43, № 6. — P. 1599–1626. — DOI: 10.1016/j.clnu.2024.04.039.</w:t>
      </w:r>
    </w:p>
    <w:p>
      <w:pPr>
        <w:pStyle w:val="Compact"/>
        <w:numPr>
          <w:ilvl w:val="0"/>
          <w:numId w:val="1017"/>
        </w:numPr>
      </w:pPr>
      <w:r>
        <w:t xml:space="preserve">[н] Roulston M., Thompson C., Pelly F., Cave D. Food waste in residential aged care: A scoping review. — Текст : электронный // Nutrition &amp; Dietetics. — 2026. — Vol. 83, № 1. — P. 56–73. — DOI: 10.1111/1747-0080.70034.</w:t>
      </w:r>
    </w:p>
    <w:p>
      <w:pPr>
        <w:pStyle w:val="Compact"/>
        <w:numPr>
          <w:ilvl w:val="0"/>
          <w:numId w:val="1017"/>
        </w:numPr>
      </w:pPr>
      <w:r>
        <w:t xml:space="preserve">[н] Williams P., Walton K. Plate waste in hospitals and strategies for change. — Текст : электронный // e-SPEN, the European e-Journal of Clinical Nutrition and Metabolism. — 2011. — Vol. 6, № 6. — P. — e235–e241. — DOI: 10.1016/j.eclnm.2011.09.006.</w:t>
      </w:r>
    </w:p>
    <w:p>
      <w:pPr>
        <w:pStyle w:val="Compact"/>
        <w:numPr>
          <w:ilvl w:val="0"/>
          <w:numId w:val="1017"/>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Текст : электронный // Nutrients. — 2020. — Vol. 12, № 9. — Art. 2677. — DOI: 10.3390/nu12092677.</w:t>
      </w:r>
    </w:p>
    <w:p>
      <w:pPr>
        <w:pStyle w:val="Compact"/>
        <w:numPr>
          <w:ilvl w:val="0"/>
          <w:numId w:val="1017"/>
        </w:numPr>
      </w:pPr>
      <w:r>
        <w:t xml:space="preserve">[н] Vucea V., Keller H. H., Morrison J. M. et al. Prevalence and Characteristics Associated with Modified Texture Food Use in Long Term Care: An Analysis of Making the Most of Mealtimes (M3) Project. — Текст : электронный // Canadian Journal of Dietetic Practice and Research. — 2019. — Vol. 80, № 3. — P. 104–110. — DOI: 10.3148/cjdpr-2018-045.</w:t>
      </w:r>
    </w:p>
    <w:p>
      <w:pPr>
        <w:pStyle w:val="Compact"/>
        <w:numPr>
          <w:ilvl w:val="0"/>
          <w:numId w:val="1017"/>
        </w:numPr>
      </w:pPr>
      <w:r>
        <w:t xml:space="preserve">[н] Porter J., Ottrey E., Huggins C. E. Protected Mealtimes in hospitals and nutritional intake: Systematic review and meta-analyses. — Текст : электронный // International Journal of Nursing Studies. — 2017. — Vol. 65. — P. 62–69. — DOI: 10.1016/j.ijnurstu.2016.11.002.</w:t>
      </w:r>
    </w:p>
    <w:p>
      <w:pPr>
        <w:pStyle w:val="Compact"/>
        <w:numPr>
          <w:ilvl w:val="0"/>
          <w:numId w:val="1017"/>
        </w:numPr>
      </w:pPr>
      <w:r>
        <w:t xml:space="preserve">[н] Hamasaki Y., Sakata N., Jin X. et al. Facility staffing associated with potentially avoidable hospitalizations in nursing home residents in Japan: a retrospective cohort study. — Текст : электронный // BMC Geriatrics. — 2023. — Vol. 23. — Art. 566. — DOI: 10.1186/s12877-023-04278-2.</w:t>
      </w:r>
    </w:p>
    <w:p>
      <w:pPr>
        <w:pStyle w:val="Compact"/>
        <w:numPr>
          <w:ilvl w:val="0"/>
          <w:numId w:val="1017"/>
        </w:numPr>
      </w:pPr>
      <w:r>
        <w:t xml:space="preserve">[н] Keller H. H., Syed S., Dakkak H. et al. Reimagining Nutrition Care and Mealtimes in Long-Term Care. — Текст : электронный // Journal of the American Medical Directors Association. — 2022. — Vol. 23, № 2. — P. 253–260.e1. — DOI: 10.1016/j.jamda.2021.12.021.</w:t>
      </w:r>
    </w:p>
    <w:p>
      <w:pPr>
        <w:pStyle w:val="Compact"/>
        <w:numPr>
          <w:ilvl w:val="0"/>
          <w:numId w:val="1017"/>
        </w:numPr>
      </w:pPr>
      <w:r>
        <w:t xml:space="preserve">[н] Simmons S. F., Osterweil D., Schnelle J. F. Improving food intake in nursing home residents with feeding assistance: a staffing analysis. — Текст : электронный // The Journals of Gerontology. Series A. — 2001. — Vol. 56, № 12. — P. M790–M794. — DOI: 10.1093/gerona/56.12.m790.</w:t>
      </w:r>
    </w:p>
    <w:p>
      <w:pPr>
        <w:pStyle w:val="Compact"/>
        <w:numPr>
          <w:ilvl w:val="0"/>
          <w:numId w:val="1017"/>
        </w:numPr>
      </w:pPr>
      <w:r>
        <w:t xml:space="preserve">[н] Simmons S. F., Schnelle J. F. Individualized feeding assistance care for nursing home residents: staffing requirements to implement two interventions. — Текст : электронный // The Journals of Gerontology. Series A. — 2004. — Vol. 59, № 9. — P. M966–M973. — DOI: 10.1093/gerona/59.9.m966.</w:t>
      </w:r>
    </w:p>
    <w:p>
      <w:pPr>
        <w:pStyle w:val="Compact"/>
        <w:numPr>
          <w:ilvl w:val="0"/>
          <w:numId w:val="1017"/>
        </w:numPr>
      </w:pPr>
      <w:r>
        <w:t xml:space="preserve">[н] Simmons S. F., Schnelle J. F. Feeding assistance needs of long-stay nursing home residents and staff time to provide care. — Текст : электронный // Journal of the American Geriatrics Society. — 2006. — Vol. 54, № 6. — P. 919–924. — DOI: 10.1111/j.1532-5415.2006.00812.x.</w:t>
      </w:r>
    </w:p>
    <w:p>
      <w:pPr>
        <w:pStyle w:val="Compact"/>
        <w:numPr>
          <w:ilvl w:val="0"/>
          <w:numId w:val="1017"/>
        </w:numPr>
      </w:pPr>
      <w:r>
        <w:t xml:space="preserve">[н] Simmons S. F., Keeler E., Zhuo X. et al. Prevention of unintentional weight loss in nursing home residents: a controlled trial of feeding assistance. — Текст : электронный // Journal of the American Geriatrics Society. — 2008. — Vol. 56, № 8. — P. 1466–1473. — DOI: 10.1111/j.1532-5415.2008.01801.x.</w:t>
      </w:r>
    </w:p>
    <w:p>
      <w:pPr>
        <w:pStyle w:val="Compact"/>
        <w:numPr>
          <w:ilvl w:val="0"/>
          <w:numId w:val="1017"/>
        </w:numPr>
      </w:pPr>
      <w:r>
        <w:t xml:space="preserve">[н] Hugo C., Isenring E., Sinclair D., Agarwal E. What does it cost to feed aged care residents in Australia?. — Текст : электронный // Nutrition &amp; Dietetics. — 2018. — Vol. 75, № 1. — P. 6–10. — DOI: 10.1111/1747-0080.12368.</w:t>
      </w:r>
    </w:p>
    <w:p>
      <w:pPr>
        <w:pStyle w:val="Compact"/>
        <w:numPr>
          <w:ilvl w:val="0"/>
          <w:numId w:val="1017"/>
        </w:numPr>
      </w:pPr>
      <w:r>
        <w:t xml:space="preserve">[н] The Health and Social Care Act 2008 (Regulated Activities) Regulations 2014 (SI 2014/2936). Regulation 14: Meeting nutritional and hydration needs. — Текст : электронный // legislation.gov.uk. — URL: https://www.legislation.gov.uk/uksi/2014/2936/regulation/14 (дата обращения: 05.10.2026).</w:t>
      </w:r>
    </w:p>
    <w:p>
      <w:pPr>
        <w:pStyle w:val="Compact"/>
        <w:numPr>
          <w:ilvl w:val="0"/>
          <w:numId w:val="1017"/>
        </w:numPr>
      </w:pPr>
      <w:r>
        <w:t xml:space="preserve">[н] Care Quality Commission. Regulations for service providers and managers. Regulation 14: Meeting nutritional and hydration needs (guidance; page last updated 16.05.2025). — Текст : электронный // Care Quality Commission. — URL: https://www.cqc.org.uk/guidance-providers/regulations/regulation-14-meeting-nutritional-hydration-needs (дата обращения: 05.10.2026).</w:t>
      </w:r>
    </w:p>
    <w:p>
      <w:pPr>
        <w:pStyle w:val="Compact"/>
        <w:numPr>
          <w:ilvl w:val="0"/>
          <w:numId w:val="1017"/>
        </w:numPr>
      </w:pPr>
      <w:r>
        <w:t xml:space="preserve">[н] Scottish Government. Health and Social Care Standards: my support, my life. 2017. Standards 1.33–1.39; Care Inspectorate. Eating and drinking well in care: good practice guidance. — Текст : электронный // Scottish Government. — URL: https://www.gov.scot/publications/health-social-care-standards-support-life/ ; https://www.careinspectorate.com/ (дата обращения: 05.10.2026).</w:t>
      </w:r>
    </w:p>
    <w:p>
      <w:pPr>
        <w:pStyle w:val="Compact"/>
        <w:numPr>
          <w:ilvl w:val="0"/>
          <w:numId w:val="1017"/>
        </w:numPr>
      </w:pPr>
      <w:r>
        <w:t xml:space="preserve">[н] 42 CFR § 483.60. Food and nutrition services. — Текст : электронный // Legal Information Institute. — URL: https://www.law.cornell.edu/cfr/text/42/483.60 (дата обращения: 05.10.2026).</w:t>
      </w:r>
    </w:p>
    <w:p>
      <w:pPr>
        <w:pStyle w:val="Compact"/>
        <w:numPr>
          <w:ilvl w:val="0"/>
          <w:numId w:val="1017"/>
        </w:numPr>
      </w:pPr>
      <w:r>
        <w:t xml:space="preserve">[н] Centers for Medicare &amp; Medicaid Services. State Operations Manual. Appendix PP — Guidance to Surveyors for Long Term Care Facilities (Rev. 225, issued 08.08.2024). F806 «Resident Allergies, Preferences and Substitutes» (Rev. 173, effective 28.11.2017). — Текст : электронный // Centers for Medicare &amp; Medicaid Services. — URL: https://www.cms.gov/medicare/provider-enrollment-and-certification/guidanceforlawsandregulations/downloads/appendix-pp-state-operations-manual.pdf (дата обращения: 05.10.2026).</w:t>
      </w:r>
    </w:p>
    <w:p>
      <w:pPr>
        <w:pStyle w:val="Compact"/>
        <w:numPr>
          <w:ilvl w:val="0"/>
          <w:numId w:val="1017"/>
        </w:numPr>
      </w:pPr>
      <w:r>
        <w:t xml:space="preserve">[н] Centers for Medicare &amp; Medicaid Services. Form CMS-20053 «Dining Observation» (8/2015). — Текст : электронный // Centers for Medicare &amp; Medicaid Services. — URL: https://www.cms.gov/files/document/cms-20053-diningpdf (дата обращения: 05.10.2026).</w:t>
      </w:r>
    </w:p>
    <w:p>
      <w:pPr>
        <w:pStyle w:val="Compact"/>
        <w:numPr>
          <w:ilvl w:val="0"/>
          <w:numId w:val="1017"/>
        </w:numPr>
      </w:pPr>
      <w:r>
        <w:t xml:space="preserve">[н] Ontario Regulation 246/22 (General) under the Fixing Long-Term Care Act, 2021. Section 77: Menu planning (воспроизведено по: OSNAC Menu Evaluation &amp; Approval Tool for LTC, July 2022). — Текст : электронный // Government of Ontario. — URL: https://www.ontario.ca/laws/regulation/220246 ; https://www.osnac-fnat.com/_files/ugd/666b77_dd887e8092914e799e758624ed767e8e.pdf (дата обращения: 05.10.2026).</w:t>
      </w:r>
    </w:p>
    <w:p>
      <w:pPr>
        <w:pStyle w:val="Compact"/>
        <w:numPr>
          <w:ilvl w:val="0"/>
          <w:numId w:val="1017"/>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Текст : электронный // ltchomes.net : [сайт]. — URL: https://www.ltchomes.net/LTCHPORTAL/Content/Snippets/Dining%20Observation.pdf (дата обращения: 05.10.2026).</w:t>
      </w:r>
    </w:p>
    <w:p>
      <w:pPr>
        <w:pStyle w:val="Compact"/>
        <w:numPr>
          <w:ilvl w:val="0"/>
          <w:numId w:val="1017"/>
        </w:numPr>
      </w:pPr>
      <w:r>
        <w:t xml:space="preserve">[н] Australian Government, Department of Health, Disability and Ageing. Strengthened Aged Care Quality Standards (Standard 6: Food and nutrition), в силе с 01.11.2025; Basic Daily Fee supplement. — Текст : электронный // Australian Government Department of Health. — URL: https://www.health.gov.au/ (дата обращения: 05.10.2026).</w:t>
      </w:r>
    </w:p>
    <w:p>
      <w:pPr>
        <w:pStyle w:val="Compact"/>
        <w:numPr>
          <w:ilvl w:val="0"/>
          <w:numId w:val="1017"/>
        </w:numPr>
      </w:pPr>
      <w:r>
        <w:t xml:space="preserve">[н] Deutsche Gesellschaft für Ernährung e. V. DGE-Qualitätsstandard für die Verpflegung mit „Essen auf Rädern“ und in Senioreneinrichtungen. 1. Auflage, 1. korrigierter Nachdruck. Bonn, 2022. — Текст : электронный // Deutsche Gesellschaft für Ernährung. — URL: https://www.dge.de/fileadmin/dok/gemeinschaftsgastronomie/dge-qualitaetsstandards/DGE-Qualitaetsstandard_Essen_auf_Raedern_Senioreneinrichtungen_aktualisiert.pdf (дата обращения: 05.10.2026).</w:t>
      </w:r>
    </w:p>
    <w:p>
      <w:pPr>
        <w:pStyle w:val="Compact"/>
        <w:numPr>
          <w:ilvl w:val="0"/>
          <w:numId w:val="1017"/>
        </w:numPr>
      </w:pPr>
      <w:r>
        <w:t xml:space="preserve">[н] Österreichische Gesellschaft für Ernährung / Bundesministerium für Soziales, Gesundheit, Pflege und Konsumentenschutz. Qualitätsstandard für die Verpflegung in Pflegeeinrichtungen (2022). — Текст : электронный // sozialministerium.at : [сайт]. — URL: https://www.sozialministerium.at/ (дата обращения: 05.10.2026).</w:t>
      </w:r>
    </w:p>
    <w:p>
      <w:pPr>
        <w:pStyle w:val="Compact"/>
        <w:numPr>
          <w:ilvl w:val="0"/>
          <w:numId w:val="1017"/>
        </w:numPr>
      </w:pPr>
      <w:r>
        <w:t xml:space="preserve">[н] Livsmedelsverket. Bra måltider i äldreomsorgen: nationella riktlinjer för måltider i äldreomsorgen. Uppsala, 2019 (uppdaterad maj 2024). ISBN 978-91-7714-262-1. — Текст : электронный // Livsmedelsverket. — URL: https://www.livsmedelsverket.se/globalassets/publikationsdatabas/broschyrer-foldrar/riktlinjer_for_maltider_aldreomsorgen.pdf (дата обращения: 05.10.2026).</w:t>
      </w:r>
    </w:p>
    <w:p>
      <w:pPr>
        <w:pStyle w:val="Compact"/>
        <w:numPr>
          <w:ilvl w:val="0"/>
          <w:numId w:val="1017"/>
        </w:numPr>
      </w:pPr>
      <w:r>
        <w:t xml:space="preserve">[н] Ankestyrelsen. Tilsynsudtalelse om Fredericia Kommunes kvalitetsstandard for personlig pleje og praktisk hjælp (servicelovens § 83), 17.05.2024 (воспроизведено: DanmarkC TV, 07.06.2024). — Текст : электронный // danmarkc.tv : [сайт]. — URL: https://danmarkc.tv/afgoerelse-ankestyrelsen-vurderer-at-fredericia-kommune-handler-i-strid-med-lovgivningen/ (дата обращения: 05.10.2026).</w:t>
      </w:r>
    </w:p>
    <w:p>
      <w:pPr>
        <w:pStyle w:val="Compact"/>
        <w:numPr>
          <w:ilvl w:val="0"/>
          <w:numId w:val="1017"/>
        </w:numPr>
      </w:pPr>
      <w:r>
        <w:t xml:space="preserve">[н] Ministry of Health, Labour and Welfare (Japan). Long-term care insurance: nutrition management; LIFE (Long-term care Information system For Evidence), 2021. — Текст : электронный // </w:t>
      </w:r>
      <w:r>
        <w:rPr>
          <w:rFonts w:hint="eastAsia"/>
        </w:rPr>
        <w:t xml:space="preserve">厚生労働省</w:t>
      </w:r>
      <w:r>
        <w:t xml:space="preserve"> (Ministry of Health, Labour and Welfare). — URL: https://www.mhlw.go.jp/ (дата обращения: 05.10.2026).</w:t>
      </w:r>
    </w:p>
    <w:p>
      <w:pPr>
        <w:pStyle w:val="Compact"/>
        <w:numPr>
          <w:ilvl w:val="0"/>
          <w:numId w:val="1017"/>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Текст : электронный // </w:t>
      </w:r>
      <w:r>
        <w:rPr>
          <w:rFonts w:hint="eastAsia"/>
        </w:rPr>
        <w:t xml:space="preserve">厚生労働省</w:t>
      </w:r>
      <w:r>
        <w:t xml:space="preserve"> (Ministry of Health, Labour and Welfare). — URL: https://www.mhlw.go.jp/web/t_doc?dataId=82aa7416&amp;dataType=0&amp;pageNo=1 (дата обращения: 05.10.2026).</w:t>
      </w:r>
    </w:p>
    <w:p>
      <w:pPr>
        <w:pStyle w:val="Compact"/>
        <w:numPr>
          <w:ilvl w:val="0"/>
          <w:numId w:val="1017"/>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Текст : электронный // </w:t>
      </w:r>
      <w:r>
        <w:rPr>
          <w:rFonts w:hint="eastAsia"/>
        </w:rPr>
        <w:t xml:space="preserve">厚生労働省</w:t>
      </w:r>
      <w:r>
        <w:t xml:space="preserve"> (Ministry of Health, Labour and Welfare). — URL: https://www.mhlw.go.jp/web/t_doc?dataId=82aa0441&amp;dataType=0&amp;pageNo=1 (дата обращения: 05.10.2026).</w:t>
      </w:r>
    </w:p>
    <w:p>
      <w:pPr>
        <w:pStyle w:val="Compact"/>
        <w:numPr>
          <w:ilvl w:val="0"/>
          <w:numId w:val="1017"/>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Текст : электронный // Dysphagia. — 2017. — Vol. 32, no. 2. — P. 293–314. — DOI: 10.1007/s00455-016-9758-y. — URL: https://pmc.ncbi.nlm.nih.gov/articles/PMC5380696/ (дата обращения: 05.10.2026).</w:t>
      </w:r>
    </w:p>
    <w:p>
      <w:pPr>
        <w:pStyle w:val="Compact"/>
        <w:numPr>
          <w:ilvl w:val="0"/>
          <w:numId w:val="1017"/>
        </w:numPr>
      </w:pPr>
      <w:r>
        <w:t xml:space="preserve">[о] Федеральный закон от 21.11.2011 № 323-ФЗ «Об основах охраны здоровья граждан в Российской Федерации». — Текст : электронный // КонсультантПлюс : справочная правовая система. — URL: https://www.consultant.ru/document/cons_doc_LAW_121895/ (дата обращения: 05.10.2026).</w:t>
      </w:r>
    </w:p>
    <w:p>
      <w:pPr>
        <w:pStyle w:val="Compact"/>
        <w:numPr>
          <w:ilvl w:val="0"/>
          <w:numId w:val="1017"/>
        </w:numPr>
      </w:pPr>
      <w:r>
        <w:t xml:space="preserve">[о] Гражданский кодекс Российской Федерации (часть первая) от 30.11.1994 № 51-ФЗ. Ст. 29 (в ред. Федерального закона от 30.12.2012 № 302-ФЗ). — Текст : электронный // КонсультантПлюс : справочная правовая система. — URL: https://www.consultant.ru/document/cons_doc_LAW_5142/97405e31b8cb1f1e528d52e98e8e60a7a2da9dea/ (дата обращения: 05.10.2026).</w:t>
      </w:r>
    </w:p>
    <w:p>
      <w:pPr>
        <w:pStyle w:val="Compact"/>
        <w:numPr>
          <w:ilvl w:val="0"/>
          <w:numId w:val="1017"/>
        </w:numPr>
      </w:pPr>
      <w:r>
        <w:t xml:space="preserve">[н] Manimaran S., Razalli N. H., Abdul Manaf Z. et al. Strategies to Reduce the Rate of Plate Waste in Hospitalized Patients: A Scoping Review. — Текст : электронный // Nutrients. — 2023. — Vol. 15, № 2. — Art. 301. — DOI: 10.3390/nu15020301.</w:t>
      </w:r>
    </w:p>
    <w:p>
      <w:pPr>
        <w:pStyle w:val="Compact"/>
        <w:numPr>
          <w:ilvl w:val="0"/>
          <w:numId w:val="1017"/>
        </w:numPr>
      </w:pPr>
      <w:r>
        <w:t xml:space="preserve">[н] Crogan N. L., Evans B. C. The shortened food expectations — long-term care questionnaire: assessing nursing home residents’ satisfaction with food and food service. — Текст : электронный // Journal of Gerontological Nursing. — 2006. — Vol. 32, № 11. — P. 50–59. — DOI: 10.3928/00989134-20061101-08.</w:t>
      </w:r>
    </w:p>
    <w:p>
      <w:pPr>
        <w:pStyle w:val="Compact"/>
        <w:numPr>
          <w:ilvl w:val="0"/>
          <w:numId w:val="1017"/>
        </w:numPr>
      </w:pPr>
      <w:r>
        <w:t xml:space="preserve">[н] Yaxley A., Pankhurst M., Morgillo S., Miller M. A world-first food service satisfaction questionnaire for use with family members of nursing home residents. — Текст : электронный // The Journal of Nutrition, Health and Aging. — 2024. — Vol. 28, № 1. — Art. 100015. — DOI: 10.1016/j.jnha.2023.100015.</w:t>
      </w:r>
    </w:p>
    <w:p>
      <w:pPr>
        <w:pStyle w:val="Compact"/>
        <w:numPr>
          <w:ilvl w:val="0"/>
          <w:numId w:val="1017"/>
        </w:numPr>
      </w:pPr>
      <w:r>
        <w:t xml:space="preserve">[н] Trinca V., Chaudhury H., Slaughter S. E. et al. Making the Most of Mealtimes (M3): Association Between Relationship-Centered Care Practices, and Number of Staff and Residents at Mealtimes in Canadian Long-Term Care Homes. — Текст : электронный // Journal of the American Medical Directors Association. — 2021. — Vol. 22, № 9. — P. 1927–1932.e1. — DOI: 10.1016/j.jamda.2020.11.020.</w:t>
      </w:r>
    </w:p>
    <w:p>
      <w:pPr>
        <w:pStyle w:val="Compact"/>
        <w:numPr>
          <w:ilvl w:val="0"/>
          <w:numId w:val="1017"/>
        </w:numPr>
      </w:pPr>
      <w:r>
        <w:t xml:space="preserve">[н] Keller H. H., Wu S. A., Iraniparast M. et al. Relationship-Centered Mealtime Training Program Demonstrates Efficacy to Improve the Dining Environment in Long-Term Care. — Текст : электронный // Journal of the American Medical Directors Association. — 2021. — Vol. 22, № 9. — P. 1933–1938.e2. — DOI: 10.1016/j.jamda.2020.11.008.</w:t>
      </w:r>
    </w:p>
    <w:p>
      <w:pPr>
        <w:pStyle w:val="Compact"/>
        <w:numPr>
          <w:ilvl w:val="0"/>
          <w:numId w:val="1017"/>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Текст : электронный // pravo.ppt.ru : [сайт]. — URL: https://pravo.ppt.ru/postanovlenie/pravitelstvo/n-999-251824 (дата обращения: 05.10.2026).</w:t>
      </w:r>
    </w:p>
    <w:p>
      <w:pPr>
        <w:pStyle w:val="Compact"/>
        <w:numPr>
          <w:ilvl w:val="0"/>
          <w:numId w:val="1017"/>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Текст : электронный // Гарант.ру : информационно-правовой портал. — URL: https://base.garant.ru/403267034/ (дата обращения: 05.10.2026).</w:t>
      </w:r>
    </w:p>
    <w:p>
      <w:pPr>
        <w:pStyle w:val="Compact"/>
        <w:numPr>
          <w:ilvl w:val="0"/>
          <w:numId w:val="1017"/>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Текст : электронный // Администрация Санкт-Петербурга. — URL: https://www.gov.spb.ru/gov/otrasl/socpit/kachestvo-prodovolstvennogo-obespecheniya-socialnyh-uchrezhdenij/ (дата обращения: 05.10.2026).</w:t>
      </w:r>
    </w:p>
    <w:p>
      <w:pPr>
        <w:pStyle w:val="Compact"/>
        <w:numPr>
          <w:ilvl w:val="0"/>
          <w:numId w:val="1017"/>
        </w:numPr>
      </w:pPr>
      <w:r>
        <w:t xml:space="preserve">[о] Федеральный закон от 30.03.1999 № 52-ФЗ «О санитарно-эпидемиологическом благополучии населения». — Текст : электронный // КонсультантПлюс : справочная правовая система. — URL: https://www.consultant.ru/document/cons_doc_LAW_22481/ (дата обращения: 05.10.2026).</w:t>
      </w:r>
    </w:p>
    <w:p>
      <w:pPr>
        <w:pStyle w:val="Compact"/>
        <w:numPr>
          <w:ilvl w:val="0"/>
          <w:numId w:val="1017"/>
        </w:numPr>
      </w:pPr>
      <w:r>
        <w:t xml:space="preserve">[о] Федеральный закон от 02.01.2000 № 29-ФЗ «О качестве и безопасности пищевых продуктов». — Текст : электронный // Гарант.ру : информационно-правовой портал. — URL: https://base.garant.ru/12117866/ (дата обращения: 05.10.2026).</w:t>
      </w:r>
    </w:p>
    <w:bookmarkEnd w:id="170"/>
    <w:bookmarkStart w:id="171" w:name="Xb35b60ca42e1fb0a8817bb56218638990a6c82f"/>
    <w:p>
      <w:pPr>
        <w:pStyle w:val="Heading1"/>
      </w:pPr>
      <w:r>
        <w:t xml:space="preserve">Приложение А. Реестр нормативных и иных актов</w:t>
      </w:r>
    </w:p>
    <w:p>
      <w:pPr>
        <w:pStyle w:val="FirstParagraph"/>
      </w:pPr>
      <w:r>
        <w:t xml:space="preserve">Реестр перечисляет акты и документы, на которые опирается доклад, с указанием их юридической силы. 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указан по состоянию на 05.10.2026; для псковского акта — с учётом сверки 06.10.2026.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[36]</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[37]</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[155]</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[156]</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[145]</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[55]</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[56]</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[65]</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[41]</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49]</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[43]</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[50]</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[51]</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[52]</w:t>
            </w:r>
          </w:p>
        </w:tc>
      </w:tr>
      <w:tr>
        <w:tc>
          <w:tcPr/>
          <w:p>
            <w:pPr>
              <w:pStyle w:val="Compact"/>
            </w:pPr>
            <w:r>
              <w:t xml:space="preserve">22</w:t>
            </w:r>
          </w:p>
        </w:tc>
        <w:tc>
          <w:tcPr/>
          <w:p>
            <w:pPr>
              <w:pStyle w:val="Compact"/>
            </w:pPr>
            <w:r>
              <w:t xml:space="preserve">Пост. Правительства СПб от 29.12.2014 № 1284 (прил. в ред. пост. от 18.07.2025 № 507, с 01.01.2026; до 31.12.2025 — ред. 27.06.2022 № 561)</w:t>
            </w:r>
          </w:p>
        </w:tc>
        <w:tc>
          <w:tcPr/>
          <w:p>
            <w:pPr>
              <w:pStyle w:val="Compact"/>
            </w:pPr>
            <w:r>
              <w:t xml:space="preserve">Н</w:t>
            </w:r>
          </w:p>
        </w:tc>
        <w:tc>
          <w:tcPr/>
          <w:p>
            <w:pPr>
              <w:pStyle w:val="Compact"/>
            </w:pPr>
            <w:r>
              <w:t xml:space="preserve">Нормы питания СПб; нормы с СБКС и без для ПНИ и ДСО и для остальных организаций; СБКС и ВМК по медицинским показаниям</w:t>
            </w:r>
          </w:p>
        </w:tc>
        <w:tc>
          <w:tcPr/>
          <w:p>
            <w:pPr>
              <w:pStyle w:val="Compact"/>
            </w:pPr>
            <w:r>
              <w:t xml:space="preserve">[33, 34]</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[74]</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[75, 76]</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[73]</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[70]</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[44]</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[71, 81]</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[83]</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 вид, дата и номер акта подтверждены справочной отметкой</w:t>
            </w:r>
          </w:p>
        </w:tc>
        <w:tc>
          <w:tcPr/>
          <w:p>
            <w:pPr>
              <w:pStyle w:val="Compact"/>
            </w:pPr>
            <w:r>
              <w:t xml:space="preserve">[84, 85]</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[45, 86]</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жителей (акт учреждения, не Комитета); время шести приёмов пищи; «зал заказного питания (вариативное меню)» как место приёма пищи</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[128]</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[130]</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[131]</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[134]</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[152]</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[39]</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[153]</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[79, 80]</w:t>
            </w:r>
          </w:p>
        </w:tc>
      </w:tr>
      <w:tr>
        <w:tc>
          <w:tcPr/>
          <w:p>
            <w:pPr>
              <w:pStyle w:val="Compact"/>
            </w:pPr>
            <w:r>
              <w:t xml:space="preserve">43</w:t>
            </w:r>
          </w:p>
        </w:tc>
        <w:tc>
          <w:tcPr/>
          <w:p>
            <w:pPr>
              <w:pStyle w:val="Compact"/>
            </w:pPr>
            <w:r>
              <w:t xml:space="preserve">Приказ КСЗН Ленинградской обл. от 30.12.2021 № 04-58, прил. 3 (изм. приказом от 04.08.2025 № 04-81,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[46, 87]</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[72, 88]</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[47]</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[48, 82]</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[58]</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кассационной жалобы)</w:t>
            </w:r>
          </w:p>
        </w:tc>
        <w:tc>
          <w:tcPr/>
          <w:p>
            <w:pPr>
              <w:pStyle w:val="Compact"/>
            </w:pPr>
            <w:r>
              <w:t xml:space="preserve">С</w:t>
            </w:r>
          </w:p>
        </w:tc>
        <w:tc>
          <w:tcPr/>
          <w:p>
            <w:pPr>
              <w:pStyle w:val="Compact"/>
            </w:pPr>
            <w:r>
              <w:t xml:space="preserve">Тексты прочитаны на официальном сайте ВС 07.10.2026: отказ по стандартной формуле без мотивировки по существу; позиции о выборе между 44-ФЗ и 223-ФЗ не содержит. Обзор [61] излагает позицию округа, а не ВС</w:t>
            </w:r>
          </w:p>
        </w:tc>
        <w:tc>
          <w:tcPr/>
          <w:p>
            <w:pPr>
              <w:pStyle w:val="Compact"/>
            </w:pPr>
            <w:r>
              <w:t xml:space="preserve">[60–62]</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[129]</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[132, 133]</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[135]</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[137]</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[139]</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[140]</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[142, 143]</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[146]</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[144]</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2025–2026 гг.: договор № 32515363453-01 от 02.12.2025; извещения № 32616169674, № 32616171821, № 32616197209; договор № 32616197209-01 от 17.08.2026</w:t>
            </w:r>
          </w:p>
        </w:tc>
        <w:tc>
          <w:tcPr/>
          <w:p>
            <w:pPr>
              <w:pStyle w:val="Compact"/>
            </w:pPr>
            <w:r>
              <w:t xml:space="preserve">Закупочные документы (карточки — по агрегаторам; договоры — по реестру ЕИС, не сверены)</w:t>
            </w:r>
          </w:p>
        </w:tc>
        <w:tc>
          <w:tcPr/>
          <w:p>
            <w:pPr>
              <w:pStyle w:val="Compact"/>
            </w:pPr>
            <w:r>
              <w:t xml:space="preserve">Кейс выбора при аутсорсинге (подтверждён автором); смена исполнителя в середине 2026 г.; цикличные меню ОВД / ИП / ОВД2 / лето — без выбора блюд; ТЗ конкурса и договор не прочитаны, условия о выборе не проверены (повторная попытка 07.10.2026)</w:t>
            </w:r>
          </w:p>
        </w:tc>
        <w:tc>
          <w:tcPr/>
          <w:p>
            <w:pPr>
              <w:pStyle w:val="Compact"/>
            </w:pPr>
            <w:r>
              <w:t xml:space="preserve">[91–93]</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Одна фраза о «зале заказного питания (вариативное меню)»; маломобильные едят в комнатах; порядок заказа не определён; отдельного положения о питании, журналов заказа и замен в открытом доступе нет (прил. Г)</w:t>
            </w:r>
          </w:p>
        </w:tc>
        <w:tc>
          <w:tcPr/>
          <w:p>
            <w:pPr>
              <w:pStyle w:val="Compact"/>
            </w:pPr>
            <w:r>
              <w:t xml:space="preserve">[28]</w:t>
            </w:r>
          </w:p>
        </w:tc>
      </w:tr>
      <w:tr>
        <w:tc>
          <w:tcPr/>
          <w:p>
            <w:pPr>
              <w:pStyle w:val="Compact"/>
            </w:pPr>
            <w:r>
              <w:t xml:space="preserve">62</w:t>
            </w:r>
          </w:p>
        </w:tc>
        <w:tc>
          <w:tcPr/>
          <w:p>
            <w:pPr>
              <w:pStyle w:val="Compact"/>
            </w:pPr>
            <w:r>
              <w:t xml:space="preserve">Пост. Правительства СПб от 18.07.2025 № 507</w:t>
            </w:r>
          </w:p>
        </w:tc>
        <w:tc>
          <w:tcPr/>
          <w:p>
            <w:pPr>
              <w:pStyle w:val="Compact"/>
            </w:pPr>
            <w:r>
              <w:t xml:space="preserve">Н</w:t>
            </w:r>
          </w:p>
        </w:tc>
        <w:tc>
          <w:tcPr/>
          <w:p>
            <w:pPr>
              <w:pStyle w:val="Compact"/>
            </w:pPr>
            <w:r>
              <w:t xml:space="preserve">Новая редакция приложения к № 1284 с 01.01.2026: общая норма по образцу № 520н; ПНИ и ДСО; СБКС и ВМК по медицинским показаниям; полустационар</w:t>
            </w:r>
          </w:p>
        </w:tc>
        <w:tc>
          <w:tcPr/>
          <w:p>
            <w:pPr>
              <w:pStyle w:val="Compact"/>
            </w:pPr>
            <w:r>
              <w:t xml:space="preserve">[34]</w:t>
            </w:r>
          </w:p>
        </w:tc>
      </w:tr>
      <w:tr>
        <w:tc>
          <w:tcPr/>
          <w:p>
            <w:pPr>
              <w:pStyle w:val="Compact"/>
            </w:pPr>
            <w:r>
              <w:t xml:space="preserve">63</w:t>
            </w:r>
          </w:p>
        </w:tc>
        <w:tc>
          <w:tcPr/>
          <w:p>
            <w:pPr>
              <w:pStyle w:val="Compact"/>
            </w:pPr>
            <w:r>
              <w:t xml:space="preserve">Пост. Правительства СПб от 23.07.2009 № 873, п. 7</w:t>
            </w:r>
          </w:p>
        </w:tc>
        <w:tc>
          <w:tcPr/>
          <w:p>
            <w:pPr>
              <w:pStyle w:val="Compact"/>
            </w:pPr>
            <w:r>
              <w:t xml:space="preserve">Н</w:t>
            </w:r>
          </w:p>
        </w:tc>
        <w:tc>
          <w:tcPr/>
          <w:p>
            <w:pPr>
              <w:pStyle w:val="Compact"/>
            </w:pPr>
            <w:r>
              <w:t xml:space="preserve">Ежегодное (до 1 июня) утверждение нормативов расходов бюджета по социальному питанию на следующий год; распоряжение на 2027 г. в открытых официальных источниках не найдено</w:t>
            </w:r>
          </w:p>
        </w:tc>
        <w:tc>
          <w:tcPr/>
          <w:p>
            <w:pPr>
              <w:pStyle w:val="Compact"/>
            </w:pPr>
            <w:r>
              <w:t xml:space="preserve">[77]</w:t>
            </w:r>
          </w:p>
        </w:tc>
      </w:tr>
      <w:tr>
        <w:tc>
          <w:tcPr/>
          <w:p>
            <w:pPr>
              <w:pStyle w:val="Compact"/>
            </w:pPr>
            <w:r>
              <w:t xml:space="preserve">64</w:t>
            </w:r>
          </w:p>
        </w:tc>
        <w:tc>
          <w:tcPr/>
          <w:p>
            <w:pPr>
              <w:pStyle w:val="Compact"/>
            </w:pPr>
            <w:r>
              <w:t xml:space="preserve">«Информация об организации социального питания» ДСО «Серафимовский» (тогда ПНИ № 9) на 2022 г.</w:t>
            </w:r>
          </w:p>
        </w:tc>
        <w:tc>
          <w:tcPr/>
          <w:p>
            <w:pPr>
              <w:pStyle w:val="Compact"/>
            </w:pPr>
            <w:r>
              <w:t xml:space="preserve">Л</w:t>
            </w:r>
          </w:p>
        </w:tc>
        <w:tc>
          <w:tcPr/>
          <w:p>
            <w:pPr>
              <w:pStyle w:val="Compact"/>
            </w:pPr>
            <w:r>
              <w:t xml:space="preserve">Перечень применяемых актов; питание по цикличному меню из ТЗ договора; шесть приёмов пищи; вариативного меню нет</w:t>
            </w:r>
          </w:p>
        </w:tc>
        <w:tc>
          <w:tcPr/>
          <w:p>
            <w:pPr>
              <w:pStyle w:val="Compact"/>
            </w:pPr>
            <w:r>
              <w:t xml:space="preserve">[90]</w:t>
            </w:r>
          </w:p>
        </w:tc>
      </w:tr>
      <w:tr>
        <w:tc>
          <w:tcPr/>
          <w:p>
            <w:pPr>
              <w:pStyle w:val="Compact"/>
            </w:pPr>
            <w:r>
              <w:t xml:space="preserve">65</w:t>
            </w:r>
          </w:p>
        </w:tc>
        <w:tc>
          <w:tcPr/>
          <w:p>
            <w:pPr>
              <w:pStyle w:val="Compact"/>
            </w:pPr>
            <w:r>
              <w:t xml:space="preserve">Закупки бюджетных учреждений Самарской обл. «Оказание услуг по приготовлению питания по вариативному меню…» (44-ФЗ, 2025–2027 гг.): извещения № 0142200001325020012, № 0142200001325020877, № 0142200001326016564, № 0142200001326016025, № 0142200001326016110, № 0142200001326016190, № 0142200001326016350</w:t>
            </w:r>
          </w:p>
        </w:tc>
        <w:tc>
          <w:tcPr/>
          <w:p>
            <w:pPr>
              <w:pStyle w:val="Compact"/>
            </w:pPr>
            <w:r>
              <w:t xml:space="preserve">Закупочные документы (карточки — по агрегаторам; ЕИС не сверена)</w:t>
            </w:r>
          </w:p>
        </w:tc>
        <w:tc>
          <w:tcPr/>
          <w:p>
            <w:pPr>
              <w:pStyle w:val="Compact"/>
            </w:pPr>
            <w:r>
              <w:t xml:space="preserve">Вариативное меню в наименовании объекта закупки услуги у стороннего исполнителя; цена за койко-день; ТЗ и меню не прочитаны, содержание выбора не установлено</w:t>
            </w:r>
          </w:p>
        </w:tc>
        <w:tc>
          <w:tcPr/>
          <w:p>
            <w:pPr>
              <w:pStyle w:val="Compact"/>
            </w:pPr>
            <w:r>
              <w:t xml:space="preserve">[94, 96]</w:t>
            </w:r>
          </w:p>
        </w:tc>
      </w:tr>
    </w:tbl>
    <w:bookmarkEnd w:id="171"/>
    <w:bookmarkStart w:id="172"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Редакция постановления № 507 от 18.07.2025, действует с 01.01.2026 [34]. Нетто, граммы на человека в сутки, если не указано иное; в постановлении для каждой позиции даны также значения брутто. Столбцы: (1) организации, кроме ПНИ и ДСО; (2) ПНИ и ДСО, норма с СБКС; (3) лица с сахарным диабетом; (4) лица с заболеваниями ЖКТ; (5) ПНИ и ДСО, норма без СБКС; (6) организации, кроме ПНИ и ДСО, норма без СБКС; (7)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200</w:t>
            </w:r>
          </w:p>
        </w:tc>
        <w:tc>
          <w:tcPr/>
          <w:p>
            <w:pPr>
              <w:pStyle w:val="Compact"/>
            </w:pPr>
            <w:r>
              <w:t xml:space="preserve">150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c>
          <w:tcPr/>
          <w:p>
            <w:pPr>
              <w:pStyle w:val="Compact"/>
            </w:pPr>
            <w:r>
              <w:t xml:space="preserve">15</w:t>
            </w:r>
          </w:p>
        </w:tc>
      </w:tr>
      <w:tr>
        <w:tc>
          <w:tcPr/>
          <w:p>
            <w:pPr>
              <w:pStyle w:val="Compact"/>
            </w:pPr>
            <w:r>
              <w:t xml:space="preserve">Крахмал</w:t>
            </w:r>
          </w:p>
        </w:tc>
        <w:tc>
          <w:tcPr/>
          <w:p>
            <w:pPr>
              <w:pStyle w:val="Compact"/>
            </w:pPr>
            <w:r>
              <w:t xml:space="preserve">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112,9</w:t>
            </w:r>
          </w:p>
        </w:tc>
        <w:tc>
          <w:tcPr/>
          <w:p>
            <w:pPr>
              <w:pStyle w:val="Compact"/>
            </w:pPr>
            <w:r>
              <w:t xml:space="preserve">80</w:t>
            </w:r>
          </w:p>
        </w:tc>
      </w:tr>
      <w:tr>
        <w:tc>
          <w:tcPr/>
          <w:p>
            <w:pPr>
              <w:pStyle w:val="Compact"/>
            </w:pPr>
            <w:r>
              <w:t xml:space="preserve">Картофель</w:t>
            </w:r>
          </w:p>
        </w:tc>
        <w:tc>
          <w:tcPr/>
          <w:p>
            <w:pPr>
              <w:pStyle w:val="Compact"/>
            </w:pPr>
            <w:r>
              <w:t xml:space="preserve">200</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340</w:t>
            </w:r>
          </w:p>
        </w:tc>
        <w:tc>
          <w:tcPr/>
          <w:p>
            <w:pPr>
              <w:pStyle w:val="Compact"/>
            </w:pPr>
            <w:r>
              <w:t xml:space="preserve">325,5</w:t>
            </w:r>
          </w:p>
        </w:tc>
        <w:tc>
          <w:tcPr/>
          <w:p>
            <w:pPr>
              <w:pStyle w:val="Compact"/>
            </w:pPr>
            <w:r>
              <w:t xml:space="preserve">356</w:t>
            </w:r>
          </w:p>
        </w:tc>
        <w:tc>
          <w:tcPr/>
          <w:p>
            <w:pPr>
              <w:pStyle w:val="Compact"/>
            </w:pPr>
            <w:r>
              <w:t xml:space="preserve">218,8</w:t>
            </w:r>
          </w:p>
        </w:tc>
        <w:tc>
          <w:tcPr/>
          <w:p>
            <w:pPr>
              <w:pStyle w:val="Compact"/>
            </w:pPr>
            <w:r>
              <w:t xml:space="preserve">325,5</w:t>
            </w:r>
          </w:p>
        </w:tc>
        <w:tc>
          <w:tcPr/>
          <w:p>
            <w:pPr>
              <w:pStyle w:val="Compact"/>
            </w:pPr>
            <w:r>
              <w:t xml:space="preserve">340</w:t>
            </w:r>
          </w:p>
        </w:tc>
        <w:tc>
          <w:tcPr/>
          <w:p>
            <w:pPr>
              <w:pStyle w:val="Compact"/>
            </w:pPr>
            <w:r>
              <w:t xml:space="preserve">340</w:t>
            </w:r>
          </w:p>
        </w:tc>
      </w:tr>
      <w:tr>
        <w:tc>
          <w:tcPr/>
          <w:p>
            <w:pPr>
              <w:pStyle w:val="Compact"/>
            </w:pPr>
            <w:r>
              <w:t xml:space="preserve">Овощи солёные и маринованные</w:t>
            </w:r>
          </w:p>
        </w:tc>
        <w:tc>
          <w:tcPr/>
          <w:p>
            <w:pPr>
              <w:pStyle w:val="Compact"/>
            </w:pPr>
            <w:r>
              <w:t xml:space="preserve">15</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Зелень</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r>
      <w:tr>
        <w:tc>
          <w:tcPr/>
          <w:p>
            <w:pPr>
              <w:pStyle w:val="Compact"/>
            </w:pPr>
            <w:r>
              <w:t xml:space="preserve">Овощи консервированные</w:t>
            </w:r>
          </w:p>
        </w:tc>
        <w:tc>
          <w:tcPr/>
          <w:p>
            <w:pPr>
              <w:pStyle w:val="Compact"/>
            </w:pPr>
            <w:r>
              <w:t xml:space="preserve">24,7</w:t>
            </w:r>
          </w:p>
        </w:tc>
        <w:tc>
          <w:tcPr/>
          <w:p>
            <w:pPr>
              <w:pStyle w:val="Compact"/>
            </w:pPr>
            <w:r>
              <w:t xml:space="preserve">24,7</w:t>
            </w:r>
          </w:p>
        </w:tc>
        <w:tc>
          <w:tcPr/>
          <w:p>
            <w:pPr>
              <w:pStyle w:val="Compact"/>
            </w:pPr>
            <w:r>
              <w:t xml:space="preserve">16,2</w:t>
            </w:r>
          </w:p>
        </w:tc>
        <w:tc>
          <w:tcPr/>
          <w:p>
            <w:pPr>
              <w:pStyle w:val="Compact"/>
            </w:pPr>
            <w:r>
              <w:t xml:space="preserve">—</w:t>
            </w:r>
          </w:p>
        </w:tc>
        <w:tc>
          <w:tcPr/>
          <w:p>
            <w:pPr>
              <w:pStyle w:val="Compact"/>
            </w:pPr>
            <w:r>
              <w:t xml:space="preserve">24,7</w:t>
            </w:r>
          </w:p>
        </w:tc>
        <w:tc>
          <w:tcPr/>
          <w:p>
            <w:pPr>
              <w:pStyle w:val="Compact"/>
            </w:pPr>
            <w:r>
              <w:t xml:space="preserve">24,7</w:t>
            </w:r>
          </w:p>
        </w:tc>
        <w:tc>
          <w:tcPr/>
          <w:p>
            <w:pPr>
              <w:pStyle w:val="Compact"/>
            </w:pPr>
            <w:r>
              <w:t xml:space="preserve">24,7</w:t>
            </w:r>
          </w:p>
        </w:tc>
      </w:tr>
      <w:tr>
        <w:tc>
          <w:tcPr/>
          <w:p>
            <w:pPr>
              <w:pStyle w:val="Compact"/>
            </w:pPr>
            <w:r>
              <w:t xml:space="preserve">Фрукты и ягоды свежие</w:t>
            </w:r>
          </w:p>
        </w:tc>
        <w:tc>
          <w:tcPr/>
          <w:p>
            <w:pPr>
              <w:pStyle w:val="Compact"/>
            </w:pPr>
            <w:r>
              <w:t xml:space="preserve">150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c>
          <w:tcPr/>
          <w:p>
            <w:pPr>
              <w:pStyle w:val="Compact"/>
            </w:pPr>
            <w:r>
              <w:t xml:space="preserve">150</w:t>
            </w:r>
          </w:p>
        </w:tc>
      </w:tr>
      <w:tr>
        <w:tc>
          <w:tcPr/>
          <w:p>
            <w:pPr>
              <w:pStyle w:val="Compact"/>
            </w:pPr>
            <w:r>
              <w:t xml:space="preserve">Сухофрукты</w:t>
            </w:r>
          </w:p>
        </w:tc>
        <w:tc>
          <w:tcPr/>
          <w:p>
            <w:pPr>
              <w:pStyle w:val="Compact"/>
            </w:pPr>
            <w:r>
              <w:t xml:space="preserve">20</w:t>
            </w:r>
          </w:p>
        </w:tc>
        <w:tc>
          <w:tcPr/>
          <w:p>
            <w:pPr>
              <w:pStyle w:val="Compact"/>
            </w:pPr>
            <w:r>
              <w:t xml:space="preserve">11</w:t>
            </w:r>
          </w:p>
        </w:tc>
        <w:tc>
          <w:tcPr/>
          <w:p>
            <w:pPr>
              <w:pStyle w:val="Compact"/>
            </w:pPr>
            <w:r>
              <w:t xml:space="preserve">60,6</w:t>
            </w:r>
          </w:p>
        </w:tc>
        <w:tc>
          <w:tcPr/>
          <w:p>
            <w:pPr>
              <w:pStyle w:val="Compact"/>
            </w:pPr>
            <w:r>
              <w:t xml:space="preserve">10</w:t>
            </w:r>
          </w:p>
        </w:tc>
        <w:tc>
          <w:tcPr/>
          <w:p>
            <w:pPr>
              <w:pStyle w:val="Compact"/>
            </w:pPr>
            <w:r>
              <w:t xml:space="preserve">11</w:t>
            </w:r>
          </w:p>
        </w:tc>
        <w:tc>
          <w:tcPr/>
          <w:p>
            <w:pPr>
              <w:pStyle w:val="Compact"/>
            </w:pPr>
            <w:r>
              <w:t xml:space="preserve">20</w:t>
            </w:r>
          </w:p>
        </w:tc>
        <w:tc>
          <w:tcPr/>
          <w:p>
            <w:pPr>
              <w:pStyle w:val="Compact"/>
            </w:pPr>
            <w:r>
              <w:t xml:space="preserve">20</w:t>
            </w:r>
          </w:p>
        </w:tc>
      </w:tr>
      <w:tr>
        <w:tc>
          <w:tcPr/>
          <w:p>
            <w:pPr>
              <w:pStyle w:val="Compact"/>
            </w:pPr>
            <w:r>
              <w:t xml:space="preserve">Шиповник</w:t>
            </w:r>
          </w:p>
        </w:tc>
        <w:tc>
          <w:tcPr/>
          <w:p>
            <w:pPr>
              <w:pStyle w:val="Compact"/>
            </w:pPr>
            <w:r>
              <w:t xml:space="preserve">15</w:t>
            </w:r>
          </w:p>
        </w:tc>
        <w:tc>
          <w:tcPr/>
          <w:p>
            <w:pPr>
              <w:pStyle w:val="Compact"/>
            </w:pPr>
            <w:r>
              <w:t xml:space="preserve">5</w:t>
            </w:r>
          </w:p>
        </w:tc>
        <w:tc>
          <w:tcPr/>
          <w:p>
            <w:pPr>
              <w:pStyle w:val="Compact"/>
            </w:pPr>
            <w:r>
              <w:t xml:space="preserve">20</w:t>
            </w:r>
          </w:p>
        </w:tc>
        <w:tc>
          <w:tcPr/>
          <w:p>
            <w:pPr>
              <w:pStyle w:val="Compact"/>
            </w:pPr>
            <w:r>
              <w:t xml:space="preserve">—</w:t>
            </w:r>
          </w:p>
        </w:tc>
        <w:tc>
          <w:tcPr/>
          <w:p>
            <w:pPr>
              <w:pStyle w:val="Compact"/>
            </w:pPr>
            <w:r>
              <w:t xml:space="preserve">5</w:t>
            </w:r>
          </w:p>
        </w:tc>
        <w:tc>
          <w:tcPr/>
          <w:p>
            <w:pPr>
              <w:pStyle w:val="Compact"/>
            </w:pPr>
            <w:r>
              <w:t xml:space="preserve">15</w:t>
            </w:r>
          </w:p>
        </w:tc>
        <w:tc>
          <w:tcPr/>
          <w:p>
            <w:pPr>
              <w:pStyle w:val="Compact"/>
            </w:pPr>
            <w:r>
              <w:t xml:space="preserve">15</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66¹</w:t>
            </w:r>
          </w:p>
        </w:tc>
        <w:tc>
          <w:tcPr/>
          <w:p>
            <w:pPr>
              <w:pStyle w:val="Compact"/>
            </w:pPr>
            <w:r>
              <w:t xml:space="preserve">74</w:t>
            </w:r>
          </w:p>
        </w:tc>
        <w:tc>
          <w:tcPr/>
          <w:p>
            <w:pPr>
              <w:pStyle w:val="Compact"/>
            </w:pPr>
            <w:r>
              <w:t xml:space="preserve">60</w:t>
            </w:r>
          </w:p>
        </w:tc>
        <w:tc>
          <w:tcPr/>
          <w:p>
            <w:pPr>
              <w:pStyle w:val="Compact"/>
            </w:pPr>
            <w:r>
              <w:t xml:space="preserve">100</w:t>
            </w:r>
          </w:p>
        </w:tc>
        <w:tc>
          <w:tcPr/>
          <w:p>
            <w:pPr>
              <w:pStyle w:val="Compact"/>
            </w:pPr>
            <w:r>
              <w:t xml:space="preserve">100 мл</w:t>
            </w:r>
          </w:p>
        </w:tc>
      </w:tr>
      <w:tr>
        <w:tc>
          <w:tcPr/>
          <w:p>
            <w:pPr>
              <w:pStyle w:val="Compact"/>
            </w:pPr>
            <w:r>
              <w:t xml:space="preserve">Мясо</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104,7</w:t>
            </w:r>
          </w:p>
        </w:tc>
        <w:tc>
          <w:tcPr/>
          <w:p>
            <w:pPr>
              <w:pStyle w:val="Compact"/>
            </w:pPr>
            <w:r>
              <w:t xml:space="preserve">90</w:t>
            </w:r>
          </w:p>
        </w:tc>
      </w:tr>
      <w:tr>
        <w:tc>
          <w:tcPr/>
          <w:p>
            <w:pPr>
              <w:pStyle w:val="Compact"/>
            </w:pPr>
            <w:r>
              <w:t xml:space="preserve">Птица</w:t>
            </w:r>
          </w:p>
        </w:tc>
        <w:tc>
          <w:tcPr/>
          <w:p>
            <w:pPr>
              <w:pStyle w:val="Compact"/>
            </w:pPr>
            <w:r>
              <w:t xml:space="preserve">22,2</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c>
          <w:tcPr/>
          <w:p>
            <w:pPr>
              <w:pStyle w:val="Compact"/>
            </w:pPr>
            <w:r>
              <w:t xml:space="preserve">22,2</w:t>
            </w:r>
          </w:p>
        </w:tc>
      </w:tr>
      <w:tr>
        <w:tc>
          <w:tcPr/>
          <w:p>
            <w:pPr>
              <w:pStyle w:val="Compact"/>
            </w:pPr>
            <w:r>
              <w:t xml:space="preserve">Колбаса вареная, сосиски</w:t>
            </w:r>
          </w:p>
        </w:tc>
        <w:tc>
          <w:tcPr/>
          <w:p>
            <w:pPr>
              <w:pStyle w:val="Compact"/>
            </w:pPr>
            <w:r>
              <w:t xml:space="preserve">12</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c>
          <w:tcPr/>
          <w:p>
            <w:pPr>
              <w:pStyle w:val="Compact"/>
            </w:pPr>
            <w:r>
              <w:t xml:space="preserve">12</w:t>
            </w:r>
          </w:p>
        </w:tc>
      </w:tr>
      <w:tr>
        <w:tc>
          <w:tcPr/>
          <w:p>
            <w:pPr>
              <w:pStyle w:val="Compact"/>
            </w:pPr>
            <w:r>
              <w:t xml:space="preserve">Рыба, рыбопродукты</w:t>
            </w:r>
          </w:p>
        </w:tc>
        <w:tc>
          <w:tcPr/>
          <w:p>
            <w:pPr>
              <w:pStyle w:val="Compact"/>
            </w:pPr>
            <w:r>
              <w:t xml:space="preserve">32,5</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c>
          <w:tcPr/>
          <w:p>
            <w:pPr>
              <w:pStyle w:val="Compact"/>
            </w:pPr>
            <w:r>
              <w:t xml:space="preserve">32,5</w:t>
            </w:r>
          </w:p>
        </w:tc>
      </w:tr>
      <w:tr>
        <w:tc>
          <w:tcPr/>
          <w:p>
            <w:pPr>
              <w:pStyle w:val="Compact"/>
            </w:pPr>
            <w:r>
              <w:t xml:space="preserve">Творог</w:t>
            </w:r>
          </w:p>
        </w:tc>
        <w:tc>
          <w:tcPr/>
          <w:p>
            <w:pPr>
              <w:pStyle w:val="Compact"/>
            </w:pPr>
            <w:r>
              <w:t xml:space="preserve">20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c>
          <w:tcPr/>
          <w:p>
            <w:pPr>
              <w:pStyle w:val="Compact"/>
            </w:pPr>
            <w:r>
              <w:t xml:space="preserve">20</w:t>
            </w:r>
          </w:p>
        </w:tc>
      </w:tr>
      <w:tr>
        <w:tc>
          <w:tcPr/>
          <w:p>
            <w:pPr>
              <w:pStyle w:val="Compact"/>
            </w:pPr>
            <w:r>
              <w:t xml:space="preserve">Сыр</w:t>
            </w:r>
          </w:p>
        </w:tc>
        <w:tc>
          <w:tcPr/>
          <w:p>
            <w:pPr>
              <w:pStyle w:val="Compact"/>
            </w:pPr>
            <w:r>
              <w:t xml:space="preserve">15</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c>
          <w:tcPr/>
          <w:p>
            <w:pPr>
              <w:pStyle w:val="Compact"/>
            </w:pPr>
            <w:r>
              <w:t xml:space="preserve">15</w:t>
            </w:r>
          </w:p>
        </w:tc>
      </w:tr>
      <w:tr>
        <w:tc>
          <w:tcPr/>
          <w:p>
            <w:pPr>
              <w:pStyle w:val="Compact"/>
            </w:pPr>
            <w:r>
              <w:t xml:space="preserve">Яйцо</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напитки</w:t>
            </w:r>
          </w:p>
        </w:tc>
        <w:tc>
          <w:tcPr/>
          <w:p>
            <w:pPr>
              <w:pStyle w:val="Compact"/>
            </w:pPr>
            <w:r>
              <w:t xml:space="preserve">121 мл</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w:t>
            </w:r>
          </w:p>
        </w:tc>
        <w:tc>
          <w:tcPr/>
          <w:p>
            <w:pPr>
              <w:pStyle w:val="Compact"/>
            </w:pPr>
            <w:r>
              <w:t xml:space="preserve">121 мл</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23</w:t>
            </w:r>
          </w:p>
        </w:tc>
        <w:tc>
          <w:tcPr/>
          <w:p>
            <w:pPr>
              <w:pStyle w:val="Compact"/>
            </w:pPr>
            <w:r>
              <w:t xml:space="preserve">20 мл</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Маргарин</w:t>
            </w:r>
          </w:p>
        </w:tc>
        <w:tc>
          <w:tcPr/>
          <w:p>
            <w:pPr>
              <w:pStyle w:val="Compact"/>
            </w:pPr>
            <w:r>
              <w:t xml:space="preserve">—</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15</w:t>
            </w:r>
          </w:p>
        </w:tc>
        <w:tc>
          <w:tcPr/>
          <w:p>
            <w:pPr>
              <w:pStyle w:val="Compact"/>
            </w:pPr>
            <w:r>
              <w:t xml:space="preserve">50²</w:t>
            </w:r>
          </w:p>
        </w:tc>
      </w:tr>
      <w:tr>
        <w:tc>
          <w:tcPr/>
          <w:p>
            <w:pPr>
              <w:pStyle w:val="Compact"/>
            </w:pPr>
            <w:r>
              <w:t xml:space="preserve">Сахар</w:t>
            </w:r>
          </w:p>
        </w:tc>
        <w:tc>
          <w:tcPr/>
          <w:p>
            <w:pPr>
              <w:pStyle w:val="Compact"/>
            </w:pPr>
            <w:r>
              <w:t xml:space="preserve">50</w:t>
            </w:r>
          </w:p>
        </w:tc>
        <w:tc>
          <w:tcPr/>
          <w:p>
            <w:pPr>
              <w:pStyle w:val="Compact"/>
            </w:pPr>
            <w:r>
              <w:t xml:space="preserve">57</w:t>
            </w:r>
          </w:p>
        </w:tc>
        <w:tc>
          <w:tcPr/>
          <w:p>
            <w:pPr>
              <w:pStyle w:val="Compact"/>
            </w:pPr>
            <w:r>
              <w:t xml:space="preserve">—</w:t>
            </w:r>
          </w:p>
        </w:tc>
        <w:tc>
          <w:tcPr/>
          <w:p>
            <w:pPr>
              <w:pStyle w:val="Compact"/>
            </w:pPr>
            <w:r>
              <w:t xml:space="preserve">53</w:t>
            </w:r>
          </w:p>
        </w:tc>
        <w:tc>
          <w:tcPr/>
          <w:p>
            <w:pPr>
              <w:pStyle w:val="Compact"/>
            </w:pPr>
            <w:r>
              <w:t xml:space="preserve">57</w:t>
            </w:r>
          </w:p>
        </w:tc>
        <w:tc>
          <w:tcPr/>
          <w:p>
            <w:pPr>
              <w:pStyle w:val="Compact"/>
            </w:pPr>
            <w:r>
              <w:t xml:space="preserve">50</w:t>
            </w:r>
          </w:p>
        </w:tc>
        <w:tc>
          <w:tcPr/>
          <w:p>
            <w:pPr>
              <w:pStyle w:val="Compact"/>
            </w:pPr>
            <w:r>
              <w:t xml:space="preserve">(в составе 50²)</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какао</w:t>
            </w:r>
          </w:p>
        </w:tc>
        <w:tc>
          <w:tcPr/>
          <w:p>
            <w:pPr>
              <w:pStyle w:val="Compact"/>
            </w:pPr>
            <w:r>
              <w:t xml:space="preserve">1,4</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c>
          <w:tcPr/>
          <w:p>
            <w:pPr>
              <w:pStyle w:val="Compact"/>
            </w:pPr>
            <w:r>
              <w:t xml:space="preserve">1,4</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c>
          <w:tcPr/>
          <w:p>
            <w:pPr>
              <w:pStyle w:val="Compact"/>
            </w:pPr>
            <w:r>
              <w:t xml:space="preserve">8</w:t>
            </w:r>
          </w:p>
        </w:tc>
      </w:tr>
      <w:tr>
        <w:tc>
          <w:tcPr/>
          <w:p>
            <w:pPr>
              <w:pStyle w:val="Compact"/>
            </w:pPr>
            <w:r>
              <w:t xml:space="preserve">СБКС</w:t>
            </w:r>
          </w:p>
        </w:tc>
        <w:tc>
          <w:tcPr/>
          <w:p>
            <w:pPr>
              <w:pStyle w:val="Compact"/>
            </w:pPr>
            <w:r>
              <w:t xml:space="preserve">27³</w:t>
            </w:r>
          </w:p>
        </w:tc>
        <w:tc>
          <w:tcPr/>
          <w:p>
            <w:pPr>
              <w:pStyle w:val="Compact"/>
            </w:pPr>
            <w:r>
              <w:t xml:space="preserve">27³</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 по мед. показаниям</w:t>
            </w:r>
          </w:p>
        </w:tc>
      </w:tr>
    </w:tbl>
    <w:p>
      <w:pPr>
        <w:pStyle w:val="BodyText"/>
      </w:pPr>
      <w:r>
        <w:t xml:space="preserve">¹ Для лиц с сахарным диабетом — «соки без сахара». ² В приказе № 520н — единая позиция «сахар, варенье, печенье, кондитерские изделия». ³ «По медицинским показаниям» (сноска постановления).</w:t>
      </w:r>
    </w:p>
    <w:p>
      <w:pPr>
        <w:pStyle w:val="BodyText"/>
      </w:pPr>
      <w:r>
        <w:rPr>
          <w:b/>
          <w:bCs/>
        </w:rPr>
        <w:t xml:space="preserve">Редакция 2022 г. (действовала до 31.12.2025) [33].</w:t>
      </w:r>
      <w:r>
        <w:t xml:space="preserve"> </w:t>
      </w:r>
      <w:r>
        <w:t xml:space="preserve">Столбец (1) назывался «учреждения, кроме ПНИ» и отличался от действующего: хлеб пшеничный 100, мука 45, крахмал 2,5, картофель 168, овощи всех видов одной строкой 318, фрукты 200, сухофрукты и шиповник 10, соки 60, птица 40, колбаса 25, рыба 41,8, сыр 14, творог 40, кисломолочные 200, сметана 10, маргарин 10, сахар 57, кофе 1,5, соль 10, яйцо 4 шт. в неделю, СБКС 27 г в общей норме, витамины 1 драже 3 раза в неделю. Столбцы (2) и (5) для ПНИ совпадали с действующими, кроме яйца (4 шт. в неделю), сухофруктов и шиповника (16 одной строкой) и витаминов (1 драже 3 раза в неделю); СБКС входила в общую норму. Для лиц с сахарным диабетом сахар 15 г выдавался отдельно, сухофрукты и шиповник — 81 г. Столбца (6) не было.</w:t>
      </w:r>
    </w:p>
    <w:bookmarkEnd w:id="172"/>
    <w:bookmarkStart w:id="181"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65]</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74, 75, 78]</w:t>
            </w:r>
          </w:p>
        </w:tc>
      </w:tr>
      <w:tr>
        <w:tc>
          <w:tcPr/>
          <w:p>
            <w:pPr>
              <w:pStyle w:val="Compact"/>
            </w:pPr>
            <w:r>
              <w:t xml:space="preserve">Практика регионов</w:t>
            </w:r>
          </w:p>
        </w:tc>
        <w:tc>
          <w:tcPr/>
          <w:p>
            <w:pPr>
              <w:pStyle w:val="Compact"/>
            </w:pPr>
            <w:r>
              <w:t xml:space="preserve">Вместо одного кейса — восемь учреждений и региональное сообщение; удалены детали, отсутствующие в источнике (выбор накануне в Болотнинском ПНИ)</w:t>
            </w:r>
          </w:p>
        </w:tc>
        <w:tc>
          <w:tcPr/>
          <w:p>
            <w:pPr>
              <w:pStyle w:val="Compact"/>
            </w:pPr>
            <w:r>
              <w:t xml:space="preserve">[5–21, 28, 29, 90]</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[128–141, 144]</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42, 53, 95, 97–101, 105, 106, 108, 109, 114–117, 119–121, 127]</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75, 95, 127]</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73"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расширялся только за счёт новых источников: число позиций в списке источников выросло с 98 до 132 (по данным сборки), в третьем проходе — до 136, в четвёртом — до 143. Ниже перечислено, что было добавлено и что исправлено.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73"/>
    <w:bookmarkStart w:id="174"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Весь текст, от аннотации до приложений, был вычитан и подвергнут литературной правке: устранены канцелярские связки и пустые обороты, длинные абзацы о деле № А73-20917/2024 разделены, формулировки сокращены. Каждое утверждение с источником, числа, ссылки, классы утверждений, словарь различений, 40 противоречий (по состоянию на третий проход), 16 сценариев и 24 предложения сохранены; сверка ссылок и чисел до и после правки проведена по каждой главе. Новые факты вносились только с источниками.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[71]; изменения красноярского акта постановлениями № 74-п (2024) и № 892-п (2025) и отдельный раздел норм для ПНИ (с 2026 г. — ДСО) [86]; изменение ленинградского приказа от 04.08.2025 № 04-81 [87]</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[135]</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123–126]</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[39]</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74"/>
    <w:bookmarkStart w:id="175" w:name="X4bb1c9e9b3804963a91cce012a1711de9d8f73d"/>
    <w:p>
      <w:pPr>
        <w:pStyle w:val="Heading2"/>
      </w:pPr>
      <w:r>
        <w:t xml:space="preserve">Четвёртый проход: незакрытые вопросы (октябрь 2026 г.)</w:t>
      </w:r>
    </w:p>
    <w:p>
      <w:pPr>
        <w:pStyle w:val="FirstParagraph"/>
      </w:pPr>
      <w:r>
        <w:t xml:space="preserve">Четвёртый проход был посвящён вопросам, оставшимся открытыми после третьего. Новые факты вносились только с источниками; если первоисточник найти не удалось, вопрос закрывался как непроверенный с перечнем предпринятых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из среды подготовки доклада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[60, 61];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[70, 80];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[82];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[86];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[87];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[88];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[35];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[98];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[95]</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75"/>
    <w:bookmarkStart w:id="176" w:name="X246e53d2e224d2bd4476ffaf8522c7aadcddef9"/>
    <w:p>
      <w:pPr>
        <w:pStyle w:val="Heading2"/>
      </w:pPr>
      <w:r>
        <w:t xml:space="preserve">Пятый проход: 12 точек из доклада «Не просто накормить» и перечня пробелов (октябрь 2026 г.)</w:t>
      </w:r>
    </w:p>
    <w:p>
      <w:pPr>
        <w:pStyle w:val="FirstParagraph"/>
      </w:pPr>
      <w:r>
        <w:t xml:space="preserve">Перед правкой были перечитаны доклад «Не просто накормить» [22], служащий для настоящей работы базовым,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Новые факты вносились только с источниками; доклад не говорит от имени Минтруда России и не назначает диет, текстур и лекарств. Число позиций в списке источников составило 147.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[49]</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[37, 146]</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[144]</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Правовая позиция учреждения</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[92]. Автор как руководитель учреждения 05.10.2026 подтвердил аутсорсинг питания [91]; кейс внесён в п. 4.8, 4.10, 4.11, сценарий 8 (с рекомендацией записывать выбор в ТЗ договора услуг), гл. 9 (поз. 44 снята) и заключение. Тексты извещений, технического задания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из среды подготовки доклада недоступна.</w:t>
      </w:r>
    </w:p>
    <w:bookmarkEnd w:id="176"/>
    <w:bookmarkStart w:id="177" w:name="X6b82d7ac307c454f351cde71f892a63b09f71c1"/>
    <w:p>
      <w:pPr>
        <w:pStyle w:val="Heading2"/>
      </w:pPr>
      <w:r>
        <w:t xml:space="preserve">Шестой проход: сверка с данными учреждения (октябрь 2026 г.)</w:t>
      </w:r>
    </w:p>
    <w:p>
      <w:pPr>
        <w:pStyle w:val="FirstParagraph"/>
      </w:pPr>
      <w:r>
        <w:t xml:space="preserve">Шестой проход сверял сведения о ДСО «Серафимовский» и о петербургских нормах с рабочими материалами учреждения автора. В доклад внесены только факты, допускающие публикацию: нет персональных данных жителей, имён работников исполнителей и проверяющих, служебной переписки, материалов подготовки к проверкам и цен сверх публичных сведений о закупках. Каждый внесённый факт сопровождается публичным источником: официальной публикацией акта, сайтом учреждения или карточкой закупки. Если публичная сверка не проводилась, это оговорено прямо.</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Проверено публично</w:t>
            </w:r>
          </w:p>
        </w:tc>
        <w:tc>
          <w:tcPr/>
          <w:p>
            <w:pPr>
              <w:pStyle w:val="Compact"/>
            </w:pPr>
            <w:r>
              <w:t xml:space="preserve">Где</w:t>
            </w:r>
          </w:p>
        </w:tc>
      </w:tr>
      <w:tr>
        <w:tc>
          <w:tcPr/>
          <w:p>
            <w:pPr>
              <w:pStyle w:val="Compact"/>
            </w:pPr>
            <w:r>
              <w:t xml:space="preserve">1</w:t>
            </w:r>
          </w:p>
        </w:tc>
        <w:tc>
          <w:tcPr/>
          <w:p>
            <w:pPr>
              <w:pStyle w:val="Compact"/>
            </w:pPr>
            <w:r>
              <w:t xml:space="preserve">Приказ № 124</w:t>
            </w:r>
          </w:p>
        </w:tc>
        <w:tc>
          <w:tcPr/>
          <w:p>
            <w:pPr>
              <w:pStyle w:val="Compact"/>
            </w:pPr>
            <w:r>
              <w:t xml:space="preserve">Уточнено: это правила внутреннего распорядка жителей, утверждённые приказом учреждения (на бланке указан учредитель — Комитет по социальной политике, но подписан приказ директором учреждения). Это не акт Комитета и не положение о питании. О вариативном меню — одна фраза о «зале заказного питания» (п. 3.9). Исправлены формулировки «закреплено заказное питание, в том числе для маломобильных»; ссылка переведена с веб-архива на действующий сайт sdso-spb.ru</w:t>
            </w:r>
          </w:p>
        </w:tc>
        <w:tc>
          <w:tcPr/>
          <w:p>
            <w:pPr>
              <w:pStyle w:val="Compact"/>
            </w:pPr>
            <w:r>
              <w:t xml:space="preserve">Да: PDF приказа на sdso-spb.ru [28]</w:t>
            </w:r>
          </w:p>
        </w:tc>
        <w:tc>
          <w:tcPr/>
          <w:p>
            <w:pPr>
              <w:pStyle w:val="Compact"/>
            </w:pPr>
            <w:r>
              <w:t xml:space="preserve">п. 4.8; сценарии 3 и 7; прил. А поз. 34, 61; прил. Г поз. 46; гл. 9 поз. 47</w:t>
            </w:r>
          </w:p>
        </w:tc>
      </w:tr>
      <w:tr>
        <w:tc>
          <w:tcPr/>
          <w:p>
            <w:pPr>
              <w:pStyle w:val="Compact"/>
            </w:pPr>
            <w:r>
              <w:t xml:space="preserve">2</w:t>
            </w:r>
          </w:p>
        </w:tc>
        <w:tc>
          <w:tcPr/>
          <w:p>
            <w:pPr>
              <w:pStyle w:val="Compact"/>
            </w:pPr>
            <w:r>
              <w:t xml:space="preserve">Постановление № 507</w:t>
            </w:r>
          </w:p>
        </w:tc>
        <w:tc>
          <w:tcPr/>
          <w:p>
            <w:pPr>
              <w:pStyle w:val="Compact"/>
            </w:pPr>
            <w:r>
              <w:t xml:space="preserve">Найдено: приложение к № 1284 изложено заново с 01.01.2026. Общая норма приведена к № 520н (птица 22,2 г, рыба 32,5 г, творог 20 г, кисломолочные 121 г, картофель 200 г вместо 40; 41,8; 40; 200; 168 г). Введены столбцы ПНИ и ДСО и норма без СБКС для всех организаций; СБКС и витамины даются по медицинским показаниям. Ошибки второй редакции исправлены: «нормы не менялись с 2022 г.», «СБКС в общей норме СПб», «СПб — нетто». Пересчитаны сценарии 1, 2, 11 и 12 (рыба по норме в иллюстрации сценария 1 — 149,6 % вместо 138,6 %) и прил. Б. Редакция 2022 г. оставлена как историческая</w:t>
            </w:r>
          </w:p>
        </w:tc>
        <w:tc>
          <w:tcPr/>
          <w:p>
            <w:pPr>
              <w:pStyle w:val="Compact"/>
            </w:pPr>
            <w:r>
              <w:t xml:space="preserve">Да: официальная публикация 7800202507240011 (скан, распознан) и текст приложения в справочной системе [34]</w:t>
            </w:r>
          </w:p>
        </w:tc>
        <w:tc>
          <w:tcPr/>
          <w:p>
            <w:pPr>
              <w:pStyle w:val="Compact"/>
            </w:pPr>
            <w:r>
              <w:t xml:space="preserve">п. 1.6; п. 2.6; п. 3.2, 3.12, 3.14; гл. 7; гл. 9 поз. 34, 36, 39, 46; гл. 10 п. 7, 12; заключение; прил. А поз. 22, 62; прил. Б; прил. Г поз. 47, 47а</w:t>
            </w:r>
          </w:p>
        </w:tc>
      </w:tr>
      <w:tr>
        <w:tc>
          <w:tcPr/>
          <w:p>
            <w:pPr>
              <w:pStyle w:val="Compact"/>
            </w:pPr>
            <w:r>
              <w:t xml:space="preserve">3</w:t>
            </w:r>
          </w:p>
        </w:tc>
        <w:tc>
          <w:tcPr/>
          <w:p>
            <w:pPr>
              <w:pStyle w:val="Compact"/>
            </w:pPr>
            <w:r>
              <w:t xml:space="preserve">Нормативы социального питания на 2027 г.</w:t>
            </w:r>
          </w:p>
        </w:tc>
        <w:tc>
          <w:tcPr/>
          <w:p>
            <w:pPr>
              <w:pStyle w:val="Compact"/>
            </w:pPr>
            <w:r>
              <w:t xml:space="preserve">Механизм внесён: комитет по экономической политике ежегодно до 1 июня утверждает нормативы расходов бюджета по социальному питанию (п. 7 пост. № 873). Распоряжение на 2027 г. в открытых официальных источниках не найдено (портал правовой информации, поиск), и его значения в доклад не внесены</w:t>
            </w:r>
          </w:p>
        </w:tc>
        <w:tc>
          <w:tcPr/>
          <w:p>
            <w:pPr>
              <w:pStyle w:val="Compact"/>
            </w:pPr>
            <w:r>
              <w:t xml:space="preserve">Механизм — да [77]; распоряжение на 2027 г. — нет</w:t>
            </w:r>
          </w:p>
        </w:tc>
        <w:tc>
          <w:tcPr/>
          <w:p>
            <w:pPr>
              <w:pStyle w:val="Compact"/>
            </w:pPr>
            <w:r>
              <w:t xml:space="preserve">п. 3.2; прил. А поз. 63</w:t>
            </w:r>
          </w:p>
        </w:tc>
      </w:tr>
      <w:tr>
        <w:tc>
          <w:tcPr/>
          <w:p>
            <w:pPr>
              <w:pStyle w:val="Compact"/>
            </w:pPr>
            <w:r>
              <w:t xml:space="preserve">4</w:t>
            </w:r>
          </w:p>
        </w:tc>
        <w:tc>
          <w:tcPr/>
          <w:p>
            <w:pPr>
              <w:pStyle w:val="Compact"/>
            </w:pPr>
            <w:r>
              <w:t xml:space="preserve">Цепочка закупок питания 2025–2026 гг.</w:t>
            </w:r>
          </w:p>
        </w:tc>
        <w:tc>
          <w:tcPr/>
          <w:p>
            <w:pPr>
              <w:pStyle w:val="Compact"/>
            </w:pPr>
            <w:r>
              <w:t xml:space="preserve">Внесено как факт, без причин: договор на 2026 г. от 02.12.2025 (ООО «АгроФуд»); краткосрочные закупки в июне — июле 2026 г.; конкурс на август — декабрь; договор от 17.08.2026 (ООО «Мастерская Гурмана»). Смена исполнителя увязана с рекомендацией записывать выбор в ТЗ (сценарий 8)</w:t>
            </w:r>
          </w:p>
        </w:tc>
        <w:tc>
          <w:tcPr/>
          <w:p>
            <w:pPr>
              <w:pStyle w:val="Compact"/>
            </w:pPr>
            <w:r>
              <w:t xml:space="preserve">Частично: извещения № 32616169674, № 32616171821, № 32616197209 и начальные цены — по агрегаторам [92, 93]; номера, даты, исполнители и цена договоров — по реестру ЕИС, недоступному из среды подготовки доклада; агрегаторы договоры не показывают —</w:t>
            </w:r>
            <w:r>
              <w:t xml:space="preserve"> </w:t>
            </w:r>
            <w:r>
              <w:rPr>
                <w:b/>
                <w:bCs/>
              </w:rPr>
              <w:t xml:space="preserve">не сверено независимо</w:t>
            </w:r>
            <w:r>
              <w:t xml:space="preserve">. Извещение № 32616171821 по-прежнему видно только в агрегаторах</w:t>
            </w:r>
          </w:p>
        </w:tc>
        <w:tc>
          <w:tcPr/>
          <w:p>
            <w:pPr>
              <w:pStyle w:val="Compact"/>
            </w:pPr>
            <w:r>
              <w:t xml:space="preserve">п. 4.8; сценарий 8; гл. 9 поз. 44; прил. А поз. 60</w:t>
            </w:r>
          </w:p>
        </w:tc>
      </w:tr>
      <w:tr>
        <w:tc>
          <w:tcPr/>
          <w:p>
            <w:pPr>
              <w:pStyle w:val="Compact"/>
            </w:pPr>
            <w:r>
              <w:t xml:space="preserve">5</w:t>
            </w:r>
          </w:p>
        </w:tc>
        <w:tc>
          <w:tcPr/>
          <w:p>
            <w:pPr>
              <w:pStyle w:val="Compact"/>
            </w:pPr>
            <w:r>
              <w:t xml:space="preserve">Цикличные меню ТЗ 2026 г.</w:t>
            </w:r>
          </w:p>
        </w:tc>
        <w:tc>
          <w:tcPr/>
          <w:p>
            <w:pPr>
              <w:pStyle w:val="Compact"/>
            </w:pPr>
            <w:r>
              <w:t xml:space="preserve">Описана структура: четыре части (ОВД, ИП и ИП2, ОВД2, лето), цикл 14 дней, шесть приёмов пищи, одно блюдо на позицию, БЖУ и энергетическая ценность по строкам. Подчёркнуто, что это цикличное меню по вариантам диеты, а не выбор блюд. Назначений диет нет</w:t>
            </w:r>
          </w:p>
        </w:tc>
        <w:tc>
          <w:tcPr/>
          <w:p>
            <w:pPr>
              <w:pStyle w:val="Compact"/>
            </w:pPr>
            <w:r>
              <w:t xml:space="preserve">Названия файлов — в документации извещения № 32616171821 у агрегатора [92]; содержание прочитано по копиям тех же файлов от учреждения</w:t>
            </w:r>
          </w:p>
        </w:tc>
        <w:tc>
          <w:tcPr/>
          <w:p>
            <w:pPr>
              <w:pStyle w:val="Compact"/>
            </w:pPr>
            <w:r>
              <w:t xml:space="preserve">п. 4.8; сценарий 8</w:t>
            </w:r>
          </w:p>
        </w:tc>
      </w:tr>
      <w:tr>
        <w:tc>
          <w:tcPr/>
          <w:p>
            <w:pPr>
              <w:pStyle w:val="Compact"/>
            </w:pPr>
            <w:r>
              <w:t xml:space="preserve">6</w:t>
            </w:r>
          </w:p>
        </w:tc>
        <w:tc>
          <w:tcPr/>
          <w:p>
            <w:pPr>
              <w:pStyle w:val="Compact"/>
            </w:pPr>
            <w:r>
              <w:t xml:space="preserve">Чего нет в открытом доступе</w:t>
            </w:r>
          </w:p>
        </w:tc>
        <w:tc>
          <w:tcPr/>
          <w:p>
            <w:pPr>
              <w:pStyle w:val="Compact"/>
            </w:pPr>
            <w:r>
              <w:t xml:space="preserve">Прямо указано: отдельного положения об организации питания, журнала заказа и журнала замен в разделе «Документы учреждения» нет. Внесена публичная «Информация об организации социального питания» за 2022 г.: перечень актов, цикличное меню из ТЗ, шесть приёмов пищи, вариативного меню ещё нет. Распоряжение № 1366-р — тарифы на 2025 г. (так и было)</w:t>
            </w:r>
          </w:p>
        </w:tc>
        <w:tc>
          <w:tcPr/>
          <w:p>
            <w:pPr>
              <w:pStyle w:val="Compact"/>
            </w:pPr>
            <w:r>
              <w:t xml:space="preserve">Да: sdso-spb.ru [28, 90]</w:t>
            </w:r>
          </w:p>
        </w:tc>
        <w:tc>
          <w:tcPr/>
          <w:p>
            <w:pPr>
              <w:pStyle w:val="Compact"/>
            </w:pPr>
            <w:r>
              <w:t xml:space="preserve">п. 4.8; прил. А поз. 64; прил. Г поз. 46</w:t>
            </w:r>
          </w:p>
        </w:tc>
      </w:tr>
      <w:tr>
        <w:tc>
          <w:tcPr/>
          <w:p>
            <w:pPr>
              <w:pStyle w:val="Compact"/>
            </w:pPr>
            <w:r>
              <w:t xml:space="preserve">7</w:t>
            </w:r>
          </w:p>
        </w:tc>
        <w:tc>
          <w:tcPr/>
          <w:p>
            <w:pPr>
              <w:pStyle w:val="Compact"/>
            </w:pPr>
            <w:r>
              <w:t xml:space="preserve">Типовые нарушения в закупках</w:t>
            </w:r>
          </w:p>
        </w:tc>
        <w:tc>
          <w:tcPr/>
          <w:p>
            <w:pPr>
              <w:pStyle w:val="Compact"/>
            </w:pPr>
            <w:r>
              <w:t xml:space="preserve">Не внесено: подборка рабочих материалов опирается на отраслевой журнал другого субъекта и на пересказы в СМИ, а не на публичный отчёт Контрольно-счётной палаты Санкт-Петербурга; кроме того, она описывает 44-ФЗ, а учреждение закупает по 223-ФЗ</w:t>
            </w:r>
          </w:p>
        </w:tc>
        <w:tc>
          <w:tcPr/>
          <w:p>
            <w:pPr>
              <w:pStyle w:val="Compact"/>
            </w:pPr>
            <w:r>
              <w:t xml:space="preserve">—</w:t>
            </w:r>
          </w:p>
        </w:tc>
        <w:tc>
          <w:tcPr/>
          <w:p>
            <w:pPr>
              <w:pStyle w:val="Compact"/>
            </w:pPr>
            <w:r>
              <w:t xml:space="preserve">—</w:t>
            </w:r>
          </w:p>
        </w:tc>
      </w:tr>
    </w:tbl>
    <w:p>
      <w:pPr>
        <w:pStyle w:val="BodyText"/>
      </w:pPr>
      <w:r>
        <w:rPr>
          <w:b/>
          <w:bCs/>
        </w:rPr>
        <w:t xml:space="preserve">Расхождения с рабочими материалами.</w:t>
      </w:r>
      <w:r>
        <w:t xml:space="preserve"> </w:t>
      </w:r>
      <w:r>
        <w:t xml:space="preserve">В рабочих материалах приказ № 124 описан как правила Комитета; по опубликованному тексту это приказ учреждения. Граммы постановления № 507 в рабочих материалах отличаются от официального текста (например, хлеб и кисломолочные продукты). В доклад внесены значения официальной публикации.</w:t>
      </w:r>
    </w:p>
    <w:bookmarkEnd w:id="177"/>
    <w:bookmarkStart w:id="178" w:name="X7ba3ac597c5667a71542075330efd815b4861a2"/>
    <w:p>
      <w:pPr>
        <w:pStyle w:val="Heading2"/>
      </w:pPr>
      <w:r>
        <w:t xml:space="preserve">Седьмой проход: академическая редакция (октябрь 2026 г.)</w:t>
      </w:r>
    </w:p>
    <w:p>
      <w:pPr>
        <w:pStyle w:val="FirstParagraph"/>
      </w:pPr>
      <w:r>
        <w:t xml:space="preserve">Седьмой проход имел две задачи: короткую целевую проверку одиннадцати пробелов, остававшихся открытыми в рабочей базе знаний (позиции 35–45 перечня wiki/gaps.md) [23], и приведение всего текста к нормам академической прозы. Новые факты вносились только с публичными источниками; доклад по-прежнему не говорит от имени Минтруда России.</w:t>
      </w:r>
    </w:p>
    <w:p>
      <w:pPr>
        <w:pStyle w:val="BodyText"/>
      </w:pPr>
      <w:r>
        <w:rPr>
          <w:b/>
          <w:bCs/>
        </w:rPr>
        <w:t xml:space="preserve">Результаты проверки пробелов (06.10.2026).</w:t>
      </w:r>
      <w:r>
        <w:t xml:space="preserve"> </w:t>
      </w:r>
      <w:r>
        <w:t xml:space="preserve">Закрыт один вопрос: вид, дата и номер псковского акта о нормах питания подтверждены справочной отметкой, согласно которой приказом Комитета по социальной защите Псковской области от 14.07.2020 № 206 с 03.08.2020 признан утратившим силу прежний приказ № 340 [85]; позиция 25 главы 9 снята (п. 3.7). Сужен вопрос о самообслуживании: полный текст п. 32 СанПиН 4282-26 запрещает также размещение холодных блюд, кондитерских изделий и напитков на линии раздачи вне охлаждаемой витрины, специального правила о «шведском столе» нет, а житель, обслуживающий себя сам, не относится к «посторонним лицам» (толкование; п. 2.7). Открытыми остаются: суточная проба на собственном пищеблоке (повторная сверка с текстом СанПиН 4282-26 прямой нормы не выявила; сценарий 13); совместимость поста с нормами питания (официального разъяснения не найдено; сценарий 16); независимая оценка петербургской процедуры оценки организации социального питания; текст определения ВС РФ № 303-ЭС25-15393 по существу; нормы социального питания Санкт-Петербурга на 2027 г.; место СБКС в нормах; статус московского приказа ДСЗН от 24.12.2014 № 1068 при более позднем приказе № 228 (по состоянию на 06.10.2026 приказ № 1068 продолжает значиться в перечне актов на сайте Департамента); условия о выборе в техническом задании договора ДСО «Серафимовский»; порядок фиксации и пересмотра карты предпочтений неговорящего жителя (сценарий 15); первоисточник иркутского сообщения о формате «два первых, два вторых, гарниры». По каждому из них в соответствующем разделе указана дата последней попытки.</w:t>
      </w:r>
    </w:p>
    <w:p>
      <w:pPr>
        <w:pStyle w:val="BodyText"/>
      </w:pPr>
      <w:r>
        <w:rPr>
          <w:b/>
          <w:bCs/>
        </w:rPr>
        <w:t xml:space="preserve">Академическая редакция.</w:t>
      </w:r>
      <w:r>
        <w:t xml:space="preserve"> </w:t>
      </w:r>
      <w:r>
        <w:t xml:space="preserve">Добавлены аннотация, ключевые слова, глоссарий, согласованный со словарём различений (цикличное меню, вариативное меню, таблица замен и персонализация; модели М0–М5 и ступени 0–5; закупки по 223-ФЗ и по 44-ФЗ; СанПиН 3590-20 и СанПиН 4282-26), и введение с полным аппаратом (актуальность, объект, предмет, цель, задачи, методы, источники, ограничения). Каждая глава завершается выводами; заключение дополнено итоговым абзацем. Аргументативные перечни переведены в связный текст; таблицы, сценарии, чек-листы и пронумерованные предложения сохранены в прежней форме, поскольку на них ссылаются другие разделы. Список источников оформлен по ГОСТ Р 7.0.100-2018. После правки каждой главы сценарий сверки подтвердил сохранность всех ссылок [n] и чисел. Исправлена одна неточность: в заключении число противоречий главы 9 было указано как 40 вместо 47. Число позиций в списке источников — 153.</w:t>
      </w:r>
    </w:p>
    <w:bookmarkEnd w:id="178"/>
    <w:bookmarkStart w:id="179" w:name="X4952c3796190ac2519c965d5c901ce84d874f25"/>
    <w:p>
      <w:pPr>
        <w:pStyle w:val="Heading2"/>
      </w:pPr>
      <w:r>
        <w:t xml:space="preserve">Дополнение 07.10.2026: техническое задание и определение Верховного Суда</w:t>
      </w:r>
    </w:p>
    <w:p>
      <w:pPr>
        <w:pStyle w:val="FirstParagraph"/>
      </w:pPr>
      <w:r>
        <w:rPr>
          <w:b/>
          <w:bCs/>
        </w:rPr>
        <w:t xml:space="preserve">07.10.2026: дополнение по ТЗ и определению ВС.</w:t>
      </w:r>
      <w:r>
        <w:t xml:space="preserve"> </w:t>
      </w:r>
      <w:r>
        <w:t xml:space="preserve">Дополнение проверяло два пробела рабочей базы знаний (позиции 39 и 43 перечня wiki/gaps.md) [23] по публичным источникам. Как и прежде, новые факты вносились только с источниками, классы утверждений не повышались, а утверждения, которые не удалось сверить, сохранили пометку «не сверено».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Найдено и прочитано на официальном сайте Верховного Суда (банк судебных актов: два документа по номеру). Определение от 28.01.2026 — стандартный отказ в передаче кассационной жалобы (ст. 291.6, 291.8, 291.11 АПК РФ) и взыскание 80 000 руб. госпошлины; ни 44-ФЗ, ни 223-ФЗ, ни госзадания, ни источника денег, ни цели закупки в тексте нет; цитаты, которую приводит блог, в нём нет. Номер дела указан верно (А73-20917/2024), чем подтверждена опечатка в определении от 29.12.2025. Копии обоих определений —</w:t>
            </w:r>
            <w:r>
              <w:t xml:space="preserve"> </w:t>
            </w:r>
            <w:r>
              <w:rPr>
                <w:rStyle w:val="VerbatimChar"/>
              </w:rPr>
              <w:t xml:space="preserve">raw/sources/vs-303-es25-15393/</w:t>
            </w:r>
          </w:p>
        </w:tc>
        <w:tc>
          <w:tcPr/>
          <w:p>
            <w:pPr>
              <w:pStyle w:val="Compact"/>
            </w:pPr>
            <w:r>
              <w:t xml:space="preserve">[60, 62]; п. 2.10, сценарий 12, гл. 9 (поз. 33 снята, поз. 40 уточнена), прил. А (поз. 48)</w:t>
            </w:r>
          </w:p>
        </w:tc>
      </w:tr>
      <w:tr>
        <w:tc>
          <w:tcPr/>
          <w:p>
            <w:pPr>
              <w:pStyle w:val="Compact"/>
            </w:pPr>
            <w:r>
              <w:t xml:space="preserve">ДСО «Серафимовский»: условия о выборе в ТЗ конкурса № 32616197209 и договоре № 32616197209-01</w:t>
            </w:r>
          </w:p>
        </w:tc>
        <w:tc>
          <w:tcPr/>
          <w:p>
            <w:pPr>
              <w:pStyle w:val="Compact"/>
            </w:pPr>
            <w:r>
              <w:t xml:space="preserve">Не прочитаны. Единая информационная система и электронная площадка из среды подготовки доклада недоступны (соединение не устанавливается); агрегаторы показывают только перечень файлов (конкурсная документация, «Приложение №2 к ТЗ», протоколы рассмотрения первых и вторых частей заявок, итоговый протокол) — содержание закрыто регистрацией или платным доступом. Из открытой карточки внесено деление предмета на три позиции в человеко-днях (109 395, 2 448, 33 660). Наличие или отсутствие выбора блюд в ТЗ не установлено; договор по-прежнему не сверен</w:t>
            </w:r>
          </w:p>
        </w:tc>
        <w:tc>
          <w:tcPr/>
          <w:p>
            <w:pPr>
              <w:pStyle w:val="Compact"/>
            </w:pPr>
            <w:r>
              <w:t xml:space="preserve">[92, 93]; п. 4.8, сценарий 8, гл. 9 (поз. 44)</w:t>
            </w:r>
          </w:p>
        </w:tc>
      </w:tr>
    </w:tbl>
    <w:p>
      <w:pPr>
        <w:pStyle w:val="BodyText"/>
      </w:pPr>
      <w:r>
        <w:rPr>
          <w:b/>
          <w:bCs/>
        </w:rPr>
        <w:t xml:space="preserve">Что следует из дополнения.</w:t>
      </w:r>
      <w:r>
        <w:t xml:space="preserve"> </w:t>
      </w:r>
      <w:r>
        <w:t xml:space="preserve">Позиция 33 главы 9 снята: тезис блога об «окончательной точке» и о критерии источника денег текстом определения не подтверждается, поскольку отказ в передаче жалобы позиции по существу не формулирует; критерий цели закупки остаётся позицией суда округа [58], а вывод п. 2.10 для стационарных организаций — толкованием автора. Вопрос о техническом задании ДСО «Серафимовский» остаётся открытым в прежнем объёме: доклад не утверждает ни наличия, ни отсутствия выбора блюд в договоре на август — декабрь 2026 г. Ссылка на определение от 28.01.2026 внесена в список источников; число позиций списка — 154.</w:t>
      </w:r>
    </w:p>
    <w:bookmarkEnd w:id="179"/>
    <w:bookmarkStart w:id="180" w:name="Xd69dbd8a17a86c0ac8201c80a05184bd1e6ff50"/>
    <w:p>
      <w:pPr>
        <w:pStyle w:val="Heading2"/>
      </w:pPr>
      <w:r>
        <w:t xml:space="preserve">Дополнение 08.10.2026: закупки Самарской области</w:t>
      </w:r>
    </w:p>
    <w:p>
      <w:pPr>
        <w:pStyle w:val="FirstParagraph"/>
      </w:pPr>
      <w:r>
        <w:rPr>
          <w:b/>
          <w:bCs/>
        </w:rPr>
        <w:t xml:space="preserve">08.10.2026: ежедневная проверка.</w:t>
      </w:r>
      <w:r>
        <w:t xml:space="preserve"> </w:t>
      </w:r>
      <w:r>
        <w:t xml:space="preserve">Проверка шла по открытым позициям 35–45 перечня пробелов рабочей базы знаний [23] и по новым публичным материалам о вариативном меню. Новые факты вносились только с публичными источниками, классы утверждений не повышались; содержание, которое не удалось прочитать, помечено как «не сверено».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Кейсы вариативного меню при аутсорсинге питания</w:t>
            </w:r>
          </w:p>
        </w:tc>
        <w:tc>
          <w:tcPr/>
          <w:p>
            <w:pPr>
              <w:pStyle w:val="Compact"/>
            </w:pPr>
            <w:r>
              <w:t xml:space="preserve">Найдены восемь извещений шести бюджетных учреждений Самарской области (2025–2026 гг.; периоды оказания услуг — 2026 и 2027 гг.) о закупке по 44-ФЗ «оказания услуг по приготовлению питания по вариативному меню»; цена — за койко-день, от 502,31 до 860,61 руб. Технические задания и меню не прочитаны: ЕИС из среды подготовки доклада недоступна, агрегаторы открывают файлы только после регистрации или за плату. Сайт Кошкинского дома-интерната упоминает «заказное меню» в отчётах за 2017 и 2018 гг. Снимки карточек без контактных данных —</w:t>
            </w:r>
            <w:r>
              <w:t xml:space="preserve"> </w:t>
            </w:r>
            <w:r>
              <w:rPr>
                <w:rStyle w:val="VerbatimChar"/>
              </w:rPr>
              <w:t xml:space="preserve">raw/sources/samara-variativnoe-menu-zakupki/</w:t>
            </w:r>
          </w:p>
        </w:tc>
        <w:tc>
          <w:tcPr/>
          <w:p>
            <w:pPr>
              <w:pStyle w:val="Compact"/>
            </w:pPr>
            <w:r>
              <w:t xml:space="preserve">[94, 96]; п. 4.1, 4.8, новый п. 4.10, сводная таблица (п. 4.11), выводы (п. 4.12), сценарий 6, гл. 9 (поз. 44), гл. 11 (вывод 5), прил. А (поз. 65)</w:t>
            </w:r>
          </w:p>
        </w:tc>
      </w:tr>
      <w:tr>
        <w:tc>
          <w:tcPr/>
          <w:p>
            <w:pPr>
              <w:pStyle w:val="Compact"/>
            </w:pPr>
            <w:r>
              <w:t xml:space="preserve">Суточная проба, пост, оценка УСП, нормы СПб на 2027 г., СБКС, Москва № 1068, карта предпочтений, Иркутск</w:t>
            </w:r>
          </w:p>
        </w:tc>
        <w:tc>
          <w:tcPr/>
          <w:p>
            <w:pPr>
              <w:pStyle w:val="Compact"/>
            </w:pPr>
            <w:r>
              <w:t xml:space="preserve">Повторный поиск 08.10.2026 нового не дал: официального разъяснения о суточной пробе на собственном пищеблоке и о посте не найдено; распоряжение о нормативах расходов на социальное питание на 2027 г. в открытых источниках не обнаружено; первоисточник иркутского сообщения от 14.02.2025 по-прежнему известен только в пересказе</w:t>
            </w:r>
          </w:p>
        </w:tc>
        <w:tc>
          <w:tcPr/>
          <w:p>
            <w:pPr>
              <w:pStyle w:val="Compact"/>
            </w:pPr>
            <w:r>
              <w:t xml:space="preserve">Без изменений текста</w:t>
            </w:r>
          </w:p>
        </w:tc>
      </w:tr>
    </w:tbl>
    <w:p>
      <w:pPr>
        <w:pStyle w:val="BodyText"/>
      </w:pPr>
      <w:r>
        <w:rPr>
          <w:b/>
          <w:bCs/>
        </w:rPr>
        <w:t xml:space="preserve">Что следует из дополнения.</w:t>
      </w:r>
      <w:r>
        <w:t xml:space="preserve"> </w:t>
      </w:r>
      <w:r>
        <w:t xml:space="preserve">Вывод о том, что ДСО «Серафимовский» — единственный обнаруженный российский кейс вариативного меню при аутсорсинге питания, снят. Кейсов теперь два вида: в «Серафимовском» выбор описан как практика, но договор не прочитан; в Самарской области выбор стоит в предмете закупки, но неизвестно, как он устроен. Нумерация пунктов главы 4 сдвинулась: сводная таблица — п. 4.11, выводы — п. 4.12; ссылки в главах 7 и 10 исправлены. Число позиций в списке источников — 156.</w:t>
      </w:r>
    </w:p>
    <w:bookmarkEnd w:id="180"/>
    <w:bookmarkEnd w:id="181"/>
    <w:bookmarkStart w:id="182"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предусматривает приложение к докладу локальных актов ДСО «Серафимовский» о питании, полного текста постановления Санкт-Петербурга № 1284 и распоряжения № 1366-р [23]. Файлы, которые удалось получить из публичных источников, размещены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порядке питания (положение об организации питания, формы меню-пар, журналы заказа и замен)</w:t>
            </w:r>
          </w:p>
        </w:tc>
        <w:tc>
          <w:tcPr/>
          <w:p>
            <w:pPr>
              <w:pStyle w:val="Compact"/>
            </w:pPr>
            <w:r>
              <w:t xml:space="preserve">—</w:t>
            </w:r>
          </w:p>
        </w:tc>
        <w:tc>
          <w:tcPr/>
          <w:p>
            <w:pPr>
              <w:pStyle w:val="Compact"/>
            </w:pPr>
            <w:r>
              <w:t xml:space="preserve">Сайт учреждения sdso-spb.ru, раздел «Документы учреждения»: опубликованы правила внутреннего распорядка (приказ № 124, где вариативное меню упомянуто одной фразой) [28] и «Информация об организации социального питания» за 2022 г. [90]; положения о питании и журналов там нет; цикличные меню ТЗ 2026 г. перечислены в документации закупки [92]</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rPr>
                <w:b/>
                <w:bCs/>
              </w:rPr>
              <w:t xml:space="preserve">Устаревшая редакция</w:t>
            </w:r>
            <w:r>
              <w:t xml:space="preserve">: приложение действовало до 31.12.2025; с 01.01.2026 — в ред. пост. № 507 (поз. 47а). Сохранена для сравнения с 2025 г. [33]</w:t>
            </w:r>
          </w:p>
        </w:tc>
      </w:tr>
      <w:tr>
        <w:tc>
          <w:tcPr/>
          <w:p>
            <w:pPr>
              <w:pStyle w:val="Compact"/>
            </w:pPr>
            <w:r>
              <w:t xml:space="preserve">47а</w:t>
            </w:r>
          </w:p>
        </w:tc>
        <w:tc>
          <w:tcPr/>
          <w:p>
            <w:pPr>
              <w:pStyle w:val="Compact"/>
            </w:pPr>
            <w:r>
              <w:t xml:space="preserve">Постановление Правительства Санкт-Петербурга от 18.07.2025 № 507 «О внесении изменений в постановление Правительства Санкт-Петербурга от 29.12.2014 № 1284»</w:t>
            </w:r>
          </w:p>
        </w:tc>
        <w:tc>
          <w:tcPr/>
          <w:p>
            <w:pPr>
              <w:pStyle w:val="Compact"/>
            </w:pPr>
            <w:r>
              <w:rPr>
                <w:rStyle w:val="VerbatimChar"/>
              </w:rPr>
              <w:t xml:space="preserve">47a_spb-pp-507_18-07-2025_pravo-gov.pdf</w:t>
            </w:r>
            <w:r>
              <w:t xml:space="preserve"> </w:t>
            </w:r>
            <w:r>
              <w:t xml:space="preserve">(18 с., графический образ)</w:t>
            </w:r>
          </w:p>
        </w:tc>
        <w:tc>
          <w:tcPr/>
          <w:p>
            <w:pPr>
              <w:pStyle w:val="Compact"/>
            </w:pPr>
            <w:r>
              <w:t xml:space="preserve">Официальная публикация, номер 7800202507240011 (24.07.2025)</w:t>
            </w:r>
          </w:p>
        </w:tc>
        <w:tc>
          <w:tcPr/>
          <w:p>
            <w:pPr>
              <w:pStyle w:val="Compact"/>
            </w:pPr>
            <w:r>
              <w:t xml:space="preserve">Официальный текст действующей с 01.01.2026 редакции приложения к № 1284; нормы для взрослых — прил. Б [34]</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[75]</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[76]; приложен для сравнения с 2025 г. (сценарий 8)</w:t>
            </w:r>
          </w:p>
        </w:tc>
      </w:tr>
    </w:tbl>
    <w:bookmarkEnd w:id="1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2026-10-08T05:22:37Z</dcterms:created>
  <dcterms:modified xsi:type="dcterms:W3CDTF">2026-10-08T05:22:37Z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Санкт-Петербург, 8 октября 2026 г.</vt:lpwstr>
  </property>
  <property fmtid="{D5CDD505-2E9C-101B-9397-08002B2CF9AE}" pid="3" name="subtitle">
    <vt:lpwstr>Аналитический доклад. Вторая, расширенная и переработанная редакция (академическая редакция)</vt:lpwstr>
  </property>
</Properties>
</file>