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8A8" w14:textId="415DC554" w:rsidR="00016E97" w:rsidRP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Referee responses, Paper #</w:t>
      </w:r>
      <w:r w:rsidR="008004EF">
        <w:rPr>
          <w:rFonts w:ascii="Times New Roman" w:hAnsi="Times New Roman" w:cs="Times New Roman"/>
          <w:sz w:val="40"/>
          <w:szCs w:val="40"/>
        </w:rPr>
        <w:t xml:space="preserve"> </w:t>
      </w:r>
      <w:r w:rsidRPr="00016E97">
        <w:rPr>
          <w:rFonts w:ascii="Times New Roman" w:hAnsi="Times New Roman" w:cs="Times New Roman"/>
          <w:sz w:val="40"/>
          <w:szCs w:val="40"/>
        </w:rPr>
        <w:t>sustainability-1425053:</w:t>
      </w:r>
    </w:p>
    <w:p w14:paraId="10193DD4" w14:textId="2E36F1E5" w:rsid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Modeling Complimentary Lead-cooled Fast Reactor and Concentrating Solar Power Supercritical Carbon Dioxide Cycles to Compare Efficiency Gains and Feasibility</w:t>
      </w:r>
    </w:p>
    <w:p w14:paraId="0CEA9CE9" w14:textId="77777777" w:rsidR="00016E97" w:rsidRPr="00016E97" w:rsidRDefault="00016E97" w:rsidP="00016E97">
      <w:pPr>
        <w:jc w:val="center"/>
        <w:rPr>
          <w:rFonts w:ascii="Times New Roman" w:hAnsi="Times New Roman" w:cs="Times New Roman"/>
          <w:sz w:val="40"/>
          <w:szCs w:val="40"/>
        </w:rPr>
      </w:pPr>
    </w:p>
    <w:p w14:paraId="64DC64C7" w14:textId="4F68154D" w:rsidR="00016E97" w:rsidRPr="00016E97" w:rsidRDefault="00016E97" w:rsidP="00016E97">
      <w:pPr>
        <w:rPr>
          <w:rFonts w:ascii="Times New Roman" w:hAnsi="Times New Roman" w:cs="Times New Roman"/>
          <w:color w:val="BF8F00" w:themeColor="accent4" w:themeShade="BF"/>
          <w:sz w:val="24"/>
          <w:szCs w:val="24"/>
        </w:rPr>
      </w:pPr>
      <w:r w:rsidRPr="00016E97">
        <w:rPr>
          <w:rFonts w:ascii="Times New Roman" w:hAnsi="Times New Roman" w:cs="Times New Roman"/>
          <w:color w:val="BF8F00" w:themeColor="accent4" w:themeShade="BF"/>
          <w:sz w:val="24"/>
          <w:szCs w:val="24"/>
        </w:rPr>
        <w:t>Brian T. White</w:t>
      </w:r>
    </w:p>
    <w:p w14:paraId="7F6E8234" w14:textId="2A905170" w:rsidR="00016E97" w:rsidRPr="00016E97" w:rsidRDefault="00016E97" w:rsidP="00016E97">
      <w:pPr>
        <w:rPr>
          <w:rFonts w:ascii="Times New Roman" w:hAnsi="Times New Roman" w:cs="Times New Roman"/>
          <w:color w:val="C00000"/>
          <w:sz w:val="24"/>
          <w:szCs w:val="24"/>
        </w:rPr>
      </w:pPr>
      <w:r w:rsidRPr="00016E97">
        <w:rPr>
          <w:rFonts w:ascii="Times New Roman" w:hAnsi="Times New Roman" w:cs="Times New Roman"/>
          <w:color w:val="C00000"/>
          <w:sz w:val="24"/>
          <w:szCs w:val="24"/>
        </w:rPr>
        <w:t>Mike J. Wagner</w:t>
      </w:r>
    </w:p>
    <w:p w14:paraId="7D90F646" w14:textId="2A0771BB" w:rsidR="00016E97" w:rsidRPr="00016E97" w:rsidRDefault="00016E97" w:rsidP="00016E97">
      <w:pPr>
        <w:rPr>
          <w:rFonts w:ascii="Times New Roman" w:hAnsi="Times New Roman" w:cs="Times New Roman"/>
          <w:color w:val="00B050"/>
          <w:sz w:val="24"/>
          <w:szCs w:val="24"/>
        </w:rPr>
      </w:pPr>
      <w:r w:rsidRPr="00016E97">
        <w:rPr>
          <w:rFonts w:ascii="Times New Roman" w:hAnsi="Times New Roman" w:cs="Times New Roman"/>
          <w:color w:val="00B050"/>
          <w:sz w:val="24"/>
          <w:szCs w:val="24"/>
        </w:rPr>
        <w:t>Ben Lindley</w:t>
      </w:r>
    </w:p>
    <w:p w14:paraId="22690B9F" w14:textId="1702CDBF" w:rsidR="008004EF" w:rsidRDefault="00016E97" w:rsidP="00016E97">
      <w:pPr>
        <w:rPr>
          <w:rFonts w:ascii="Times New Roman" w:hAnsi="Times New Roman" w:cs="Times New Roman"/>
          <w:color w:val="0070C0"/>
          <w:sz w:val="24"/>
          <w:szCs w:val="24"/>
        </w:rPr>
      </w:pPr>
      <w:r w:rsidRPr="00016E97">
        <w:rPr>
          <w:rFonts w:ascii="Times New Roman" w:hAnsi="Times New Roman" w:cs="Times New Roman"/>
          <w:color w:val="0070C0"/>
          <w:sz w:val="24"/>
          <w:szCs w:val="24"/>
        </w:rPr>
        <w:t>Done</w:t>
      </w:r>
    </w:p>
    <w:p w14:paraId="619BCF4F" w14:textId="0285E67A" w:rsidR="002601FC" w:rsidRPr="008004EF" w:rsidRDefault="002601FC" w:rsidP="002601FC">
      <w:pPr>
        <w:pBdr>
          <w:bottom w:val="single" w:sz="4" w:space="1" w:color="auto"/>
        </w:pBdr>
        <w:rPr>
          <w:rFonts w:ascii="Times New Roman" w:hAnsi="Times New Roman" w:cs="Times New Roman"/>
          <w:color w:val="0070C0"/>
          <w:sz w:val="24"/>
          <w:szCs w:val="24"/>
        </w:rPr>
      </w:pPr>
    </w:p>
    <w:p w14:paraId="4B0E23BD" w14:textId="274B13C3" w:rsidR="00744F14" w:rsidRDefault="00E52560" w:rsidP="00744F14">
      <w:pPr>
        <w:rPr>
          <w:rFonts w:ascii="Times New Roman" w:hAnsi="Times New Roman" w:cs="Times New Roman"/>
          <w:color w:val="0070C0"/>
          <w:sz w:val="24"/>
          <w:szCs w:val="24"/>
        </w:rPr>
      </w:pPr>
      <w:r w:rsidRPr="00E5256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 xml:space="preserve">The authors of this paper want to thank the editor and reviewers for critiquing the paper. We hope that the following edits based on the review reports improved the paper to the standards of MDPI. The paper has been thoroughly proofread </w:t>
      </w:r>
      <w:r w:rsidR="00744F14">
        <w:rPr>
          <w:rFonts w:ascii="Times New Roman" w:hAnsi="Times New Roman" w:cs="Times New Roman"/>
          <w:color w:val="000000" w:themeColor="text1"/>
          <w:sz w:val="24"/>
          <w:szCs w:val="24"/>
        </w:rPr>
        <w:t xml:space="preserve">with the reviewers’ comments in black font while the responses of the authors are in </w:t>
      </w:r>
      <w:r w:rsidR="00744F14">
        <w:rPr>
          <w:rFonts w:ascii="Times New Roman" w:hAnsi="Times New Roman" w:cs="Times New Roman"/>
          <w:color w:val="0070C0"/>
          <w:sz w:val="24"/>
          <w:szCs w:val="24"/>
        </w:rPr>
        <w:t>blue.</w:t>
      </w:r>
      <w:r w:rsidR="000402C7">
        <w:rPr>
          <w:rFonts w:ascii="Times New Roman" w:hAnsi="Times New Roman" w:cs="Times New Roman"/>
          <w:color w:val="0070C0"/>
          <w:sz w:val="24"/>
          <w:szCs w:val="24"/>
        </w:rPr>
        <w:t xml:space="preserve"> </w:t>
      </w:r>
    </w:p>
    <w:p w14:paraId="0641F616" w14:textId="73A5C351" w:rsidR="000402C7" w:rsidRPr="00B32F87" w:rsidRDefault="000402C7" w:rsidP="00744F14">
      <w:pPr>
        <w:rPr>
          <w:rFonts w:ascii="Times New Roman" w:hAnsi="Times New Roman" w:cs="Times New Roman"/>
          <w:color w:val="000000" w:themeColor="text1"/>
          <w:sz w:val="24"/>
          <w:szCs w:val="24"/>
        </w:rPr>
      </w:pPr>
      <w:r w:rsidRPr="00B32F87">
        <w:rPr>
          <w:rFonts w:ascii="Times New Roman" w:hAnsi="Times New Roman" w:cs="Times New Roman"/>
          <w:color w:val="000000" w:themeColor="text1"/>
          <w:sz w:val="24"/>
          <w:szCs w:val="24"/>
        </w:rPr>
        <w:t xml:space="preserve">Edits in the paper follow the standard form of: </w:t>
      </w:r>
    </w:p>
    <w:p w14:paraId="7D880CA1" w14:textId="574FD9FB" w:rsidR="000402C7" w:rsidRDefault="000402C7" w:rsidP="000402C7">
      <w:pPr>
        <w:jc w:val="center"/>
        <w:rPr>
          <w:rFonts w:ascii="Times New Roman" w:hAnsi="Times New Roman" w:cs="Times New Roman"/>
          <w:color w:val="0070C0"/>
          <w:sz w:val="24"/>
          <w:szCs w:val="24"/>
        </w:rPr>
      </w:pPr>
      <w:r>
        <w:rPr>
          <w:rFonts w:ascii="Times New Roman" w:hAnsi="Times New Roman" w:cs="Times New Roman"/>
          <w:color w:val="0070C0"/>
          <w:sz w:val="24"/>
          <w:szCs w:val="24"/>
        </w:rPr>
        <w:t xml:space="preserve">Edited sentence. </w:t>
      </w:r>
      <w:r w:rsidRPr="000402C7">
        <w:rPr>
          <w:rFonts w:ascii="Times New Roman" w:hAnsi="Times New Roman" w:cs="Times New Roman"/>
          <w:strike/>
          <w:color w:val="0070C0"/>
          <w:sz w:val="24"/>
          <w:szCs w:val="24"/>
        </w:rPr>
        <w:t>Unedited sentence.</w:t>
      </w:r>
      <w:r>
        <w:rPr>
          <w:rFonts w:ascii="Times New Roman" w:hAnsi="Times New Roman" w:cs="Times New Roman"/>
          <w:color w:val="0070C0"/>
          <w:sz w:val="24"/>
          <w:szCs w:val="24"/>
        </w:rPr>
        <w:t xml:space="preserve"> [</w:t>
      </w:r>
      <w:r w:rsidR="00B964F3">
        <w:rPr>
          <w:rFonts w:ascii="Times New Roman" w:hAnsi="Times New Roman" w:cs="Times New Roman"/>
          <w:color w:val="0070C0"/>
          <w:sz w:val="24"/>
          <w:szCs w:val="24"/>
        </w:rPr>
        <w:t>x</w:t>
      </w:r>
      <w:r>
        <w:rPr>
          <w:rFonts w:ascii="Times New Roman" w:hAnsi="Times New Roman" w:cs="Times New Roman"/>
          <w:color w:val="0070C0"/>
          <w:sz w:val="24"/>
          <w:szCs w:val="24"/>
        </w:rPr>
        <w:t xml:space="preserve">] </w:t>
      </w:r>
      <w:r w:rsidRPr="000402C7">
        <w:rPr>
          <w:rFonts w:ascii="Times New Roman" w:hAnsi="Times New Roman" w:cs="Times New Roman"/>
          <w:color w:val="0070C0"/>
          <w:sz w:val="24"/>
          <w:szCs w:val="24"/>
          <w:u w:val="wave"/>
        </w:rPr>
        <w:t>Author comment</w:t>
      </w:r>
      <w:r w:rsidR="00B964F3">
        <w:rPr>
          <w:rFonts w:ascii="Times New Roman" w:hAnsi="Times New Roman" w:cs="Times New Roman"/>
          <w:color w:val="0070C0"/>
          <w:sz w:val="24"/>
          <w:szCs w:val="24"/>
          <w:u w:val="wave"/>
        </w:rPr>
        <w:t>. [Reviewer Number, Comment Number]</w:t>
      </w:r>
    </w:p>
    <w:p w14:paraId="34F5764D" w14:textId="787DF5DA" w:rsidR="00E52560" w:rsidRPr="00E52560" w:rsidRDefault="00E52560" w:rsidP="002601FC">
      <w:pPr>
        <w:pBdr>
          <w:top w:val="single" w:sz="4" w:space="1" w:color="auto"/>
        </w:pBdr>
        <w:rPr>
          <w:rFonts w:ascii="Times New Roman" w:hAnsi="Times New Roman" w:cs="Times New Roman"/>
          <w:color w:val="000000" w:themeColor="text1"/>
          <w:sz w:val="24"/>
          <w:szCs w:val="24"/>
        </w:rPr>
      </w:pPr>
    </w:p>
    <w:p w14:paraId="502E400A" w14:textId="77777777" w:rsidR="000E6AC4" w:rsidRDefault="00E52560"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2C32A4" w14:textId="77777777" w:rsidR="000E6AC4" w:rsidRDefault="000E6AC4" w:rsidP="00016E97">
      <w:pPr>
        <w:rPr>
          <w:rFonts w:ascii="Times New Roman" w:hAnsi="Times New Roman" w:cs="Times New Roman"/>
          <w:color w:val="000000" w:themeColor="text1"/>
          <w:sz w:val="24"/>
          <w:szCs w:val="24"/>
        </w:rPr>
      </w:pPr>
    </w:p>
    <w:p w14:paraId="63CCE8C4" w14:textId="77777777" w:rsidR="000E6AC4" w:rsidRDefault="000E6AC4" w:rsidP="00016E97">
      <w:pPr>
        <w:rPr>
          <w:rFonts w:ascii="Times New Roman" w:hAnsi="Times New Roman" w:cs="Times New Roman"/>
          <w:color w:val="000000" w:themeColor="text1"/>
          <w:sz w:val="24"/>
          <w:szCs w:val="24"/>
        </w:rPr>
      </w:pPr>
    </w:p>
    <w:p w14:paraId="4E1D59D4" w14:textId="77777777" w:rsidR="000E6AC4" w:rsidRDefault="000E6AC4" w:rsidP="00016E97">
      <w:pPr>
        <w:rPr>
          <w:rFonts w:ascii="Times New Roman" w:hAnsi="Times New Roman" w:cs="Times New Roman"/>
          <w:color w:val="000000" w:themeColor="text1"/>
          <w:sz w:val="24"/>
          <w:szCs w:val="24"/>
        </w:rPr>
      </w:pPr>
    </w:p>
    <w:p w14:paraId="312AAD6F" w14:textId="77777777" w:rsidR="000E6AC4" w:rsidRDefault="000E6AC4" w:rsidP="00016E97">
      <w:pPr>
        <w:rPr>
          <w:rFonts w:ascii="Times New Roman" w:hAnsi="Times New Roman" w:cs="Times New Roman"/>
          <w:color w:val="000000" w:themeColor="text1"/>
          <w:sz w:val="24"/>
          <w:szCs w:val="24"/>
        </w:rPr>
      </w:pPr>
    </w:p>
    <w:p w14:paraId="2FCC621E" w14:textId="77777777" w:rsidR="000E6AC4" w:rsidRDefault="000E6AC4" w:rsidP="00016E97">
      <w:pPr>
        <w:rPr>
          <w:rFonts w:ascii="Times New Roman" w:hAnsi="Times New Roman" w:cs="Times New Roman"/>
          <w:color w:val="000000" w:themeColor="text1"/>
          <w:sz w:val="24"/>
          <w:szCs w:val="24"/>
        </w:rPr>
      </w:pPr>
    </w:p>
    <w:p w14:paraId="61B8287A" w14:textId="77777777" w:rsidR="000E6AC4" w:rsidRDefault="000E6AC4" w:rsidP="00016E97">
      <w:pPr>
        <w:rPr>
          <w:rFonts w:ascii="Times New Roman" w:hAnsi="Times New Roman" w:cs="Times New Roman"/>
          <w:color w:val="000000" w:themeColor="text1"/>
          <w:sz w:val="24"/>
          <w:szCs w:val="24"/>
        </w:rPr>
      </w:pPr>
    </w:p>
    <w:p w14:paraId="6C5379A7" w14:textId="77777777" w:rsidR="000E6AC4" w:rsidRDefault="000E6AC4" w:rsidP="00016E97">
      <w:pPr>
        <w:rPr>
          <w:rFonts w:ascii="Times New Roman" w:hAnsi="Times New Roman" w:cs="Times New Roman"/>
          <w:color w:val="000000" w:themeColor="text1"/>
          <w:sz w:val="24"/>
          <w:szCs w:val="24"/>
        </w:rPr>
      </w:pPr>
    </w:p>
    <w:p w14:paraId="2ACA3474" w14:textId="77777777" w:rsidR="000E6AC4" w:rsidRDefault="000E6AC4" w:rsidP="00016E97">
      <w:pPr>
        <w:rPr>
          <w:rFonts w:ascii="Times New Roman" w:hAnsi="Times New Roman" w:cs="Times New Roman"/>
          <w:color w:val="000000" w:themeColor="text1"/>
          <w:sz w:val="24"/>
          <w:szCs w:val="24"/>
        </w:rPr>
      </w:pPr>
    </w:p>
    <w:p w14:paraId="4D89A101" w14:textId="77777777" w:rsidR="000E6AC4" w:rsidRDefault="000E6AC4" w:rsidP="00016E97">
      <w:pPr>
        <w:rPr>
          <w:rFonts w:ascii="Times New Roman" w:hAnsi="Times New Roman" w:cs="Times New Roman"/>
          <w:color w:val="000000" w:themeColor="text1"/>
          <w:sz w:val="24"/>
          <w:szCs w:val="24"/>
        </w:rPr>
      </w:pPr>
    </w:p>
    <w:p w14:paraId="5D1248CA" w14:textId="77777777" w:rsidR="000E6AC4" w:rsidRDefault="000E6AC4" w:rsidP="00016E97">
      <w:pPr>
        <w:rPr>
          <w:rFonts w:ascii="Times New Roman" w:hAnsi="Times New Roman" w:cs="Times New Roman"/>
          <w:color w:val="000000" w:themeColor="text1"/>
          <w:sz w:val="24"/>
          <w:szCs w:val="24"/>
        </w:rPr>
      </w:pPr>
    </w:p>
    <w:p w14:paraId="1B57A503" w14:textId="4DE81FA1" w:rsidR="00E52560" w:rsidRDefault="00A6647B" w:rsidP="000E6AC4">
      <w:pPr>
        <w:ind w:firstLine="720"/>
        <w:rPr>
          <w:rFonts w:ascii="Times New Roman" w:hAnsi="Times New Roman" w:cs="Times New Roman"/>
          <w:b/>
          <w:bCs/>
          <w:color w:val="000000" w:themeColor="text1"/>
          <w:sz w:val="24"/>
          <w:szCs w:val="24"/>
        </w:rPr>
      </w:pPr>
      <w:r w:rsidRPr="00A6647B">
        <w:rPr>
          <w:rFonts w:ascii="Times New Roman" w:hAnsi="Times New Roman" w:cs="Times New Roman"/>
          <w:b/>
          <w:bCs/>
          <w:color w:val="000000" w:themeColor="text1"/>
          <w:sz w:val="24"/>
          <w:szCs w:val="24"/>
        </w:rPr>
        <w:t>Reviewer #1:</w:t>
      </w:r>
    </w:p>
    <w:p w14:paraId="0588A126" w14:textId="3FC99467" w:rsid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A6647B" w14:paraId="03894A17" w14:textId="50B0B7A7" w:rsidTr="00BF7477">
        <w:trPr>
          <w:trHeight w:val="1134"/>
        </w:trPr>
        <w:tc>
          <w:tcPr>
            <w:tcW w:w="1811" w:type="dxa"/>
          </w:tcPr>
          <w:p w14:paraId="1D990FF6" w14:textId="1ADE3A4C" w:rsidR="00A6647B" w:rsidRPr="00A6647B" w:rsidRDefault="00A6647B" w:rsidP="00016E97">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F78DCE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1ABFA51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452D6A60"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268265ED" w14:textId="7A56CAD9" w:rsidR="00A6647B" w:rsidRDefault="00A6647B" w:rsidP="00016E97">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A6647B" w14:paraId="2F7C5AB5" w14:textId="738CE9EB" w:rsidTr="00EA05CA">
        <w:tc>
          <w:tcPr>
            <w:tcW w:w="3329" w:type="dxa"/>
            <w:gridSpan w:val="2"/>
            <w:shd w:val="clear" w:color="auto" w:fill="0D0D0D" w:themeFill="text1" w:themeFillTint="F2"/>
          </w:tcPr>
          <w:p w14:paraId="0F7904BD" w14:textId="1DF959B0" w:rsidR="00A6647B" w:rsidRPr="00A6647B" w:rsidRDefault="00A6647B" w:rsidP="00A6647B">
            <w:pPr>
              <w:rPr>
                <w:rFonts w:ascii="Times New Roman" w:hAnsi="Times New Roman" w:cs="Times New Roman"/>
                <w:color w:val="000000" w:themeColor="text1"/>
                <w:sz w:val="24"/>
                <w:szCs w:val="24"/>
              </w:rPr>
            </w:pPr>
          </w:p>
        </w:tc>
        <w:tc>
          <w:tcPr>
            <w:tcW w:w="1513" w:type="dxa"/>
          </w:tcPr>
          <w:p w14:paraId="30B76FF2" w14:textId="0FE1BE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084E73FB" w14:textId="5313BB7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44C40839" w14:textId="7A22D0D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7FF6DEBE" w14:textId="33E2A80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A6647B" w14:paraId="00361F1D" w14:textId="3CCC2153" w:rsidTr="00F972A0">
        <w:tc>
          <w:tcPr>
            <w:tcW w:w="3329" w:type="dxa"/>
            <w:gridSpan w:val="2"/>
          </w:tcPr>
          <w:p w14:paraId="25603022" w14:textId="1235215F"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62350A8" w14:textId="7D0DC1FB"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3DA21BC" w14:textId="59B6B3C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24D07EF" w14:textId="511C7CD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E274231" w14:textId="4CEE14E1"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57E09E49" w14:textId="43235839" w:rsidTr="008A3F71">
        <w:tc>
          <w:tcPr>
            <w:tcW w:w="3329" w:type="dxa"/>
            <w:gridSpan w:val="2"/>
          </w:tcPr>
          <w:p w14:paraId="390EB043" w14:textId="2A8F4B7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038CD947" w14:textId="58BF97F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D783197" w14:textId="7B2BAD1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7133B8F" w14:textId="559CF8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DFC5774" w14:textId="020153B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0CB98F8B" w14:textId="14B3C154" w:rsidTr="00B84717">
        <w:tc>
          <w:tcPr>
            <w:tcW w:w="3329" w:type="dxa"/>
            <w:gridSpan w:val="2"/>
          </w:tcPr>
          <w:p w14:paraId="32FBF13B" w14:textId="4F6DAFB6"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6622B3F" w14:textId="2A982A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7F21B5F2" w14:textId="4F9A2C1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B4E0F9B" w14:textId="6899FBC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F0C723B" w14:textId="765C1FB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23517DB9" w14:textId="2B871C8C" w:rsidTr="007942F4">
        <w:tc>
          <w:tcPr>
            <w:tcW w:w="3329" w:type="dxa"/>
            <w:gridSpan w:val="2"/>
          </w:tcPr>
          <w:p w14:paraId="48FCA6D5" w14:textId="23920F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1F9913F8" w14:textId="473A5C7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4E9FDBB9" w14:textId="24FA3419"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5BD1EBF" w14:textId="2DAD680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95EFBE6" w14:textId="05FCA8E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r>
      <w:tr w:rsidR="00A6647B" w14:paraId="44C2E6A8" w14:textId="4BF2ACFA" w:rsidTr="000D1A22">
        <w:tc>
          <w:tcPr>
            <w:tcW w:w="3329" w:type="dxa"/>
            <w:gridSpan w:val="2"/>
          </w:tcPr>
          <w:p w14:paraId="04F14CDE" w14:textId="3CB079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381E84C4" w14:textId="19C7E0B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5D81BD0" w14:textId="3281A3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EAFAE6A" w14:textId="3275472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7E2C791" w14:textId="5837D45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1B5CEAFE" w14:textId="120EC9DD" w:rsidTr="00585AB6">
        <w:tc>
          <w:tcPr>
            <w:tcW w:w="3329" w:type="dxa"/>
            <w:gridSpan w:val="2"/>
          </w:tcPr>
          <w:p w14:paraId="1A4F02D0" w14:textId="20AD8AB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642B9FB4" w14:textId="70DB309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789ABACB" w14:textId="0F27892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2FCE7FE" w14:textId="7AC4FB7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C62E200" w14:textId="71EF4EA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334F0AC9" w14:textId="77777777" w:rsidR="00A6647B" w:rsidRDefault="00A6647B" w:rsidP="00016E97">
      <w:pPr>
        <w:rPr>
          <w:rFonts w:ascii="Times New Roman" w:hAnsi="Times New Roman" w:cs="Times New Roman"/>
          <w:b/>
          <w:bCs/>
          <w:color w:val="000000" w:themeColor="text1"/>
          <w:sz w:val="24"/>
          <w:szCs w:val="24"/>
        </w:rPr>
      </w:pPr>
    </w:p>
    <w:p w14:paraId="63DF6443" w14:textId="2ADD82A3" w:rsidR="00A6647B" w:rsidRP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5C3DFF44" w14:textId="25FF254E"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It is not clear how the pinch point issue in the recuperators was dealt with. Eps-NTU method can capture this only if heat exchanger is divided into multiple calculation domains as cp varies significantly. From the resulting efficiencies I would concur that pinch point was </w:t>
      </w:r>
      <w:proofErr w:type="gramStart"/>
      <w:r w:rsidRPr="00EA05CA">
        <w:rPr>
          <w:rFonts w:ascii="Times New Roman" w:hAnsi="Times New Roman" w:cs="Times New Roman"/>
          <w:color w:val="000000" w:themeColor="text1"/>
          <w:sz w:val="24"/>
          <w:szCs w:val="24"/>
        </w:rPr>
        <w:t>taken into account</w:t>
      </w:r>
      <w:proofErr w:type="gramEnd"/>
      <w:r w:rsidRPr="00EA05CA">
        <w:rPr>
          <w:rFonts w:ascii="Times New Roman" w:hAnsi="Times New Roman" w:cs="Times New Roman"/>
          <w:color w:val="000000" w:themeColor="text1"/>
          <w:sz w:val="24"/>
          <w:szCs w:val="24"/>
        </w:rPr>
        <w:t xml:space="preserve"> as the results appears to be correct. However, for the less educated reader it might be misleading. Please improve the description of sCO2 cycle recuperators modelling. </w:t>
      </w:r>
    </w:p>
    <w:p w14:paraId="4846EB5D" w14:textId="18D96C76" w:rsidR="00A87DE5" w:rsidRPr="00A87DE5" w:rsidRDefault="00180B27" w:rsidP="00A87DE5">
      <w:pPr>
        <w:pStyle w:val="ListParagraph"/>
        <w:ind w:left="1440"/>
        <w:rPr>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rPr>
        <w:t xml:space="preserve">Edits done for clarity of approach temperature to the sentence </w:t>
      </w:r>
      <w:r w:rsidR="009D5198" w:rsidRPr="005D19C1">
        <w:rPr>
          <w:rFonts w:ascii="Times New Roman" w:hAnsi="Times New Roman" w:cs="Times New Roman"/>
          <w:color w:val="BF8F00" w:themeColor="accent4" w:themeShade="BF"/>
          <w:sz w:val="24"/>
          <w:szCs w:val="24"/>
          <w:highlight w:val="yellow"/>
        </w:rPr>
        <w:t xml:space="preserve">in the third paragraph of Section 2.1.2. The sentences </w:t>
      </w:r>
      <w:r w:rsidRPr="005D19C1">
        <w:rPr>
          <w:rFonts w:ascii="Times New Roman" w:hAnsi="Times New Roman" w:cs="Times New Roman"/>
          <w:color w:val="BF8F00" w:themeColor="accent4" w:themeShade="BF"/>
          <w:sz w:val="24"/>
          <w:szCs w:val="24"/>
          <w:highlight w:val="yellow"/>
        </w:rPr>
        <w:t>‘The temperatures of the hot and cold flows on either side of the</w:t>
      </w:r>
      <w:del w:id="0" w:author="Ben Lindley" w:date="2021-10-26T22:05:00Z">
        <w:r w:rsidRPr="005D19C1" w:rsidDel="00CD3547">
          <w:rPr>
            <w:rFonts w:ascii="Times New Roman" w:hAnsi="Times New Roman" w:cs="Times New Roman"/>
            <w:color w:val="BF8F00" w:themeColor="accent4" w:themeShade="BF"/>
            <w:sz w:val="24"/>
            <w:szCs w:val="24"/>
            <w:highlight w:val="yellow"/>
          </w:rPr>
          <w:delText xml:space="preserve"> the</w:delText>
        </w:r>
      </w:del>
      <w:r w:rsidRPr="005D19C1">
        <w:rPr>
          <w:rFonts w:ascii="Times New Roman" w:hAnsi="Times New Roman" w:cs="Times New Roman"/>
          <w:color w:val="BF8F00" w:themeColor="accent4" w:themeShade="BF"/>
          <w:sz w:val="24"/>
          <w:szCs w:val="24"/>
          <w:highlight w:val="yellow"/>
        </w:rPr>
        <w:t xml:space="preserve"> heat exchanger have a temperature difference known as an approach temperature.’ was changed to ‘The smallest temperature difference of </w:t>
      </w:r>
      <w:r w:rsidRPr="005D19C1">
        <w:rPr>
          <w:rFonts w:ascii="Times New Roman" w:hAnsi="Times New Roman" w:cs="Times New Roman"/>
          <w:color w:val="BF8F00" w:themeColor="accent4" w:themeShade="BF"/>
          <w:sz w:val="24"/>
          <w:szCs w:val="24"/>
          <w:highlight w:val="yellow"/>
        </w:rPr>
        <w:lastRenderedPageBreak/>
        <w:t>the hot and cold flows on either the low or high end of the heat exchanger is defined as the approach temperature of the counter-flow heat exchanger.’</w:t>
      </w:r>
      <w:r w:rsidR="005D717F" w:rsidRPr="005D19C1">
        <w:rPr>
          <w:rFonts w:ascii="Times New Roman" w:hAnsi="Times New Roman" w:cs="Times New Roman"/>
          <w:color w:val="BF8F00" w:themeColor="accent4" w:themeShade="BF"/>
          <w:sz w:val="24"/>
          <w:szCs w:val="24"/>
          <w:highlight w:val="yellow"/>
        </w:rPr>
        <w:t xml:space="preserve"> Additional explanation of the capacitance ratios explained in the last paragraph of section 2.1.2 with the sentence ‘Specific heat is found using library correlations.’ Changed to two sentences with a source ‘Specific heat is found using library correlations, with the average capacitance rate assumed to be constant during the analysis. Assuming constant average capacitance rate is suitable for most engineering purposes, especially when there is uncertainty associated with other parameters [25].’</w:t>
      </w:r>
    </w:p>
    <w:p w14:paraId="088D2CD1" w14:textId="2BC61C15"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Check if sentence on the line 446-447 is correct. It does not make a sense to me.</w:t>
      </w:r>
    </w:p>
    <w:p w14:paraId="3DEA3652" w14:textId="2FE9B3DE" w:rsidR="00A87DE5" w:rsidRPr="00A87DE5" w:rsidRDefault="00B0499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seems to be correct except for the additional conjuncture ‘and’ that was overlooked in the proofreading. This sentence has been corrected to ‘</w:t>
      </w:r>
      <w:r w:rsidRPr="00B04998">
        <w:rPr>
          <w:rFonts w:ascii="Times New Roman" w:hAnsi="Times New Roman" w:cs="Times New Roman"/>
          <w:color w:val="BF8F00" w:themeColor="accent4" w:themeShade="BF"/>
          <w:sz w:val="24"/>
          <w:szCs w:val="24"/>
        </w:rPr>
        <w:t>Cycles that do not contain the listed component omit the associated values.</w:t>
      </w:r>
      <w:r>
        <w:rPr>
          <w:rFonts w:ascii="Times New Roman" w:hAnsi="Times New Roman" w:cs="Times New Roman"/>
          <w:color w:val="BF8F00" w:themeColor="accent4" w:themeShade="BF"/>
          <w:sz w:val="24"/>
          <w:szCs w:val="24"/>
        </w:rPr>
        <w:t>’ and can be found at lines *</w:t>
      </w:r>
    </w:p>
    <w:p w14:paraId="6A30197C" w14:textId="4EC681E6" w:rsidR="00A87DE5" w:rsidRPr="00A87DE5" w:rsidRDefault="00A87DE5" w:rsidP="00A87DE5">
      <w:pPr>
        <w:ind w:left="1440"/>
        <w:rPr>
          <w:rFonts w:ascii="Times New Roman" w:hAnsi="Times New Roman" w:cs="Times New Roman"/>
          <w:color w:val="000000" w:themeColor="text1"/>
          <w:sz w:val="24"/>
          <w:szCs w:val="24"/>
        </w:rPr>
      </w:pPr>
    </w:p>
    <w:p w14:paraId="30F03227" w14:textId="30D35445"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25E497C9" w14:textId="2167ABCD"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#2:</w:t>
      </w:r>
    </w:p>
    <w:p w14:paraId="5AE38FB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46BD8E0" w14:textId="77777777" w:rsidTr="007C384A">
        <w:trPr>
          <w:trHeight w:val="1134"/>
        </w:trPr>
        <w:tc>
          <w:tcPr>
            <w:tcW w:w="1811" w:type="dxa"/>
          </w:tcPr>
          <w:p w14:paraId="670CF1FC"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76AC4B93"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4ADC5058"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0103293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7152113A" w14:textId="77777777" w:rsidR="00EA05CA"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EA05CA" w14:paraId="3007EBD4" w14:textId="77777777" w:rsidTr="007C384A">
        <w:tc>
          <w:tcPr>
            <w:tcW w:w="3329" w:type="dxa"/>
            <w:gridSpan w:val="2"/>
            <w:shd w:val="clear" w:color="auto" w:fill="0D0D0D" w:themeFill="text1" w:themeFillTint="F2"/>
          </w:tcPr>
          <w:p w14:paraId="686C0A06"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13C983B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34CFB1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1ED1569A"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5FF408F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2D0E866F" w14:textId="77777777" w:rsidTr="007C384A">
        <w:tc>
          <w:tcPr>
            <w:tcW w:w="3329" w:type="dxa"/>
            <w:gridSpan w:val="2"/>
          </w:tcPr>
          <w:p w14:paraId="3AEEFB8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D34703C" w14:textId="4F64DE33"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FC2BA36" w14:textId="01B2C43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4C6E92BE"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90056C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72A47C4" w14:textId="77777777" w:rsidTr="007C384A">
        <w:tc>
          <w:tcPr>
            <w:tcW w:w="3329" w:type="dxa"/>
            <w:gridSpan w:val="2"/>
          </w:tcPr>
          <w:p w14:paraId="21481E4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66BD537E" w14:textId="2086A25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0838E53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BF0E2F" w14:textId="3448AA8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492" w:type="dxa"/>
          </w:tcPr>
          <w:p w14:paraId="018FDD52"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61C36C" w14:textId="77777777" w:rsidTr="007C384A">
        <w:tc>
          <w:tcPr>
            <w:tcW w:w="3329" w:type="dxa"/>
            <w:gridSpan w:val="2"/>
          </w:tcPr>
          <w:p w14:paraId="7C0FEDC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A223D95" w14:textId="6B46034D"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EA13B3E" w14:textId="498ECED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6A6AA99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8F9E20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989439D" w14:textId="77777777" w:rsidTr="007C384A">
        <w:tc>
          <w:tcPr>
            <w:tcW w:w="3329" w:type="dxa"/>
            <w:gridSpan w:val="2"/>
          </w:tcPr>
          <w:p w14:paraId="5292D0A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655AE5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B184D50" w14:textId="749792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1E5AEA3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0D79559" w14:textId="157AEDF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62659953" w14:textId="77777777" w:rsidTr="007C384A">
        <w:tc>
          <w:tcPr>
            <w:tcW w:w="3329" w:type="dxa"/>
            <w:gridSpan w:val="2"/>
          </w:tcPr>
          <w:p w14:paraId="71F38E1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279DE636" w14:textId="069E4D4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F957CC2" w14:textId="362FFE7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4E001D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0B31CD3" w14:textId="6D4B8A44"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r>
      <w:tr w:rsidR="00EA05CA" w14:paraId="17C8A18A" w14:textId="77777777" w:rsidTr="007C384A">
        <w:tc>
          <w:tcPr>
            <w:tcW w:w="3329" w:type="dxa"/>
            <w:gridSpan w:val="2"/>
          </w:tcPr>
          <w:p w14:paraId="6EB7FAB6"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Are the conclusions thoroughly supported by the results </w:t>
            </w:r>
            <w:r>
              <w:rPr>
                <w:rFonts w:ascii="Times New Roman" w:hAnsi="Times New Roman" w:cs="Times New Roman"/>
                <w:color w:val="000000" w:themeColor="text1"/>
                <w:sz w:val="24"/>
                <w:szCs w:val="24"/>
              </w:rPr>
              <w:lastRenderedPageBreak/>
              <w:t>presented in the article or referenced in secondary literature?</w:t>
            </w:r>
          </w:p>
        </w:tc>
        <w:tc>
          <w:tcPr>
            <w:tcW w:w="1513" w:type="dxa"/>
          </w:tcPr>
          <w:p w14:paraId="231A181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t>
            </w:r>
          </w:p>
        </w:tc>
        <w:tc>
          <w:tcPr>
            <w:tcW w:w="1509" w:type="dxa"/>
          </w:tcPr>
          <w:p w14:paraId="3B1B33D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DA0F19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260D498" w14:textId="5CFDEBE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6E9E834" w14:textId="77777777" w:rsidR="00EA05CA" w:rsidRDefault="00EA05CA" w:rsidP="00EA05CA">
      <w:pPr>
        <w:rPr>
          <w:rFonts w:ascii="Times New Roman" w:hAnsi="Times New Roman" w:cs="Times New Roman"/>
          <w:b/>
          <w:bCs/>
          <w:color w:val="000000" w:themeColor="text1"/>
          <w:sz w:val="24"/>
          <w:szCs w:val="24"/>
        </w:rPr>
      </w:pPr>
    </w:p>
    <w:p w14:paraId="567DC7CA"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0D538823" w14:textId="1338F9C8"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05CA">
        <w:rPr>
          <w:rFonts w:ascii="Times New Roman" w:hAnsi="Times New Roman" w:cs="Times New Roman"/>
          <w:color w:val="000000" w:themeColor="text1"/>
          <w:sz w:val="24"/>
          <w:szCs w:val="24"/>
        </w:rPr>
        <w:t>This paper discusses different configurations to couple lead fast reactor and concentrating solar power through supercritical carbon dioxide cycles to improve efficiency and reduce cost.  In general, this work is well written, but the authors are suggested to consider the following comments when revise the manuscript:</w:t>
      </w:r>
    </w:p>
    <w:p w14:paraId="0BD331D8" w14:textId="202945E3"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In the abstract, “Nuclear reactors, including lead-cooled fast reactors (LFRs), can load follow, but have high fixed and low operating costs which can make this economically unattractive.” This sentence needs to be revised.</w:t>
      </w:r>
    </w:p>
    <w:p w14:paraId="29D5567D" w14:textId="52B7764C" w:rsidR="00A87DE5" w:rsidRPr="00A87DE5" w:rsidRDefault="00363A26"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Revised this sentence for readability to ‘Nuclear reactors, including lead-cooled fast reactors (LFRs), can adjust power output according to demand, but with high fixed costs and low operating costs </w:t>
      </w:r>
      <w:del w:id="1" w:author="Ben Lindley" w:date="2021-10-26T22:07:00Z">
        <w:r w:rsidDel="00CD3547">
          <w:rPr>
            <w:rFonts w:ascii="Times New Roman" w:hAnsi="Times New Roman" w:cs="Times New Roman"/>
            <w:color w:val="BF8F00" w:themeColor="accent4" w:themeShade="BF"/>
            <w:sz w:val="24"/>
            <w:szCs w:val="24"/>
          </w:rPr>
          <w:delText>this is economically unattractive</w:delText>
        </w:r>
      </w:del>
      <w:ins w:id="2" w:author="Ben Lindley" w:date="2021-10-26T22:07:00Z">
        <w:r w:rsidR="00CD3547">
          <w:rPr>
            <w:rFonts w:ascii="Times New Roman" w:hAnsi="Times New Roman" w:cs="Times New Roman"/>
            <w:color w:val="BF8F00" w:themeColor="accent4" w:themeShade="BF"/>
            <w:sz w:val="24"/>
            <w:szCs w:val="24"/>
          </w:rPr>
          <w:t>there may not be sufficient economic incentive to make this worthwhile</w:t>
        </w:r>
      </w:ins>
      <w:r>
        <w:rPr>
          <w:rFonts w:ascii="Times New Roman" w:hAnsi="Times New Roman" w:cs="Times New Roman"/>
          <w:color w:val="BF8F00" w:themeColor="accent4" w:themeShade="BF"/>
          <w:sz w:val="24"/>
          <w:szCs w:val="24"/>
        </w:rPr>
        <w:t>.’ Changing ‘load following’ to ‘adjust power output according to demand’ reduces the requirement of knowing what ‘load following’ is. Additionally changing ‘high fixed’ to ‘high fixed costs’ distinguishes the two discussed costs from each other increasing readability.</w:t>
      </w:r>
    </w:p>
    <w:p w14:paraId="6A6ADEBE" w14:textId="77777777" w:rsidR="00A87DE5" w:rsidRDefault="00A87DE5" w:rsidP="00A87DE5">
      <w:pPr>
        <w:pStyle w:val="ListParagraph"/>
        <w:ind w:left="1440"/>
        <w:rPr>
          <w:rFonts w:ascii="Times New Roman" w:hAnsi="Times New Roman" w:cs="Times New Roman"/>
          <w:color w:val="000000" w:themeColor="text1"/>
          <w:sz w:val="24"/>
          <w:szCs w:val="24"/>
        </w:rPr>
      </w:pPr>
    </w:p>
    <w:p w14:paraId="1DBDC593" w14:textId="3983A9AE"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2, “Utilizing complementary technologies, specifically solar concentrating power and lead-cooled fast reactors, can offset the drawbacks of each”. Can authors explain in more detail what are the drawbacks of LFR and CSP?</w:t>
      </w:r>
    </w:p>
    <w:p w14:paraId="0B11532D" w14:textId="6BD2CADB" w:rsidR="00A87DE5" w:rsidRPr="00A87DE5" w:rsidRDefault="001A4F1D"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Additional explanation of drawbacks added after this sentence. The supplementary sentence reads ‘</w:t>
      </w:r>
      <w:r w:rsidRPr="001A4F1D">
        <w:rPr>
          <w:rFonts w:ascii="Times New Roman" w:hAnsi="Times New Roman" w:cs="Times New Roman"/>
          <w:color w:val="BF8F00" w:themeColor="accent4" w:themeShade="BF"/>
          <w:sz w:val="24"/>
          <w:szCs w:val="24"/>
        </w:rPr>
        <w:t xml:space="preserve">These drawbacks include CSP dependency on weather conditions and time of day, while the LFR </w:t>
      </w:r>
      <w:del w:id="3" w:author="Ben Lindley" w:date="2021-10-26T22:08:00Z">
        <w:r w:rsidRPr="001A4F1D" w:rsidDel="00CD3547">
          <w:rPr>
            <w:rFonts w:ascii="Times New Roman" w:hAnsi="Times New Roman" w:cs="Times New Roman"/>
            <w:color w:val="BF8F00" w:themeColor="accent4" w:themeShade="BF"/>
            <w:sz w:val="24"/>
            <w:szCs w:val="24"/>
          </w:rPr>
          <w:delText>has a large system inertia on start</w:delText>
        </w:r>
        <w:r w:rsidDel="00CD3547">
          <w:rPr>
            <w:rFonts w:ascii="Times New Roman" w:hAnsi="Times New Roman" w:cs="Times New Roman"/>
            <w:color w:val="BF8F00" w:themeColor="accent4" w:themeShade="BF"/>
            <w:sz w:val="24"/>
            <w:szCs w:val="24"/>
          </w:rPr>
          <w:delText>-</w:delText>
        </w:r>
        <w:r w:rsidRPr="001A4F1D" w:rsidDel="00CD3547">
          <w:rPr>
            <w:rFonts w:ascii="Times New Roman" w:hAnsi="Times New Roman" w:cs="Times New Roman"/>
            <w:color w:val="BF8F00" w:themeColor="accent4" w:themeShade="BF"/>
            <w:sz w:val="24"/>
            <w:szCs w:val="24"/>
          </w:rPr>
          <w:delText>up and ramping while reducing strain on system components when consistently operating</w:delText>
        </w:r>
      </w:del>
      <w:ins w:id="4" w:author="Ben Lindley" w:date="2021-10-26T22:08:00Z">
        <w:r w:rsidR="00CD3547">
          <w:rPr>
            <w:rFonts w:ascii="Times New Roman" w:hAnsi="Times New Roman" w:cs="Times New Roman"/>
            <w:color w:val="BF8F00" w:themeColor="accent4" w:themeShade="BF"/>
            <w:sz w:val="24"/>
            <w:szCs w:val="24"/>
          </w:rPr>
          <w:t>in isolation does not incorporate thermal energy storage for meeting peak demand</w:t>
        </w:r>
      </w:ins>
      <w:r w:rsidRPr="001A4F1D">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 xml:space="preserve">’ </w:t>
      </w:r>
    </w:p>
    <w:p w14:paraId="24BCFA2D" w14:textId="77777777" w:rsidR="00A87DE5" w:rsidRDefault="00EA05CA" w:rsidP="00A87DE5">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5, “Restricting the lead ﬂow velocity, and therefore lead mass ﬂow rate, leads to a higher LFR power output when the inlet sCO2 temperature is reduced.” The logic behind this sentence is unclear.</w:t>
      </w:r>
    </w:p>
    <w:p w14:paraId="4B4FB09B" w14:textId="6E2DE084" w:rsidR="00A87DE5" w:rsidRPr="00A87DE5" w:rsidRDefault="00B77034" w:rsidP="00A87DE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BF8F00" w:themeColor="accent4" w:themeShade="BF"/>
          <w:sz w:val="24"/>
          <w:szCs w:val="24"/>
        </w:rPr>
        <w:t>Edited the sentence to exemplify that reducing the lead flow rate in the LFR while reducing the sCO2 inlet temperature increases the power output of the LFR. This sentence is important when explaining the benefits of decreasing the sCO2 inlet temperature in the parametric studies. The new sentence reads ‘</w:t>
      </w:r>
      <w:del w:id="5" w:author="Ben Lindley" w:date="2021-10-26T22:12:00Z">
        <w:r w:rsidRPr="00B77034" w:rsidDel="00CD3547">
          <w:rPr>
            <w:rFonts w:ascii="Times New Roman" w:hAnsi="Times New Roman" w:cs="Times New Roman"/>
            <w:color w:val="BF8F00" w:themeColor="accent4" w:themeShade="BF"/>
            <w:sz w:val="24"/>
            <w:szCs w:val="24"/>
          </w:rPr>
          <w:delText>Restricting the lead flow velocity, and therefore lead mass flow rate</w:delText>
        </w:r>
      </w:del>
      <w:del w:id="6" w:author="Ben Lindley" w:date="2021-10-26T22:10:00Z">
        <w:r w:rsidRPr="00B77034" w:rsidDel="00CD3547">
          <w:rPr>
            <w:rFonts w:ascii="Times New Roman" w:hAnsi="Times New Roman" w:cs="Times New Roman"/>
            <w:color w:val="BF8F00" w:themeColor="accent4" w:themeShade="BF"/>
            <w:sz w:val="24"/>
            <w:szCs w:val="24"/>
          </w:rPr>
          <w:delText>, while</w:delText>
        </w:r>
      </w:del>
      <w:del w:id="7" w:author="Ben Lindley" w:date="2021-10-26T22:12:00Z">
        <w:r w:rsidRPr="00B77034" w:rsidDel="00CD3547">
          <w:rPr>
            <w:rFonts w:ascii="Times New Roman" w:hAnsi="Times New Roman" w:cs="Times New Roman"/>
            <w:color w:val="BF8F00" w:themeColor="accent4" w:themeShade="BF"/>
            <w:sz w:val="24"/>
            <w:szCs w:val="24"/>
          </w:rPr>
          <w:delText xml:space="preserve"> lower</w:delText>
        </w:r>
      </w:del>
      <w:del w:id="8" w:author="Ben Lindley" w:date="2021-10-26T22:10:00Z">
        <w:r w:rsidRPr="00B77034" w:rsidDel="00CD3547">
          <w:rPr>
            <w:rFonts w:ascii="Times New Roman" w:hAnsi="Times New Roman" w:cs="Times New Roman"/>
            <w:color w:val="BF8F00" w:themeColor="accent4" w:themeShade="BF"/>
            <w:sz w:val="24"/>
            <w:szCs w:val="24"/>
          </w:rPr>
          <w:delText>ing the</w:delText>
        </w:r>
      </w:del>
      <w:del w:id="9" w:author="Ben Lindley" w:date="2021-10-26T22:12:00Z">
        <w:r w:rsidRPr="00B77034" w:rsidDel="00CD3547">
          <w:rPr>
            <w:rFonts w:ascii="Times New Roman" w:hAnsi="Times New Roman" w:cs="Times New Roman"/>
            <w:color w:val="BF8F00" w:themeColor="accent4" w:themeShade="BF"/>
            <w:sz w:val="24"/>
            <w:szCs w:val="24"/>
          </w:rPr>
          <w:delText xml:space="preserve"> inlet sCO</w:delText>
        </w:r>
        <w:r w:rsidDel="00CD3547">
          <w:rPr>
            <w:rFonts w:ascii="Times New Roman" w:hAnsi="Times New Roman" w:cs="Times New Roman"/>
            <w:color w:val="BF8F00" w:themeColor="accent4" w:themeShade="BF"/>
            <w:sz w:val="24"/>
            <w:szCs w:val="24"/>
          </w:rPr>
          <w:delText>2</w:delText>
        </w:r>
        <w:r w:rsidRPr="00B77034" w:rsidDel="00CD3547">
          <w:rPr>
            <w:rFonts w:ascii="Times New Roman" w:hAnsi="Times New Roman" w:cs="Times New Roman"/>
            <w:color w:val="BF8F00" w:themeColor="accent4" w:themeShade="BF"/>
            <w:sz w:val="24"/>
            <w:szCs w:val="24"/>
          </w:rPr>
          <w:delText xml:space="preserve"> temperature increases the temperature difference across the LFR HX allowing for a higher</w:delText>
        </w:r>
      </w:del>
      <w:del w:id="10" w:author="Ben Lindley" w:date="2021-10-26T22:10:00Z">
        <w:r w:rsidR="00C66C00" w:rsidDel="00CD3547">
          <w:rPr>
            <w:rFonts w:ascii="Times New Roman" w:hAnsi="Times New Roman" w:cs="Times New Roman"/>
            <w:color w:val="BF8F00" w:themeColor="accent4" w:themeShade="BF"/>
            <w:sz w:val="24"/>
            <w:szCs w:val="24"/>
          </w:rPr>
          <w:delText xml:space="preserve">, </w:delText>
        </w:r>
        <w:r w:rsidRPr="00B77034" w:rsidDel="00CD3547">
          <w:rPr>
            <w:rFonts w:ascii="Times New Roman" w:hAnsi="Times New Roman" w:cs="Times New Roman"/>
            <w:color w:val="BF8F00" w:themeColor="accent4" w:themeShade="BF"/>
            <w:sz w:val="24"/>
            <w:szCs w:val="24"/>
          </w:rPr>
          <w:delText>more desirable,</w:delText>
        </w:r>
        <w:r w:rsidR="00C66C00" w:rsidDel="00CD3547">
          <w:rPr>
            <w:rFonts w:ascii="Times New Roman" w:hAnsi="Times New Roman" w:cs="Times New Roman"/>
            <w:color w:val="BF8F00" w:themeColor="accent4" w:themeShade="BF"/>
            <w:sz w:val="24"/>
            <w:szCs w:val="24"/>
          </w:rPr>
          <w:delText xml:space="preserve"> </w:delText>
        </w:r>
      </w:del>
      <w:del w:id="11" w:author="Ben Lindley" w:date="2021-10-26T22:12:00Z">
        <w:r w:rsidR="00C66C00" w:rsidDel="00CD3547">
          <w:rPr>
            <w:rFonts w:ascii="Times New Roman" w:hAnsi="Times New Roman" w:cs="Times New Roman"/>
            <w:color w:val="BF8F00" w:themeColor="accent4" w:themeShade="BF"/>
            <w:sz w:val="24"/>
            <w:szCs w:val="24"/>
          </w:rPr>
          <w:delText>LFR</w:delText>
        </w:r>
        <w:r w:rsidRPr="00B77034" w:rsidDel="00CD3547">
          <w:rPr>
            <w:rFonts w:ascii="Times New Roman" w:hAnsi="Times New Roman" w:cs="Times New Roman"/>
            <w:color w:val="BF8F00" w:themeColor="accent4" w:themeShade="BF"/>
            <w:sz w:val="24"/>
            <w:szCs w:val="24"/>
          </w:rPr>
          <w:delText xml:space="preserve"> power output</w:delText>
        </w:r>
      </w:del>
      <w:ins w:id="12" w:author="Ben Lindley" w:date="2021-10-26T22:13:00Z">
        <w:r w:rsidR="00CD3547">
          <w:rPr>
            <w:rFonts w:ascii="Times New Roman" w:hAnsi="Times New Roman" w:cs="Times New Roman"/>
            <w:color w:val="BF8F00" w:themeColor="accent4" w:themeShade="BF"/>
            <w:sz w:val="24"/>
            <w:szCs w:val="24"/>
          </w:rPr>
          <w:t>At constant lead velocity (and hence mass flow rate), r</w:t>
        </w:r>
      </w:ins>
      <w:ins w:id="13" w:author="Ben Lindley" w:date="2021-10-26T22:12:00Z">
        <w:r w:rsidR="00CD3547">
          <w:rPr>
            <w:rFonts w:ascii="Times New Roman" w:hAnsi="Times New Roman" w:cs="Times New Roman"/>
            <w:color w:val="BF8F00" w:themeColor="accent4" w:themeShade="BF"/>
            <w:sz w:val="24"/>
            <w:szCs w:val="24"/>
          </w:rPr>
          <w:t xml:space="preserve">educing the sCO2 inlet temperature allows </w:t>
        </w:r>
      </w:ins>
      <w:ins w:id="14" w:author="Ben Lindley" w:date="2021-10-26T22:14:00Z">
        <w:r w:rsidR="00CD3547">
          <w:rPr>
            <w:rFonts w:ascii="Times New Roman" w:hAnsi="Times New Roman" w:cs="Times New Roman"/>
            <w:color w:val="BF8F00" w:themeColor="accent4" w:themeShade="BF"/>
            <w:sz w:val="24"/>
            <w:szCs w:val="24"/>
          </w:rPr>
          <w:t>for a higher lead delta T in the LFR core and hence higher thermal power output</w:t>
        </w:r>
      </w:ins>
      <w:r w:rsidRPr="00B7703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w:t>
      </w:r>
    </w:p>
    <w:p w14:paraId="76C9F7DE" w14:textId="4E48425B"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“As grid demand diminishes, CSP HX ramps down heat extraction until no power is being dispatched through the salt and the hot TES begins charging. During this process, the LFR gradually adds a larger fraction of heat input to the TES through C2S. This process continues until no electrical production is occurring in the cycle and all heat is stored in TES for later use.” Why cannot we keep using CSP to charge hot TES when grid demand diminishes?</w:t>
      </w:r>
    </w:p>
    <w:p w14:paraId="45266F2E" w14:textId="61368BC7" w:rsidR="00A87DE5" w:rsidRPr="00A87DE5" w:rsidRDefault="00C27D8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lastRenderedPageBreak/>
        <w:t>This sentence was edited for clarity, the cycle uses the CSP to charge the hot TES when grid demand diminishes. The sentence ‘</w:t>
      </w:r>
      <w:r w:rsidRPr="00C27D88">
        <w:rPr>
          <w:rFonts w:ascii="Times New Roman" w:hAnsi="Times New Roman" w:cs="Times New Roman"/>
          <w:color w:val="BF8F00" w:themeColor="accent4" w:themeShade="BF"/>
          <w:sz w:val="24"/>
          <w:szCs w:val="24"/>
        </w:rPr>
        <w:t>As grid demand diminishes, CSP HX ramps down heat extraction until no power is being dispatched through the salt and the hot TES begins charging.</w:t>
      </w:r>
      <w:r>
        <w:rPr>
          <w:rFonts w:ascii="Times New Roman" w:hAnsi="Times New Roman" w:cs="Times New Roman"/>
          <w:color w:val="BF8F00" w:themeColor="accent4" w:themeShade="BF"/>
          <w:sz w:val="24"/>
          <w:szCs w:val="24"/>
        </w:rPr>
        <w:t xml:space="preserve">’ was elaborated on to be </w:t>
      </w:r>
      <w:proofErr w:type="gramStart"/>
      <w:ins w:id="15" w:author="Ben Lindley" w:date="2021-10-26T22:15:00Z">
        <w:r w:rsidR="00AF04FE" w:rsidRPr="00EA05CA">
          <w:rPr>
            <w:rFonts w:ascii="Times New Roman" w:hAnsi="Times New Roman" w:cs="Times New Roman"/>
            <w:color w:val="000000" w:themeColor="text1"/>
            <w:sz w:val="24"/>
            <w:szCs w:val="24"/>
          </w:rPr>
          <w:t>As</w:t>
        </w:r>
        <w:proofErr w:type="gramEnd"/>
        <w:r w:rsidR="00AF04FE" w:rsidRPr="00EA05CA">
          <w:rPr>
            <w:rFonts w:ascii="Times New Roman" w:hAnsi="Times New Roman" w:cs="Times New Roman"/>
            <w:color w:val="000000" w:themeColor="text1"/>
            <w:sz w:val="24"/>
            <w:szCs w:val="24"/>
          </w:rPr>
          <w:t xml:space="preserve"> </w:t>
        </w:r>
        <w:commentRangeStart w:id="16"/>
        <w:r w:rsidR="00AF04FE" w:rsidRPr="00EA05CA">
          <w:rPr>
            <w:rFonts w:ascii="Times New Roman" w:hAnsi="Times New Roman" w:cs="Times New Roman"/>
            <w:color w:val="000000" w:themeColor="text1"/>
            <w:sz w:val="24"/>
            <w:szCs w:val="24"/>
          </w:rPr>
          <w:t>grid</w:t>
        </w:r>
      </w:ins>
      <w:commentRangeEnd w:id="16"/>
      <w:ins w:id="17" w:author="Ben Lindley" w:date="2021-10-26T22:16:00Z">
        <w:r w:rsidR="00AF04FE">
          <w:rPr>
            <w:rStyle w:val="CommentReference"/>
          </w:rPr>
          <w:commentReference w:id="16"/>
        </w:r>
      </w:ins>
      <w:ins w:id="18" w:author="Ben Lindley" w:date="2021-10-26T22:15:00Z">
        <w:r w:rsidR="00AF04FE" w:rsidRPr="00EA05CA">
          <w:rPr>
            <w:rFonts w:ascii="Times New Roman" w:hAnsi="Times New Roman" w:cs="Times New Roman"/>
            <w:color w:val="000000" w:themeColor="text1"/>
            <w:sz w:val="24"/>
            <w:szCs w:val="24"/>
          </w:rPr>
          <w:t xml:space="preserve"> demand diminishes, CSP HX ramps down heat extraction until no power is being dispatched through the salt and the hot TES begins charging. During this process, the LFR gradually adds a larger fraction of heat input to the TES through C2S</w:t>
        </w:r>
      </w:ins>
      <w:ins w:id="19" w:author="Ben Lindley" w:date="2021-10-26T22:16:00Z">
        <w:r w:rsidR="00AF04FE">
          <w:rPr>
            <w:rFonts w:ascii="Times New Roman" w:hAnsi="Times New Roman" w:cs="Times New Roman"/>
            <w:color w:val="000000" w:themeColor="text1"/>
            <w:sz w:val="24"/>
            <w:szCs w:val="24"/>
          </w:rPr>
          <w:t xml:space="preserve">, </w:t>
        </w:r>
        <w:r w:rsidR="00AF04FE" w:rsidRPr="00AF04FE">
          <w:rPr>
            <w:rFonts w:ascii="Times New Roman" w:hAnsi="Times New Roman" w:cs="Times New Roman"/>
            <w:b/>
            <w:bCs/>
            <w:color w:val="000000" w:themeColor="text1"/>
            <w:sz w:val="24"/>
            <w:szCs w:val="24"/>
            <w:rPrChange w:id="20" w:author="Ben Lindley" w:date="2021-10-26T22:16:00Z">
              <w:rPr>
                <w:rFonts w:ascii="Times New Roman" w:hAnsi="Times New Roman" w:cs="Times New Roman"/>
                <w:color w:val="000000" w:themeColor="text1"/>
                <w:sz w:val="24"/>
                <w:szCs w:val="24"/>
              </w:rPr>
            </w:rPrChange>
          </w:rPr>
          <w:t>supplementing the heat produced by the CSP which is also used to charge the TES</w:t>
        </w:r>
      </w:ins>
      <w:ins w:id="21" w:author="Ben Lindley" w:date="2021-10-26T22:15:00Z">
        <w:r w:rsidR="00AF04FE" w:rsidRPr="00EA05CA">
          <w:rPr>
            <w:rFonts w:ascii="Times New Roman" w:hAnsi="Times New Roman" w:cs="Times New Roman"/>
            <w:color w:val="000000" w:themeColor="text1"/>
            <w:sz w:val="24"/>
            <w:szCs w:val="24"/>
          </w:rPr>
          <w:t>. This process continues until no electrical production is occurring in the cycle and all heat is stored in TES for later use.</w:t>
        </w:r>
      </w:ins>
      <w:del w:id="22" w:author="Ben Lindley" w:date="2021-10-26T22:15:00Z">
        <w:r w:rsidDel="00AF04FE">
          <w:rPr>
            <w:rFonts w:ascii="Times New Roman" w:hAnsi="Times New Roman" w:cs="Times New Roman"/>
            <w:color w:val="BF8F00" w:themeColor="accent4" w:themeShade="BF"/>
            <w:sz w:val="24"/>
            <w:szCs w:val="24"/>
          </w:rPr>
          <w:delText>‘</w:delText>
        </w:r>
        <w:r w:rsidRPr="00C27D88" w:rsidDel="00AF04FE">
          <w:rPr>
            <w:rFonts w:ascii="Times New Roman" w:hAnsi="Times New Roman" w:cs="Times New Roman"/>
            <w:color w:val="BF8F00" w:themeColor="accent4" w:themeShade="BF"/>
            <w:sz w:val="24"/>
            <w:szCs w:val="24"/>
          </w:rPr>
          <w:delText>As grid demand diminishes, electrical generation is ramped down by decreasing heat input through the CSP HX. This continues until no heat is being dispatched from the solar salt to the sCO2, and all produced thermal energy from the CSP is put into charging the hot TES.</w:delText>
        </w:r>
        <w:r w:rsidDel="00AF04FE">
          <w:rPr>
            <w:rFonts w:ascii="Times New Roman" w:hAnsi="Times New Roman" w:cs="Times New Roman"/>
            <w:color w:val="BF8F00" w:themeColor="accent4" w:themeShade="BF"/>
            <w:sz w:val="24"/>
            <w:szCs w:val="24"/>
          </w:rPr>
          <w:delText xml:space="preserve">’ </w:delText>
        </w:r>
      </w:del>
    </w:p>
    <w:p w14:paraId="02CC7D4E" w14:textId="07015CDE" w:rsidR="00EA05CA" w:rsidRDefault="00EA05CA" w:rsidP="000E6AC4">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Table 1, P2A, T1A, T5, T2C, T6A, T5C need to be explained.</w:t>
      </w:r>
      <w:r w:rsidRPr="000E6AC4">
        <w:rPr>
          <w:rFonts w:ascii="Times New Roman" w:hAnsi="Times New Roman" w:cs="Times New Roman"/>
          <w:color w:val="000000" w:themeColor="text1"/>
          <w:sz w:val="24"/>
          <w:szCs w:val="24"/>
        </w:rPr>
        <w:tab/>
      </w:r>
    </w:p>
    <w:p w14:paraId="5A545D3B" w14:textId="3B2FD8B2" w:rsidR="00A87DE5" w:rsidRPr="00A87DE5" w:rsidRDefault="002A50E1"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 supplementary sentence was added to explain the variable names in Table 1. The sentence reads ‘</w:t>
      </w:r>
      <w:r w:rsidR="008F45D0" w:rsidRPr="008F45D0">
        <w:rPr>
          <w:rFonts w:ascii="Times New Roman" w:hAnsi="Times New Roman" w:cs="Times New Roman"/>
          <w:color w:val="BF8F00" w:themeColor="accent4" w:themeShade="BF"/>
          <w:sz w:val="24"/>
          <w:szCs w:val="24"/>
        </w:rPr>
        <w:t xml:space="preserve">In Table </w:t>
      </w:r>
      <w:r w:rsidR="008F45D0">
        <w:rPr>
          <w:rFonts w:ascii="Times New Roman" w:hAnsi="Times New Roman" w:cs="Times New Roman"/>
          <w:color w:val="BF8F00" w:themeColor="accent4" w:themeShade="BF"/>
          <w:sz w:val="24"/>
          <w:szCs w:val="24"/>
        </w:rPr>
        <w:t>1,</w:t>
      </w:r>
      <w:r w:rsidR="008F45D0" w:rsidRPr="008F45D0">
        <w:rPr>
          <w:rFonts w:ascii="Times New Roman" w:hAnsi="Times New Roman" w:cs="Times New Roman"/>
          <w:color w:val="BF8F00" w:themeColor="accent4" w:themeShade="BF"/>
          <w:sz w:val="24"/>
          <w:szCs w:val="24"/>
        </w:rPr>
        <w:t xml:space="preserve"> variable names require further explanation. The high side pressure with the variable label </w:t>
      </w:r>
      <w:r w:rsidR="008F45D0">
        <w:rPr>
          <w:rFonts w:ascii="Times New Roman" w:hAnsi="Times New Roman" w:cs="Times New Roman"/>
          <w:color w:val="BF8F00" w:themeColor="accent4" w:themeShade="BF"/>
          <w:sz w:val="24"/>
          <w:szCs w:val="24"/>
        </w:rPr>
        <w:t>P</w:t>
      </w:r>
      <w:r w:rsidR="008F45D0">
        <w:rPr>
          <w:rFonts w:ascii="Times New Roman" w:hAnsi="Times New Roman" w:cs="Times New Roman"/>
          <w:color w:val="BF8F00" w:themeColor="accent4" w:themeShade="BF"/>
          <w:sz w:val="24"/>
          <w:szCs w:val="24"/>
          <w:vertAlign w:val="subscript"/>
        </w:rPr>
        <w:t>2A</w:t>
      </w:r>
      <w:r w:rsidR="008F45D0" w:rsidRPr="008F45D0">
        <w:rPr>
          <w:rFonts w:ascii="Times New Roman" w:hAnsi="Times New Roman" w:cs="Times New Roman"/>
          <w:color w:val="BF8F00" w:themeColor="accent4" w:themeShade="BF"/>
          <w:sz w:val="24"/>
          <w:szCs w:val="24"/>
        </w:rPr>
        <w:t>, is the constant pressure outlet on the compressors and inlet to the turbines. In all models the value is set by the outlet of the main compressor and held constant with the assumption that there is no pressure drop across heat exchangers. In addition to this pressure, temperatures are also set. The inlet temperature of the main compressor, T</w:t>
      </w:r>
      <w:r w:rsidR="008F45D0">
        <w:rPr>
          <w:rFonts w:ascii="Times New Roman" w:hAnsi="Times New Roman" w:cs="Times New Roman"/>
          <w:color w:val="BF8F00" w:themeColor="accent4" w:themeShade="BF"/>
          <w:sz w:val="24"/>
          <w:szCs w:val="24"/>
          <w:vertAlign w:val="subscript"/>
        </w:rPr>
        <w:t>1A</w:t>
      </w:r>
      <w:r w:rsidR="008F45D0">
        <w:rPr>
          <w:rFonts w:ascii="Times New Roman" w:hAnsi="Times New Roman" w:cs="Times New Roman"/>
          <w:color w:val="BF8F00" w:themeColor="accent4" w:themeShade="BF"/>
          <w:sz w:val="24"/>
          <w:szCs w:val="24"/>
        </w:rPr>
        <w:t xml:space="preserve">, </w:t>
      </w:r>
      <w:r w:rsidR="008F45D0" w:rsidRPr="008F45D0">
        <w:rPr>
          <w:rFonts w:ascii="Times New Roman" w:hAnsi="Times New Roman" w:cs="Times New Roman"/>
          <w:color w:val="BF8F00" w:themeColor="accent4" w:themeShade="BF"/>
          <w:sz w:val="24"/>
          <w:szCs w:val="24"/>
        </w:rPr>
        <w:t>is set to a value of 40</w:t>
      </w:r>
      <w:r w:rsidR="008F45D0">
        <w:rPr>
          <w:rFonts w:ascii="Times New Roman" w:hAnsi="Times New Roman" w:cs="Times New Roman"/>
          <w:color w:val="BF8F00" w:themeColor="accent4" w:themeShade="BF"/>
          <w:sz w:val="24"/>
          <w:szCs w:val="24"/>
          <w:vertAlign w:val="superscript"/>
        </w:rPr>
        <w:t>o</w:t>
      </w:r>
      <w:r w:rsidR="008F45D0" w:rsidRPr="008F45D0">
        <w:rPr>
          <w:rFonts w:ascii="Times New Roman" w:hAnsi="Times New Roman" w:cs="Times New Roman"/>
          <w:color w:val="BF8F00" w:themeColor="accent4" w:themeShade="BF"/>
          <w:sz w:val="24"/>
          <w:szCs w:val="24"/>
        </w:rPr>
        <w:t>C in all models. The temperature of the sCO2 on the outlet of the LFR HX has different variable names, T</w:t>
      </w:r>
      <w:r>
        <w:rPr>
          <w:rFonts w:ascii="Times New Roman" w:hAnsi="Times New Roman" w:cs="Times New Roman"/>
          <w:color w:val="BF8F00" w:themeColor="accent4" w:themeShade="BF"/>
          <w:sz w:val="24"/>
          <w:szCs w:val="24"/>
          <w:vertAlign w:val="subscript"/>
        </w:rPr>
        <w:t>5</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2C</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6A</w:t>
      </w:r>
      <w:r w:rsidR="008F45D0" w:rsidRPr="008F45D0">
        <w:rPr>
          <w:rFonts w:ascii="Times New Roman" w:hAnsi="Times New Roman" w:cs="Times New Roman"/>
          <w:color w:val="BF8F00" w:themeColor="accent4" w:themeShade="BF"/>
          <w:sz w:val="24"/>
          <w:szCs w:val="24"/>
        </w:rPr>
        <w:t>, and T</w:t>
      </w:r>
      <w:r>
        <w:rPr>
          <w:rFonts w:ascii="Times New Roman" w:hAnsi="Times New Roman" w:cs="Times New Roman"/>
          <w:color w:val="BF8F00" w:themeColor="accent4" w:themeShade="BF"/>
          <w:sz w:val="24"/>
          <w:szCs w:val="24"/>
          <w:vertAlign w:val="subscript"/>
        </w:rPr>
        <w:t>5C</w:t>
      </w:r>
      <w:r w:rsidR="008F45D0" w:rsidRPr="008F45D0">
        <w:rPr>
          <w:rFonts w:ascii="Times New Roman" w:hAnsi="Times New Roman" w:cs="Times New Roman"/>
          <w:color w:val="BF8F00" w:themeColor="accent4" w:themeShade="BF"/>
          <w:sz w:val="24"/>
          <w:szCs w:val="24"/>
        </w:rPr>
        <w:t>, according to the associated cycle configuration diagram.</w:t>
      </w:r>
      <w:r>
        <w:rPr>
          <w:rFonts w:ascii="Times New Roman" w:hAnsi="Times New Roman" w:cs="Times New Roman"/>
          <w:color w:val="BF8F00" w:themeColor="accent4" w:themeShade="BF"/>
          <w:sz w:val="24"/>
          <w:szCs w:val="24"/>
        </w:rPr>
        <w:t>’</w:t>
      </w:r>
    </w:p>
    <w:p w14:paraId="79EFD234" w14:textId="77777777"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00600FEE" w14:textId="09544D38"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#3:</w:t>
      </w:r>
    </w:p>
    <w:p w14:paraId="004FCB6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8353ADD" w14:textId="77777777" w:rsidTr="007C384A">
        <w:trPr>
          <w:trHeight w:val="1134"/>
        </w:trPr>
        <w:tc>
          <w:tcPr>
            <w:tcW w:w="1811" w:type="dxa"/>
          </w:tcPr>
          <w:p w14:paraId="103AA26F"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4763BC7"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36E00FBA"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4CC814BB" w14:textId="11040CF0"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English language and style are fine/minor spell check required</w:t>
            </w:r>
          </w:p>
          <w:p w14:paraId="32D032AF" w14:textId="597B0B82"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I don’t feel qualified to judge about the English language and stye</w:t>
            </w:r>
          </w:p>
        </w:tc>
      </w:tr>
      <w:tr w:rsidR="00EA05CA" w14:paraId="323F8238" w14:textId="77777777" w:rsidTr="007C384A">
        <w:tc>
          <w:tcPr>
            <w:tcW w:w="3329" w:type="dxa"/>
            <w:gridSpan w:val="2"/>
            <w:shd w:val="clear" w:color="auto" w:fill="0D0D0D" w:themeFill="text1" w:themeFillTint="F2"/>
          </w:tcPr>
          <w:p w14:paraId="2D202194"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44B4F6D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6D6D97C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20647DB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4A36C56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05710335" w14:textId="77777777" w:rsidTr="007C384A">
        <w:tc>
          <w:tcPr>
            <w:tcW w:w="3329" w:type="dxa"/>
            <w:gridSpan w:val="2"/>
          </w:tcPr>
          <w:p w14:paraId="49735F9B"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6A279F2A" w14:textId="7D453C4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D11F0A4" w14:textId="2FCAF6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4498A0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440650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34A5F91F" w14:textId="77777777" w:rsidTr="007C384A">
        <w:tc>
          <w:tcPr>
            <w:tcW w:w="3329" w:type="dxa"/>
            <w:gridSpan w:val="2"/>
          </w:tcPr>
          <w:p w14:paraId="5B94C22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74E9FB7B" w14:textId="2930C21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F6194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D82EFC3" w14:textId="75FB2F7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33508F8"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2B3DA4" w14:textId="77777777" w:rsidTr="007C384A">
        <w:tc>
          <w:tcPr>
            <w:tcW w:w="3329" w:type="dxa"/>
            <w:gridSpan w:val="2"/>
          </w:tcPr>
          <w:p w14:paraId="5E52EAB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2E040B49" w14:textId="0FA798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C31B2F4" w14:textId="0991AB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9AB26C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5FAE4E0"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3482160" w14:textId="77777777" w:rsidTr="007C384A">
        <w:tc>
          <w:tcPr>
            <w:tcW w:w="3329" w:type="dxa"/>
            <w:gridSpan w:val="2"/>
          </w:tcPr>
          <w:p w14:paraId="26E8955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 empirical research are the results clearly presented?</w:t>
            </w:r>
          </w:p>
        </w:tc>
        <w:tc>
          <w:tcPr>
            <w:tcW w:w="1513" w:type="dxa"/>
          </w:tcPr>
          <w:p w14:paraId="43B71A5B" w14:textId="114E129C"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27ADB6A" w14:textId="3115FAF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060D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6D061E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7D23DF72" w14:textId="77777777" w:rsidTr="007C384A">
        <w:tc>
          <w:tcPr>
            <w:tcW w:w="3329" w:type="dxa"/>
            <w:gridSpan w:val="2"/>
          </w:tcPr>
          <w:p w14:paraId="2135268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0F141443" w14:textId="01498EF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105A148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AD3204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089AFA3" w14:textId="0DAFF00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1DC6D79" w14:textId="77777777" w:rsidTr="007C384A">
        <w:tc>
          <w:tcPr>
            <w:tcW w:w="3329" w:type="dxa"/>
            <w:gridSpan w:val="2"/>
          </w:tcPr>
          <w:p w14:paraId="64401372"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0936E02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1941BC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DE5C7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28E8DA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20608AD5" w14:textId="77777777" w:rsidR="00EA05CA" w:rsidRDefault="00EA05CA" w:rsidP="00EA05CA">
      <w:pPr>
        <w:rPr>
          <w:rFonts w:ascii="Times New Roman" w:hAnsi="Times New Roman" w:cs="Times New Roman"/>
          <w:b/>
          <w:bCs/>
          <w:color w:val="000000" w:themeColor="text1"/>
          <w:sz w:val="24"/>
          <w:szCs w:val="24"/>
        </w:rPr>
      </w:pPr>
    </w:p>
    <w:p w14:paraId="32BAD8FC"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4522F996" w14:textId="1C38F19E"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E6AC4" w:rsidRPr="000E6AC4">
        <w:rPr>
          <w:rFonts w:ascii="Times New Roman" w:hAnsi="Times New Roman" w:cs="Times New Roman"/>
          <w:color w:val="000000" w:themeColor="text1"/>
          <w:sz w:val="24"/>
          <w:szCs w:val="24"/>
        </w:rPr>
        <w:t>In this paper, the authors study the possible synergies between CSP and LFR technologies. They compare different configurations of SCO2 cycles with these technologies as heat sources. The topic and conclusions are interesting. Also, the paper is well written, and the methods are correct.  I recommend accepting after minor revision.</w:t>
      </w:r>
    </w:p>
    <w:p w14:paraId="4ACCBAB2" w14:textId="021CA291"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CSP technology is not clearly explained, and I suppose that is a Solar tower. It is necessary to include some details (efficiency, heliostat area, receiver area)</w:t>
      </w:r>
      <w:r>
        <w:rPr>
          <w:rFonts w:ascii="Times New Roman" w:hAnsi="Times New Roman" w:cs="Times New Roman"/>
          <w:color w:val="000000" w:themeColor="text1"/>
          <w:sz w:val="24"/>
          <w:szCs w:val="24"/>
        </w:rPr>
        <w:t xml:space="preserve"> </w:t>
      </w:r>
      <w:r w:rsidRPr="000E6AC4">
        <w:rPr>
          <w:rFonts w:ascii="Times New Roman" w:hAnsi="Times New Roman" w:cs="Times New Roman"/>
          <w:color w:val="000000" w:themeColor="text1"/>
          <w:sz w:val="24"/>
          <w:szCs w:val="24"/>
        </w:rPr>
        <w:t>about the CSP.</w:t>
      </w:r>
    </w:p>
    <w:p w14:paraId="1F955724" w14:textId="350B24B5" w:rsidR="00A87DE5" w:rsidRPr="00A87DE5" w:rsidRDefault="000B379B"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Introduction was changed to further explain the details of the CSP technology. The sentence before edits read ‘A CSP has an array of mirrors concentrating solar rays towards a receiver to generate thermal energy therefore causing a dependency on weather conditions and time of day.’ After edits this sentence reads ‘</w:t>
      </w:r>
      <w:r w:rsidRPr="000B379B">
        <w:rPr>
          <w:rFonts w:ascii="Times New Roman" w:hAnsi="Times New Roman" w:cs="Times New Roman"/>
          <w:color w:val="BF8F00" w:themeColor="accent4" w:themeShade="BF"/>
          <w:sz w:val="24"/>
          <w:szCs w:val="24"/>
        </w:rPr>
        <w:t>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CSP has an array of mirrors concentrating solar rays towards 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tower receiver, transferring the energy into a solar salt, and storing the solar salt in tanks. CSP system</w:t>
      </w:r>
      <w:r>
        <w:rPr>
          <w:rFonts w:ascii="Times New Roman" w:hAnsi="Times New Roman" w:cs="Times New Roman"/>
          <w:color w:val="BF8F00" w:themeColor="accent4" w:themeShade="BF"/>
          <w:sz w:val="24"/>
          <w:szCs w:val="24"/>
        </w:rPr>
        <w:t xml:space="preserve">s </w:t>
      </w:r>
      <w:r w:rsidRPr="000B379B">
        <w:rPr>
          <w:rFonts w:ascii="Times New Roman" w:hAnsi="Times New Roman" w:cs="Times New Roman"/>
          <w:color w:val="BF8F00" w:themeColor="accent4" w:themeShade="BF"/>
          <w:sz w:val="24"/>
          <w:szCs w:val="24"/>
        </w:rPr>
        <w:t>require direct sunlight to operate at full power therefore causing variability based on weather conditions and time of day.</w:t>
      </w:r>
      <w:r>
        <w:rPr>
          <w:rFonts w:ascii="Times New Roman" w:hAnsi="Times New Roman" w:cs="Times New Roman"/>
          <w:color w:val="BF8F00" w:themeColor="accent4" w:themeShade="BF"/>
          <w:sz w:val="24"/>
          <w:szCs w:val="24"/>
        </w:rPr>
        <w:t>’</w:t>
      </w:r>
      <w:r w:rsidR="00C514F9">
        <w:rPr>
          <w:rFonts w:ascii="Times New Roman" w:hAnsi="Times New Roman" w:cs="Times New Roman"/>
          <w:color w:val="BF8F00" w:themeColor="accent4" w:themeShade="BF"/>
          <w:sz w:val="24"/>
          <w:szCs w:val="24"/>
        </w:rPr>
        <w:t xml:space="preserve"> Additional details into the operating temperatures and solar salt with a full diagram of the CSP system is explained further in Section 2.1.4. The efficiency, heliostat area, and receiver area are not within the scope of the paper with the receiver being described as a ‘black box’ heat input, meaning that these specific values are simplified down to a single heat input. </w:t>
      </w:r>
    </w:p>
    <w:p w14:paraId="487F8DF4" w14:textId="6281DB45"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It is necessary to include an analysis of the discharging process. When the TES is discharging, the operational conditions of the cycle change, especially the turbine inlet temperature.</w:t>
      </w:r>
    </w:p>
    <w:p w14:paraId="2AC5BFD5" w14:textId="16F283AB" w:rsidR="00A87DE5" w:rsidRPr="00A87DE5" w:rsidRDefault="00A87DE5" w:rsidP="00A87DE5">
      <w:pPr>
        <w:pStyle w:val="ListParagraph"/>
        <w:ind w:left="1440"/>
        <w:rPr>
          <w:rFonts w:ascii="Times New Roman" w:hAnsi="Times New Roman" w:cs="Times New Roman"/>
          <w:color w:val="BF8F00" w:themeColor="accent4" w:themeShade="BF"/>
          <w:sz w:val="24"/>
          <w:szCs w:val="24"/>
        </w:rPr>
      </w:pPr>
      <w:commentRangeStart w:id="23"/>
      <w:r w:rsidRPr="005D19C1">
        <w:rPr>
          <w:rFonts w:ascii="Times New Roman" w:hAnsi="Times New Roman" w:cs="Times New Roman"/>
          <w:color w:val="BF8F00" w:themeColor="accent4" w:themeShade="BF"/>
          <w:sz w:val="24"/>
          <w:szCs w:val="24"/>
          <w:highlight w:val="yellow"/>
        </w:rPr>
        <w:t>Brian T. White</w:t>
      </w:r>
      <w:commentRangeEnd w:id="23"/>
      <w:r w:rsidR="00AF04FE">
        <w:rPr>
          <w:rStyle w:val="CommentReference"/>
        </w:rPr>
        <w:commentReference w:id="23"/>
      </w:r>
    </w:p>
    <w:p w14:paraId="13A6616E" w14:textId="7F43E86F"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scenario of C-LFR-ON and C-CSP-ON is not a suitable alternative. In this scenario, the two power plants could operate alone. They are reference cases. The configuration with synergies should be compared with them.</w:t>
      </w:r>
    </w:p>
    <w:p w14:paraId="41833BA6" w14:textId="59CBB30C" w:rsidR="00A87DE5" w:rsidRPr="00AF04FE" w:rsidRDefault="00AF04FE" w:rsidP="00A87DE5">
      <w:pPr>
        <w:pStyle w:val="ListParagraph"/>
        <w:ind w:left="1440"/>
        <w:rPr>
          <w:rFonts w:ascii="Times New Roman" w:hAnsi="Times New Roman" w:cs="Times New Roman"/>
          <w:b/>
          <w:bCs/>
          <w:color w:val="BF8F00" w:themeColor="accent4" w:themeShade="BF"/>
          <w:sz w:val="24"/>
          <w:szCs w:val="24"/>
          <w:rPrChange w:id="24" w:author="Ben Lindley" w:date="2021-10-26T22:21:00Z">
            <w:rPr>
              <w:rFonts w:ascii="Times New Roman" w:hAnsi="Times New Roman" w:cs="Times New Roman"/>
              <w:color w:val="BF8F00" w:themeColor="accent4" w:themeShade="BF"/>
              <w:sz w:val="24"/>
              <w:szCs w:val="24"/>
            </w:rPr>
          </w:rPrChange>
        </w:rPr>
      </w:pPr>
      <w:ins w:id="25" w:author="Ben Lindley" w:date="2021-10-26T22:23:00Z">
        <w:r>
          <w:rPr>
            <w:rFonts w:ascii="Times New Roman" w:hAnsi="Times New Roman" w:cs="Times New Roman"/>
            <w:color w:val="BF8F00" w:themeColor="accent4" w:themeShade="BF"/>
            <w:sz w:val="24"/>
            <w:szCs w:val="24"/>
            <w:u w:val="single"/>
          </w:rPr>
          <w:t>We agree that in isolation these are reference cases for the discharging mode.</w:t>
        </w:r>
        <w:r w:rsidRPr="00AF04FE">
          <w:rPr>
            <w:rFonts w:ascii="Times New Roman" w:hAnsi="Times New Roman" w:cs="Times New Roman"/>
            <w:b/>
            <w:bCs/>
            <w:color w:val="BF8F00" w:themeColor="accent4" w:themeShade="BF"/>
            <w:sz w:val="24"/>
            <w:szCs w:val="24"/>
            <w:u w:val="single"/>
            <w:rPrChange w:id="26" w:author="Ben Lindley" w:date="2021-10-26T22:23:00Z">
              <w:rPr>
                <w:rFonts w:ascii="Times New Roman" w:hAnsi="Times New Roman" w:cs="Times New Roman"/>
                <w:color w:val="BF8F00" w:themeColor="accent4" w:themeShade="BF"/>
                <w:sz w:val="24"/>
                <w:szCs w:val="24"/>
                <w:u w:val="single"/>
              </w:rPr>
            </w:rPrChange>
          </w:rPr>
          <w:t xml:space="preserve"> A clarification is made in the paper to this effect.</w:t>
        </w:r>
        <w:r>
          <w:rPr>
            <w:rFonts w:ascii="Times New Roman" w:hAnsi="Times New Roman" w:cs="Times New Roman"/>
            <w:color w:val="BF8F00" w:themeColor="accent4" w:themeShade="BF"/>
            <w:sz w:val="24"/>
            <w:szCs w:val="24"/>
            <w:u w:val="single"/>
          </w:rPr>
          <w:t xml:space="preserve"> </w:t>
        </w:r>
      </w:ins>
      <w:del w:id="27" w:author="Ben Lindley" w:date="2021-10-26T22:23:00Z">
        <w:r w:rsidR="003A2586" w:rsidRPr="005D19C1" w:rsidDel="00AF04FE">
          <w:rPr>
            <w:rFonts w:ascii="Times New Roman" w:hAnsi="Times New Roman" w:cs="Times New Roman"/>
            <w:color w:val="BF8F00" w:themeColor="accent4" w:themeShade="BF"/>
            <w:sz w:val="24"/>
            <w:szCs w:val="24"/>
            <w:highlight w:val="yellow"/>
            <w:u w:val="single"/>
          </w:rPr>
          <w:delText xml:space="preserve">Rebuttal: </w:delText>
        </w:r>
      </w:del>
      <w:r w:rsidR="003A2586" w:rsidRPr="005D19C1">
        <w:rPr>
          <w:rFonts w:ascii="Times New Roman" w:hAnsi="Times New Roman" w:cs="Times New Roman"/>
          <w:color w:val="BF8F00" w:themeColor="accent4" w:themeShade="BF"/>
          <w:sz w:val="24"/>
          <w:szCs w:val="24"/>
          <w:highlight w:val="yellow"/>
        </w:rPr>
        <w:t xml:space="preserve">The scenario of C-LFR-ON and C-CSP-ON operating in conjunction is discussed in section 3.1.1 with the final paragraph. Analyzing the separate configuration efficiencies in the prior </w:t>
      </w:r>
      <w:r w:rsidR="003A2586" w:rsidRPr="005D19C1">
        <w:rPr>
          <w:rFonts w:ascii="Times New Roman" w:hAnsi="Times New Roman" w:cs="Times New Roman"/>
          <w:color w:val="BF8F00" w:themeColor="accent4" w:themeShade="BF"/>
          <w:sz w:val="24"/>
          <w:szCs w:val="24"/>
          <w:highlight w:val="yellow"/>
        </w:rPr>
        <w:lastRenderedPageBreak/>
        <w:t>paragraphs build to an explanation of the</w:t>
      </w:r>
      <w:r w:rsidR="00CE7AD2" w:rsidRPr="005D19C1">
        <w:rPr>
          <w:rFonts w:ascii="Times New Roman" w:hAnsi="Times New Roman" w:cs="Times New Roman"/>
          <w:color w:val="BF8F00" w:themeColor="accent4" w:themeShade="BF"/>
          <w:sz w:val="24"/>
          <w:szCs w:val="24"/>
          <w:highlight w:val="yellow"/>
        </w:rPr>
        <w:t xml:space="preserve"> two cycles being combined and having</w:t>
      </w:r>
      <w:r w:rsidR="003A2586" w:rsidRPr="005D19C1">
        <w:rPr>
          <w:rFonts w:ascii="Times New Roman" w:hAnsi="Times New Roman" w:cs="Times New Roman"/>
          <w:color w:val="BF8F00" w:themeColor="accent4" w:themeShade="BF"/>
          <w:sz w:val="24"/>
          <w:szCs w:val="24"/>
          <w:highlight w:val="yellow"/>
        </w:rPr>
        <w:t xml:space="preserve"> ‘combined efficiencies’ which consist of a ‘highest efficiency’ case while the other is a ‘favorable LFR and CSP characteristic’ case</w:t>
      </w:r>
      <w:ins w:id="28" w:author="Ben Lindley" w:date="2021-10-26T22:23:00Z">
        <w:r>
          <w:rPr>
            <w:rFonts w:ascii="Times New Roman" w:hAnsi="Times New Roman" w:cs="Times New Roman"/>
            <w:color w:val="BF8F00" w:themeColor="accent4" w:themeShade="BF"/>
            <w:sz w:val="24"/>
            <w:szCs w:val="24"/>
            <w:highlight w:val="yellow"/>
          </w:rPr>
          <w:t xml:space="preserve">. Additionally, </w:t>
        </w:r>
      </w:ins>
      <w:del w:id="29" w:author="Ben Lindley" w:date="2021-10-26T22:22:00Z">
        <w:r w:rsidR="003A2586" w:rsidRPr="005D19C1" w:rsidDel="00AF04FE">
          <w:rPr>
            <w:rFonts w:ascii="Times New Roman" w:hAnsi="Times New Roman" w:cs="Times New Roman"/>
            <w:color w:val="BF8F00" w:themeColor="accent4" w:themeShade="BF"/>
            <w:sz w:val="24"/>
            <w:szCs w:val="24"/>
            <w:highlight w:val="yellow"/>
          </w:rPr>
          <w:delText>.</w:delText>
        </w:r>
        <w:r w:rsidR="003A2586" w:rsidDel="00AF04FE">
          <w:rPr>
            <w:rFonts w:ascii="Times New Roman" w:hAnsi="Times New Roman" w:cs="Times New Roman"/>
            <w:color w:val="BF8F00" w:themeColor="accent4" w:themeShade="BF"/>
            <w:sz w:val="24"/>
            <w:szCs w:val="24"/>
          </w:rPr>
          <w:delText xml:space="preserve"> </w:delText>
        </w:r>
      </w:del>
      <w:ins w:id="30" w:author="Ben Lindley" w:date="2021-10-26T22:21:00Z">
        <w:r>
          <w:rPr>
            <w:rFonts w:ascii="Times New Roman" w:hAnsi="Times New Roman" w:cs="Times New Roman"/>
            <w:color w:val="BF8F00" w:themeColor="accent4" w:themeShade="BF"/>
            <w:sz w:val="24"/>
            <w:szCs w:val="24"/>
            <w:u w:val="single"/>
          </w:rPr>
          <w:t xml:space="preserve">in discharging mode, the cycles are coupled through the </w:t>
        </w:r>
      </w:ins>
      <w:ins w:id="31" w:author="Ben Lindley" w:date="2021-10-26T22:22:00Z">
        <w:r>
          <w:rPr>
            <w:rFonts w:ascii="Times New Roman" w:hAnsi="Times New Roman" w:cs="Times New Roman"/>
            <w:color w:val="BF8F00" w:themeColor="accent4" w:themeShade="BF"/>
            <w:sz w:val="24"/>
            <w:szCs w:val="24"/>
            <w:u w:val="single"/>
          </w:rPr>
          <w:t xml:space="preserve">sCO2 to Salt HX and hence </w:t>
        </w:r>
      </w:ins>
      <w:ins w:id="32" w:author="Ben Lindley" w:date="2021-10-26T22:23:00Z">
        <w:r>
          <w:rPr>
            <w:rFonts w:ascii="Times New Roman" w:hAnsi="Times New Roman" w:cs="Times New Roman"/>
            <w:color w:val="BF8F00" w:themeColor="accent4" w:themeShade="BF"/>
            <w:sz w:val="24"/>
            <w:szCs w:val="24"/>
            <w:u w:val="single"/>
          </w:rPr>
          <w:t xml:space="preserve">a combined power plant may use C-LFR-ON and C-CSP-ON but nonetheless substantial synergies between papers. </w:t>
        </w:r>
      </w:ins>
    </w:p>
    <w:p w14:paraId="2161A0BD" w14:textId="77777777" w:rsidR="000E6AC4" w:rsidRPr="00EA05CA" w:rsidRDefault="000E6AC4" w:rsidP="000E6AC4">
      <w:pPr>
        <w:pBdr>
          <w:top w:val="single" w:sz="4" w:space="1" w:color="auto"/>
        </w:pBdr>
        <w:rPr>
          <w:rFonts w:ascii="Times New Roman" w:hAnsi="Times New Roman" w:cs="Times New Roman"/>
          <w:color w:val="000000" w:themeColor="text1"/>
          <w:sz w:val="24"/>
          <w:szCs w:val="24"/>
        </w:rPr>
      </w:pPr>
    </w:p>
    <w:p w14:paraId="3960393E" w14:textId="3E0806A1" w:rsidR="000E6AC4" w:rsidRPr="00EA05CA" w:rsidRDefault="000E6AC4" w:rsidP="000E6AC4">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#4:</w:t>
      </w:r>
    </w:p>
    <w:p w14:paraId="3B80DD69" w14:textId="77777777" w:rsidR="000E6AC4"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0E6AC4" w14:paraId="08422E74" w14:textId="77777777" w:rsidTr="007C384A">
        <w:trPr>
          <w:trHeight w:val="1134"/>
        </w:trPr>
        <w:tc>
          <w:tcPr>
            <w:tcW w:w="1811" w:type="dxa"/>
          </w:tcPr>
          <w:p w14:paraId="59BACF79" w14:textId="77777777" w:rsidR="000E6AC4" w:rsidRPr="00A6647B" w:rsidRDefault="000E6AC4"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6EB635FD" w14:textId="77777777" w:rsidR="000E6AC4" w:rsidRPr="00A6647B"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5F420D5D" w14:textId="77777777" w:rsidR="000E6AC4" w:rsidRPr="00A6647B"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04079CB4" w14:textId="2791FA72"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331358CB" w14:textId="593313C7" w:rsidR="000E6AC4"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0E6AC4" w14:paraId="38355CA3" w14:textId="77777777" w:rsidTr="007C384A">
        <w:tc>
          <w:tcPr>
            <w:tcW w:w="3329" w:type="dxa"/>
            <w:gridSpan w:val="2"/>
            <w:shd w:val="clear" w:color="auto" w:fill="0D0D0D" w:themeFill="text1" w:themeFillTint="F2"/>
          </w:tcPr>
          <w:p w14:paraId="6DFCCF49" w14:textId="77777777" w:rsidR="000E6AC4" w:rsidRPr="00A6647B" w:rsidRDefault="000E6AC4" w:rsidP="007C384A">
            <w:pPr>
              <w:rPr>
                <w:rFonts w:ascii="Times New Roman" w:hAnsi="Times New Roman" w:cs="Times New Roman"/>
                <w:color w:val="000000" w:themeColor="text1"/>
                <w:sz w:val="24"/>
                <w:szCs w:val="24"/>
              </w:rPr>
            </w:pPr>
          </w:p>
        </w:tc>
        <w:tc>
          <w:tcPr>
            <w:tcW w:w="1513" w:type="dxa"/>
          </w:tcPr>
          <w:p w14:paraId="16A917B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700056A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5808DF7E"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6772BFC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0E6AC4" w14:paraId="63A7120D" w14:textId="77777777" w:rsidTr="007C384A">
        <w:tc>
          <w:tcPr>
            <w:tcW w:w="3329" w:type="dxa"/>
            <w:gridSpan w:val="2"/>
          </w:tcPr>
          <w:p w14:paraId="722FBD64"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2C819F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3E08DC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8ABE6D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5C4380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32A53429" w14:textId="77777777" w:rsidTr="007C384A">
        <w:tc>
          <w:tcPr>
            <w:tcW w:w="3329" w:type="dxa"/>
            <w:gridSpan w:val="2"/>
          </w:tcPr>
          <w:p w14:paraId="1B6C79E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2B8E66F2"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110105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04F4C1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D28006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49779BB" w14:textId="77777777" w:rsidTr="007C384A">
        <w:tc>
          <w:tcPr>
            <w:tcW w:w="3329" w:type="dxa"/>
            <w:gridSpan w:val="2"/>
          </w:tcPr>
          <w:p w14:paraId="06CEC55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45764AA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661B3957"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D73B9C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BAB458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437B4827" w14:textId="77777777" w:rsidTr="007C384A">
        <w:tc>
          <w:tcPr>
            <w:tcW w:w="3329" w:type="dxa"/>
            <w:gridSpan w:val="2"/>
          </w:tcPr>
          <w:p w14:paraId="1225B010"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AE000F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E921B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645901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05B6738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AE3CACE" w14:textId="77777777" w:rsidTr="007C384A">
        <w:tc>
          <w:tcPr>
            <w:tcW w:w="3329" w:type="dxa"/>
            <w:gridSpan w:val="2"/>
          </w:tcPr>
          <w:p w14:paraId="6B8BE3E5"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70B2BF53"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462CC2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D3F283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AF6D8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08A37512" w14:textId="77777777" w:rsidTr="007C384A">
        <w:tc>
          <w:tcPr>
            <w:tcW w:w="3329" w:type="dxa"/>
            <w:gridSpan w:val="2"/>
          </w:tcPr>
          <w:p w14:paraId="2FE805D9"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7335147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65F3A1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4D0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106B03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1CED868" w14:textId="77777777" w:rsidR="000E6AC4" w:rsidRDefault="000E6AC4" w:rsidP="000E6AC4">
      <w:pPr>
        <w:rPr>
          <w:rFonts w:ascii="Times New Roman" w:hAnsi="Times New Roman" w:cs="Times New Roman"/>
          <w:b/>
          <w:bCs/>
          <w:color w:val="000000" w:themeColor="text1"/>
          <w:sz w:val="24"/>
          <w:szCs w:val="24"/>
        </w:rPr>
      </w:pPr>
    </w:p>
    <w:p w14:paraId="7750CF57" w14:textId="77777777" w:rsidR="000E6AC4" w:rsidRPr="00A6647B"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7FFB41BA" w14:textId="7828F646" w:rsidR="000E6AC4" w:rsidRDefault="000E6AC4" w:rsidP="000E6AC4">
      <w:pPr>
        <w:ind w:firstLine="720"/>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find your manuscript very interesting and well written. I have just three suggestions:</w:t>
      </w:r>
    </w:p>
    <w:p w14:paraId="567CC66D" w14:textId="63D9497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 xml:space="preserve">There is a list of abbreviations at the end. You define some of the abbreviations in the text, but definitions of some are missing making it harder to read the text. I </w:t>
      </w:r>
      <w:r w:rsidRPr="000E6AC4">
        <w:rPr>
          <w:rFonts w:ascii="Times New Roman" w:hAnsi="Times New Roman" w:cs="Times New Roman"/>
          <w:color w:val="000000" w:themeColor="text1"/>
          <w:sz w:val="24"/>
          <w:szCs w:val="24"/>
        </w:rPr>
        <w:lastRenderedPageBreak/>
        <w:t xml:space="preserve">suggest you </w:t>
      </w:r>
      <w:proofErr w:type="gramStart"/>
      <w:r w:rsidRPr="000E6AC4">
        <w:rPr>
          <w:rFonts w:ascii="Times New Roman" w:hAnsi="Times New Roman" w:cs="Times New Roman"/>
          <w:color w:val="000000" w:themeColor="text1"/>
          <w:sz w:val="24"/>
          <w:szCs w:val="24"/>
        </w:rPr>
        <w:t>to define</w:t>
      </w:r>
      <w:proofErr w:type="gramEnd"/>
      <w:r w:rsidRPr="000E6AC4">
        <w:rPr>
          <w:rFonts w:ascii="Times New Roman" w:hAnsi="Times New Roman" w:cs="Times New Roman"/>
          <w:color w:val="000000" w:themeColor="text1"/>
          <w:sz w:val="24"/>
          <w:szCs w:val="24"/>
        </w:rPr>
        <w:t xml:space="preserve"> all the acronyms the first time they are mentioned in the text. For example: line 27 sCO2, line 40 CSP and TES, line 52 LFR, line 142 EES, line 163 UA and NTU, line 261 PC, line 262 MC, RC.</w:t>
      </w:r>
    </w:p>
    <w:p w14:paraId="396DA17B" w14:textId="1473A52D" w:rsidR="000402C7" w:rsidRDefault="00406F7F"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For clarity, the</w:t>
      </w:r>
      <w:r w:rsidR="000402C7">
        <w:rPr>
          <w:rFonts w:ascii="Times New Roman" w:hAnsi="Times New Roman" w:cs="Times New Roman"/>
          <w:color w:val="BF8F00" w:themeColor="accent4" w:themeShade="BF"/>
          <w:sz w:val="24"/>
          <w:szCs w:val="24"/>
        </w:rPr>
        <w:t xml:space="preserve"> following abbreviations have been defined after the first time that they are mentioned within the article</w:t>
      </w:r>
      <w:r w:rsidR="00F04D1F">
        <w:rPr>
          <w:rFonts w:ascii="Times New Roman" w:hAnsi="Times New Roman" w:cs="Times New Roman"/>
          <w:color w:val="BF8F00" w:themeColor="accent4" w:themeShade="BF"/>
          <w:sz w:val="24"/>
          <w:szCs w:val="24"/>
        </w:rPr>
        <w:t>, if they were defined later in the paper the abbreviation was deleted</w:t>
      </w:r>
      <w:r w:rsidR="000402C7">
        <w:rPr>
          <w:rFonts w:ascii="Times New Roman" w:hAnsi="Times New Roman" w:cs="Times New Roman"/>
          <w:color w:val="BF8F00" w:themeColor="accent4" w:themeShade="BF"/>
          <w:sz w:val="24"/>
          <w:szCs w:val="24"/>
        </w:rPr>
        <w:t xml:space="preserve">: </w:t>
      </w:r>
    </w:p>
    <w:p w14:paraId="21E52FFB" w14:textId="037B7A86" w:rsidR="00F821AD"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00B32F87">
        <w:rPr>
          <w:rFonts w:ascii="Times New Roman" w:hAnsi="Times New Roman" w:cs="Times New Roman"/>
          <w:color w:val="BF8F00" w:themeColor="accent4" w:themeShade="BF"/>
          <w:sz w:val="24"/>
          <w:szCs w:val="24"/>
        </w:rPr>
        <w:t>s</w:t>
      </w:r>
      <w:r>
        <w:rPr>
          <w:rFonts w:ascii="Times New Roman" w:hAnsi="Times New Roman" w:cs="Times New Roman"/>
          <w:color w:val="BF8F00" w:themeColor="accent4" w:themeShade="BF"/>
          <w:sz w:val="24"/>
          <w:szCs w:val="24"/>
        </w:rPr>
        <w:t>upercritical carbon dioxide (sCO2)</w:t>
      </w:r>
    </w:p>
    <w:p w14:paraId="73FE9843" w14:textId="3D406981"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32F87">
        <w:rPr>
          <w:rFonts w:ascii="Times New Roman" w:hAnsi="Times New Roman" w:cs="Times New Roman"/>
          <w:color w:val="BF8F00" w:themeColor="accent4" w:themeShade="BF"/>
          <w:sz w:val="24"/>
          <w:szCs w:val="24"/>
        </w:rPr>
        <w:t xml:space="preserve"> concentrating solar power (CSP) and thermal energy storage (TES)</w:t>
      </w:r>
    </w:p>
    <w:p w14:paraId="4923C50B" w14:textId="6D33067E"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lead-cooled fast reactor (LFR)</w:t>
      </w:r>
    </w:p>
    <w:p w14:paraId="0236DD09" w14:textId="1951D10B"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w:t>
      </w:r>
      <w:r w:rsidR="00F2397C">
        <w:rPr>
          <w:rFonts w:ascii="Times New Roman" w:hAnsi="Times New Roman" w:cs="Times New Roman"/>
          <w:color w:val="BF8F00" w:themeColor="accent4" w:themeShade="BF"/>
          <w:sz w:val="24"/>
          <w:szCs w:val="24"/>
        </w:rPr>
        <w:t>Engineering Equation Solver (EES)</w:t>
      </w:r>
    </w:p>
    <w:p w14:paraId="0AA56788" w14:textId="63F9EB54" w:rsidR="000402C7" w:rsidRDefault="000402C7"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F2397C">
        <w:rPr>
          <w:rFonts w:ascii="Times New Roman" w:hAnsi="Times New Roman" w:cs="Times New Roman"/>
          <w:color w:val="BF8F00" w:themeColor="accent4" w:themeShade="BF"/>
          <w:sz w:val="24"/>
          <w:szCs w:val="24"/>
        </w:rPr>
        <w:t xml:space="preserve"> </w:t>
      </w:r>
      <w:r w:rsidR="00C95C81">
        <w:rPr>
          <w:rFonts w:ascii="Times New Roman" w:hAnsi="Times New Roman" w:cs="Times New Roman"/>
          <w:color w:val="BF8F00" w:themeColor="accent4" w:themeShade="BF"/>
          <w:sz w:val="24"/>
          <w:szCs w:val="24"/>
        </w:rPr>
        <w:t>effectiveness (ε), capacitance ratio (CR), conductivity (UA), and number of transfer units (NTU)</w:t>
      </w:r>
    </w:p>
    <w:p w14:paraId="05C5CF82" w14:textId="1FE1ECB1" w:rsidR="00C95C81" w:rsidRDefault="00C95C81"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C95C81">
        <w:rPr>
          <w:rFonts w:ascii="Times New Roman" w:hAnsi="Times New Roman" w:cs="Times New Roman"/>
          <w:color w:val="BF8F00" w:themeColor="accent4" w:themeShade="BF"/>
          <w:sz w:val="24"/>
          <w:szCs w:val="24"/>
        </w:rPr>
        <w:t>precooler (PC), low temperature recuperator (LTR), main compressor (MC)</w:t>
      </w:r>
      <w:r>
        <w:rPr>
          <w:rFonts w:ascii="Times New Roman" w:hAnsi="Times New Roman" w:cs="Times New Roman"/>
          <w:color w:val="BF8F00" w:themeColor="accent4" w:themeShade="BF"/>
          <w:sz w:val="24"/>
          <w:szCs w:val="24"/>
        </w:rPr>
        <w:t>,</w:t>
      </w:r>
      <w:r w:rsidRPr="00C95C81">
        <w:rPr>
          <w:rFonts w:ascii="Times New Roman" w:hAnsi="Times New Roman" w:cs="Times New Roman"/>
          <w:color w:val="BF8F00" w:themeColor="accent4" w:themeShade="BF"/>
          <w:sz w:val="24"/>
          <w:szCs w:val="24"/>
        </w:rPr>
        <w:t xml:space="preserve"> and </w:t>
      </w:r>
      <w:proofErr w:type="spellStart"/>
      <w:r w:rsidRPr="00C95C81">
        <w:rPr>
          <w:rFonts w:ascii="Times New Roman" w:hAnsi="Times New Roman" w:cs="Times New Roman"/>
          <w:color w:val="BF8F00" w:themeColor="accent4" w:themeShade="BF"/>
          <w:sz w:val="24"/>
          <w:szCs w:val="24"/>
        </w:rPr>
        <w:t>recompressor</w:t>
      </w:r>
      <w:proofErr w:type="spellEnd"/>
      <w:r w:rsidRPr="00C95C81">
        <w:rPr>
          <w:rFonts w:ascii="Times New Roman" w:hAnsi="Times New Roman" w:cs="Times New Roman"/>
          <w:color w:val="BF8F00" w:themeColor="accent4" w:themeShade="BF"/>
          <w:sz w:val="24"/>
          <w:szCs w:val="24"/>
        </w:rPr>
        <w:t xml:space="preserve"> (RC)</w:t>
      </w:r>
    </w:p>
    <w:p w14:paraId="39420403" w14:textId="775427D9" w:rsidR="006776AD" w:rsidRDefault="006776AD"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high temperature recuperator (HTR)</w:t>
      </w:r>
    </w:p>
    <w:p w14:paraId="1BF79049" w14:textId="46B0D463" w:rsidR="00F04D1F" w:rsidRPr="00F04D1F" w:rsidRDefault="006776AD" w:rsidP="00F04D1F">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heat exchanger (HX)</w:t>
      </w:r>
    </w:p>
    <w:p w14:paraId="76DF21D9" w14:textId="6C222BBF"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In the description of Figure 2, lines 236-263 you also mention the LFR role. Perhaps you could add LFR to Figure 2 and change the subsection title to “Concentrating Sol</w:t>
      </w:r>
      <w:r w:rsidR="00F821AD">
        <w:rPr>
          <w:rFonts w:ascii="Times New Roman" w:hAnsi="Times New Roman" w:cs="Times New Roman"/>
          <w:color w:val="000000" w:themeColor="text1"/>
          <w:sz w:val="24"/>
          <w:szCs w:val="24"/>
        </w:rPr>
        <w:t>a</w:t>
      </w:r>
      <w:r w:rsidRPr="000E6AC4">
        <w:rPr>
          <w:rFonts w:ascii="Times New Roman" w:hAnsi="Times New Roman" w:cs="Times New Roman"/>
          <w:color w:val="000000" w:themeColor="text1"/>
          <w:sz w:val="24"/>
          <w:szCs w:val="24"/>
        </w:rPr>
        <w:t>r Power Cycle with Added Lead Fast Reactor” or add a new subsection indicating the addition of LFR.</w:t>
      </w:r>
    </w:p>
    <w:p w14:paraId="75F521D0" w14:textId="167BCEBD" w:rsidR="00F821AD" w:rsidRPr="00F821AD" w:rsidRDefault="00F04D1F" w:rsidP="00F821AD">
      <w:pPr>
        <w:pStyle w:val="ListParagraph"/>
        <w:ind w:left="1440"/>
        <w:rPr>
          <w:rFonts w:ascii="Times New Roman" w:hAnsi="Times New Roman" w:cs="Times New Roman"/>
          <w:color w:val="BF8F00" w:themeColor="accent4" w:themeShade="BF"/>
          <w:sz w:val="24"/>
          <w:szCs w:val="24"/>
        </w:rPr>
      </w:pPr>
      <w:commentRangeStart w:id="33"/>
      <w:del w:id="34" w:author="Ben Lindley" w:date="2021-10-26T22:25:00Z">
        <w:r w:rsidRPr="005D19C1" w:rsidDel="00AF04FE">
          <w:rPr>
            <w:rFonts w:ascii="Times New Roman" w:hAnsi="Times New Roman" w:cs="Times New Roman"/>
            <w:color w:val="BF8F00" w:themeColor="accent4" w:themeShade="BF"/>
            <w:sz w:val="24"/>
            <w:szCs w:val="24"/>
            <w:highlight w:val="yellow"/>
            <w:u w:val="single"/>
          </w:rPr>
          <w:delText>Rebuttal:</w:delText>
        </w:r>
        <w:r w:rsidRPr="005D19C1" w:rsidDel="00AF04FE">
          <w:rPr>
            <w:rFonts w:ascii="Times New Roman" w:hAnsi="Times New Roman" w:cs="Times New Roman"/>
            <w:color w:val="BF8F00" w:themeColor="accent4" w:themeShade="BF"/>
            <w:sz w:val="24"/>
            <w:szCs w:val="24"/>
            <w:highlight w:val="yellow"/>
          </w:rPr>
          <w:delText xml:space="preserve"> </w:delText>
        </w:r>
      </w:del>
      <w:ins w:id="35" w:author="Ben Lindley" w:date="2021-10-26T22:25:00Z">
        <w:r w:rsidR="00AF04FE">
          <w:rPr>
            <w:rFonts w:ascii="Times New Roman" w:hAnsi="Times New Roman" w:cs="Times New Roman"/>
            <w:color w:val="BF8F00" w:themeColor="accent4" w:themeShade="BF"/>
            <w:sz w:val="24"/>
            <w:szCs w:val="24"/>
            <w:highlight w:val="yellow"/>
          </w:rPr>
          <w:t>We</w:t>
        </w:r>
        <w:commentRangeEnd w:id="33"/>
        <w:r w:rsidR="00AF04FE">
          <w:rPr>
            <w:rStyle w:val="CommentReference"/>
          </w:rPr>
          <w:commentReference w:id="33"/>
        </w:r>
        <w:r w:rsidR="00AF04FE">
          <w:rPr>
            <w:rFonts w:ascii="Times New Roman" w:hAnsi="Times New Roman" w:cs="Times New Roman"/>
            <w:color w:val="BF8F00" w:themeColor="accent4" w:themeShade="BF"/>
            <w:sz w:val="24"/>
            <w:szCs w:val="24"/>
            <w:highlight w:val="yellow"/>
          </w:rPr>
          <w:t xml:space="preserve"> agree with the sentiment that there is a coupling with the LFR. However, our intent with </w:t>
        </w:r>
      </w:ins>
      <w:r w:rsidRPr="005D19C1">
        <w:rPr>
          <w:rFonts w:ascii="Times New Roman" w:hAnsi="Times New Roman" w:cs="Times New Roman"/>
          <w:color w:val="BF8F00" w:themeColor="accent4" w:themeShade="BF"/>
          <w:sz w:val="24"/>
          <w:szCs w:val="24"/>
          <w:highlight w:val="yellow"/>
        </w:rPr>
        <w:t xml:space="preserve">Figure 2 is </w:t>
      </w:r>
      <w:ins w:id="36" w:author="Ben Lindley" w:date="2021-10-26T22:25:00Z">
        <w:r w:rsidR="00AF04FE">
          <w:rPr>
            <w:rFonts w:ascii="Times New Roman" w:hAnsi="Times New Roman" w:cs="Times New Roman"/>
            <w:color w:val="BF8F00" w:themeColor="accent4" w:themeShade="BF"/>
            <w:sz w:val="24"/>
            <w:szCs w:val="24"/>
            <w:highlight w:val="yellow"/>
          </w:rPr>
          <w:t xml:space="preserve">to </w:t>
        </w:r>
      </w:ins>
      <w:r w:rsidRPr="005D19C1">
        <w:rPr>
          <w:rFonts w:ascii="Times New Roman" w:hAnsi="Times New Roman" w:cs="Times New Roman"/>
          <w:color w:val="BF8F00" w:themeColor="accent4" w:themeShade="BF"/>
          <w:sz w:val="24"/>
          <w:szCs w:val="24"/>
          <w:highlight w:val="yellow"/>
        </w:rPr>
        <w:t>display</w:t>
      </w:r>
      <w:del w:id="37" w:author="Ben Lindley" w:date="2021-10-26T22:25:00Z">
        <w:r w:rsidRPr="005D19C1" w:rsidDel="00AF04FE">
          <w:rPr>
            <w:rFonts w:ascii="Times New Roman" w:hAnsi="Times New Roman" w:cs="Times New Roman"/>
            <w:color w:val="BF8F00" w:themeColor="accent4" w:themeShade="BF"/>
            <w:sz w:val="24"/>
            <w:szCs w:val="24"/>
            <w:highlight w:val="yellow"/>
          </w:rPr>
          <w:delText>ing</w:delText>
        </w:r>
      </w:del>
      <w:r w:rsidRPr="005D19C1">
        <w:rPr>
          <w:rFonts w:ascii="Times New Roman" w:hAnsi="Times New Roman" w:cs="Times New Roman"/>
          <w:color w:val="BF8F00" w:themeColor="accent4" w:themeShade="BF"/>
          <w:sz w:val="24"/>
          <w:szCs w:val="24"/>
          <w:highlight w:val="yellow"/>
        </w:rPr>
        <w:t xml:space="preserve"> the components of the CSP with cold and hot thermal energy storage, pumps</w:t>
      </w:r>
      <w:r w:rsidR="005269A4" w:rsidRPr="005D19C1">
        <w:rPr>
          <w:rFonts w:ascii="Times New Roman" w:hAnsi="Times New Roman" w:cs="Times New Roman"/>
          <w:color w:val="BF8F00" w:themeColor="accent4" w:themeShade="BF"/>
          <w:sz w:val="24"/>
          <w:szCs w:val="24"/>
          <w:highlight w:val="yellow"/>
        </w:rPr>
        <w:t>,</w:t>
      </w:r>
      <w:r w:rsidRPr="005D19C1">
        <w:rPr>
          <w:rFonts w:ascii="Times New Roman" w:hAnsi="Times New Roman" w:cs="Times New Roman"/>
          <w:color w:val="BF8F00" w:themeColor="accent4" w:themeShade="BF"/>
          <w:sz w:val="24"/>
          <w:szCs w:val="24"/>
          <w:highlight w:val="yellow"/>
        </w:rPr>
        <w:t xml:space="preserve"> and receiver. This is a component that is part of the full cycles </w:t>
      </w:r>
      <w:r w:rsidR="005269A4" w:rsidRPr="005D19C1">
        <w:rPr>
          <w:rFonts w:ascii="Times New Roman" w:hAnsi="Times New Roman" w:cs="Times New Roman"/>
          <w:color w:val="BF8F00" w:themeColor="accent4" w:themeShade="BF"/>
          <w:sz w:val="24"/>
          <w:szCs w:val="24"/>
          <w:highlight w:val="yellow"/>
        </w:rPr>
        <w:t>and is never directly connected to the</w:t>
      </w:r>
      <w:r w:rsidRPr="005D19C1">
        <w:rPr>
          <w:rFonts w:ascii="Times New Roman" w:hAnsi="Times New Roman" w:cs="Times New Roman"/>
          <w:color w:val="BF8F00" w:themeColor="accent4" w:themeShade="BF"/>
          <w:sz w:val="24"/>
          <w:szCs w:val="24"/>
          <w:highlight w:val="yellow"/>
        </w:rPr>
        <w:t xml:space="preserve"> LFR</w:t>
      </w:r>
      <w:r w:rsidR="005269A4" w:rsidRPr="005D19C1">
        <w:rPr>
          <w:rFonts w:ascii="Times New Roman" w:hAnsi="Times New Roman" w:cs="Times New Roman"/>
          <w:color w:val="BF8F00" w:themeColor="accent4" w:themeShade="BF"/>
          <w:sz w:val="24"/>
          <w:szCs w:val="24"/>
          <w:highlight w:val="yellow"/>
        </w:rPr>
        <w:t>. This comment is addressed throughout Section 2.3.1 – 2.4.4 with explanations of where the C2S is drawing heat around the cycle. Additionally</w:t>
      </w:r>
      <w:r w:rsidR="005D19C1" w:rsidRPr="005D19C1">
        <w:rPr>
          <w:rFonts w:ascii="Times New Roman" w:hAnsi="Times New Roman" w:cs="Times New Roman"/>
          <w:color w:val="BF8F00" w:themeColor="accent4" w:themeShade="BF"/>
          <w:sz w:val="24"/>
          <w:szCs w:val="24"/>
          <w:highlight w:val="yellow"/>
        </w:rPr>
        <w:t>,</w:t>
      </w:r>
      <w:r w:rsidR="005269A4" w:rsidRPr="005D19C1">
        <w:rPr>
          <w:rFonts w:ascii="Times New Roman" w:hAnsi="Times New Roman" w:cs="Times New Roman"/>
          <w:color w:val="BF8F00" w:themeColor="accent4" w:themeShade="BF"/>
          <w:sz w:val="24"/>
          <w:szCs w:val="24"/>
          <w:highlight w:val="yellow"/>
        </w:rPr>
        <w:t xml:space="preserve"> the cycle diagrams in these sections display where the CSP HX is positioned.</w:t>
      </w:r>
      <w:r w:rsidR="005269A4">
        <w:rPr>
          <w:rFonts w:ascii="Times New Roman" w:hAnsi="Times New Roman" w:cs="Times New Roman"/>
          <w:color w:val="BF8F00" w:themeColor="accent4" w:themeShade="BF"/>
          <w:sz w:val="24"/>
          <w:szCs w:val="24"/>
        </w:rPr>
        <w:t xml:space="preserve"> </w:t>
      </w:r>
    </w:p>
    <w:p w14:paraId="2C371E27" w14:textId="047A584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suppose that all the calculations have been made using EES? Perhaps you could clearly indicate that ate the beginning of Section 3.</w:t>
      </w:r>
    </w:p>
    <w:p w14:paraId="649A3AB1" w14:textId="12B9DA83" w:rsidR="00F821AD" w:rsidRPr="00F821AD" w:rsidRDefault="00585FE4"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Edited </w:t>
      </w:r>
      <w:r w:rsidR="00510A91">
        <w:rPr>
          <w:rFonts w:ascii="Times New Roman" w:hAnsi="Times New Roman" w:cs="Times New Roman"/>
          <w:color w:val="BF8F00" w:themeColor="accent4" w:themeShade="BF"/>
          <w:sz w:val="24"/>
          <w:szCs w:val="24"/>
        </w:rPr>
        <w:t xml:space="preserve">a </w:t>
      </w:r>
      <w:r>
        <w:rPr>
          <w:rFonts w:ascii="Times New Roman" w:hAnsi="Times New Roman" w:cs="Times New Roman"/>
          <w:color w:val="BF8F00" w:themeColor="accent4" w:themeShade="BF"/>
          <w:sz w:val="24"/>
          <w:szCs w:val="24"/>
        </w:rPr>
        <w:t xml:space="preserve">sentence in </w:t>
      </w:r>
      <w:r w:rsidR="00510A91">
        <w:rPr>
          <w:rFonts w:ascii="Times New Roman" w:hAnsi="Times New Roman" w:cs="Times New Roman"/>
          <w:color w:val="BF8F00" w:themeColor="accent4" w:themeShade="BF"/>
          <w:sz w:val="24"/>
          <w:szCs w:val="24"/>
        </w:rPr>
        <w:t xml:space="preserve">the </w:t>
      </w:r>
      <w:r>
        <w:rPr>
          <w:rFonts w:ascii="Times New Roman" w:hAnsi="Times New Roman" w:cs="Times New Roman"/>
          <w:color w:val="BF8F00" w:themeColor="accent4" w:themeShade="BF"/>
          <w:sz w:val="24"/>
          <w:szCs w:val="24"/>
        </w:rPr>
        <w:t>Section 3</w:t>
      </w:r>
      <w:r w:rsidR="00510A91">
        <w:rPr>
          <w:rFonts w:ascii="Times New Roman" w:hAnsi="Times New Roman" w:cs="Times New Roman"/>
          <w:color w:val="BF8F00" w:themeColor="accent4" w:themeShade="BF"/>
          <w:sz w:val="24"/>
          <w:szCs w:val="24"/>
        </w:rPr>
        <w:t xml:space="preserve"> introduction paragraph</w:t>
      </w:r>
      <w:r>
        <w:rPr>
          <w:rFonts w:ascii="Times New Roman" w:hAnsi="Times New Roman" w:cs="Times New Roman"/>
          <w:color w:val="BF8F00" w:themeColor="accent4" w:themeShade="BF"/>
          <w:sz w:val="24"/>
          <w:szCs w:val="24"/>
        </w:rPr>
        <w:t xml:space="preserve"> to signify that all calculations were made using Engineering Equation Solver. The sentence now reads ‘</w:t>
      </w:r>
      <w:r w:rsidRPr="00585FE4">
        <w:rPr>
          <w:rFonts w:ascii="Times New Roman" w:hAnsi="Times New Roman" w:cs="Times New Roman"/>
          <w:color w:val="BF8F00" w:themeColor="accent4" w:themeShade="BF"/>
          <w:sz w:val="24"/>
          <w:szCs w:val="24"/>
        </w:rPr>
        <w:t>All calculations were carried out using EES, with the results</w:t>
      </w:r>
      <w:r w:rsidRPr="00585FE4">
        <w:t xml:space="preserve"> </w:t>
      </w:r>
      <w:r w:rsidRPr="00585FE4">
        <w:rPr>
          <w:rFonts w:ascii="Times New Roman" w:hAnsi="Times New Roman" w:cs="Times New Roman"/>
          <w:color w:val="BF8F00" w:themeColor="accent4" w:themeShade="BF"/>
          <w:sz w:val="24"/>
          <w:szCs w:val="24"/>
        </w:rPr>
        <w:t xml:space="preserve">obtained using standardized values found in Table </w:t>
      </w:r>
      <w:r>
        <w:rPr>
          <w:rFonts w:ascii="Times New Roman" w:hAnsi="Times New Roman" w:cs="Times New Roman"/>
          <w:color w:val="BF8F00" w:themeColor="accent4" w:themeShade="BF"/>
          <w:sz w:val="24"/>
          <w:szCs w:val="24"/>
        </w:rPr>
        <w:t xml:space="preserve">2 </w:t>
      </w:r>
      <w:r w:rsidRPr="00585FE4">
        <w:rPr>
          <w:rFonts w:ascii="Times New Roman" w:hAnsi="Times New Roman" w:cs="Times New Roman"/>
          <w:color w:val="BF8F00" w:themeColor="accent4" w:themeShade="BF"/>
          <w:sz w:val="24"/>
          <w:szCs w:val="24"/>
        </w:rPr>
        <w:t>for a more direct comparison between cycles.</w:t>
      </w:r>
      <w:r>
        <w:rPr>
          <w:rFonts w:ascii="Times New Roman" w:hAnsi="Times New Roman" w:cs="Times New Roman"/>
          <w:color w:val="BF8F00" w:themeColor="accent4" w:themeShade="BF"/>
          <w:sz w:val="24"/>
          <w:szCs w:val="24"/>
        </w:rPr>
        <w:t xml:space="preserve">’ </w:t>
      </w:r>
    </w:p>
    <w:p w14:paraId="68906068" w14:textId="0EFD159D" w:rsidR="00EA05CA" w:rsidRDefault="00EA05CA" w:rsidP="00EA05CA">
      <w:pPr>
        <w:rPr>
          <w:rFonts w:ascii="Times New Roman" w:hAnsi="Times New Roman" w:cs="Times New Roman"/>
          <w:color w:val="000000" w:themeColor="text1"/>
          <w:sz w:val="24"/>
          <w:szCs w:val="24"/>
        </w:rPr>
      </w:pPr>
    </w:p>
    <w:p w14:paraId="6736398D" w14:textId="22EDD4F7" w:rsidR="00EA05CA" w:rsidRDefault="00EA05CA" w:rsidP="00CE2220">
      <w:pPr>
        <w:pBdr>
          <w:top w:val="single" w:sz="4" w:space="1" w:color="auto"/>
        </w:pBdr>
        <w:rPr>
          <w:rFonts w:ascii="Times New Roman" w:hAnsi="Times New Roman" w:cs="Times New Roman"/>
          <w:color w:val="000000" w:themeColor="text1"/>
          <w:sz w:val="24"/>
          <w:szCs w:val="24"/>
        </w:rPr>
      </w:pPr>
    </w:p>
    <w:p w14:paraId="190FBC55" w14:textId="2F97BBD9" w:rsidR="00CE2220" w:rsidRDefault="00CE2220" w:rsidP="00CE2220">
      <w:pPr>
        <w:pBdr>
          <w:top w:val="single" w:sz="4" w:space="1" w:color="auto"/>
        </w:pBd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References</w:t>
      </w:r>
    </w:p>
    <w:p w14:paraId="6B0E2FFF" w14:textId="2A9749CB" w:rsidR="00CE2220" w:rsidRPr="00CE2220" w:rsidRDefault="00CE2220" w:rsidP="00CE2220">
      <w:pPr>
        <w:pBdr>
          <w:top w:val="single" w:sz="4" w:space="1" w:color="auto"/>
        </w:pBd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Nellis</w:t>
      </w:r>
      <w:proofErr w:type="spellEnd"/>
      <w:r>
        <w:rPr>
          <w:rFonts w:ascii="Times New Roman" w:hAnsi="Times New Roman" w:cs="Times New Roman"/>
          <w:color w:val="000000" w:themeColor="text1"/>
          <w:sz w:val="24"/>
          <w:szCs w:val="24"/>
        </w:rPr>
        <w:t xml:space="preserve">, G.; Klein, S. </w:t>
      </w:r>
      <w:r>
        <w:rPr>
          <w:rFonts w:ascii="Times New Roman" w:hAnsi="Times New Roman" w:cs="Times New Roman"/>
          <w:i/>
          <w:iCs/>
          <w:color w:val="000000" w:themeColor="text1"/>
          <w:sz w:val="24"/>
          <w:szCs w:val="24"/>
        </w:rPr>
        <w:t>Heat Transfer;</w:t>
      </w:r>
      <w:r>
        <w:rPr>
          <w:rFonts w:ascii="Times New Roman" w:hAnsi="Times New Roman" w:cs="Times New Roman"/>
          <w:color w:val="000000" w:themeColor="text1"/>
          <w:sz w:val="24"/>
          <w:szCs w:val="24"/>
        </w:rPr>
        <w:t xml:space="preserve"> Cambridge University Press, 2008.  doi:10.1017/CBO9780511841606</w:t>
      </w:r>
    </w:p>
    <w:p w14:paraId="28D60137" w14:textId="77777777" w:rsidR="00EA05CA" w:rsidRPr="00EA05CA" w:rsidRDefault="00EA05CA" w:rsidP="00EA05CA">
      <w:pPr>
        <w:rPr>
          <w:rFonts w:ascii="Times New Roman" w:hAnsi="Times New Roman" w:cs="Times New Roman"/>
          <w:color w:val="000000" w:themeColor="text1"/>
          <w:sz w:val="24"/>
          <w:szCs w:val="24"/>
        </w:rPr>
      </w:pPr>
    </w:p>
    <w:sectPr w:rsidR="00EA05CA" w:rsidRPr="00EA05CA" w:rsidSect="002601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Ben Lindley" w:date="2021-10-26T22:16:00Z" w:initials="BL">
    <w:p w14:paraId="6B97190E" w14:textId="0D84D929" w:rsidR="00AF04FE" w:rsidRDefault="00AF04FE">
      <w:pPr>
        <w:pStyle w:val="CommentText"/>
      </w:pPr>
      <w:r>
        <w:rPr>
          <w:rStyle w:val="CommentReference"/>
        </w:rPr>
        <w:annotationRef/>
      </w:r>
      <w:r>
        <w:t>I think the original sentence had some good stuff, just needed clarifying</w:t>
      </w:r>
    </w:p>
  </w:comment>
  <w:comment w:id="23" w:author="Ben Lindley" w:date="2021-10-26T22:18:00Z" w:initials="BL">
    <w:p w14:paraId="434E44EE" w14:textId="7AD7B334" w:rsidR="00AF04FE" w:rsidRDefault="00AF04FE">
      <w:pPr>
        <w:pStyle w:val="CommentText"/>
      </w:pPr>
      <w:r>
        <w:rPr>
          <w:rStyle w:val="CommentReference"/>
        </w:rPr>
        <w:annotationRef/>
      </w:r>
      <w:r>
        <w:t xml:space="preserve">I think it is sufficient to argue that these scenarios are covered (discharging of CSP and LFR in isolation, and in combination through 1HTR1T and 2HTR3T). To appease the reviewer, add a comment that intermediate configurations with partial discharge of the TES (different power fractions between CSP and LFR) also need analysis in further work, but as separate and combined cycles are </w:t>
      </w:r>
      <w:proofErr w:type="gramStart"/>
      <w:r>
        <w:t>pretty close</w:t>
      </w:r>
      <w:proofErr w:type="gramEnd"/>
      <w:r>
        <w:t xml:space="preserve"> it is reasonable to assume that performance will be somewhere between the two. Also, off design performance evaluation is left to future work as this is about analyzing the design point</w:t>
      </w:r>
    </w:p>
  </w:comment>
  <w:comment w:id="33" w:author="Ben Lindley" w:date="2021-10-26T22:25:00Z" w:initials="BL">
    <w:p w14:paraId="24D4A043" w14:textId="1FAA3F03" w:rsidR="00AF04FE" w:rsidRDefault="00AF04FE">
      <w:pPr>
        <w:pStyle w:val="CommentText"/>
      </w:pPr>
      <w:r>
        <w:rPr>
          <w:rStyle w:val="CommentReference"/>
        </w:rPr>
        <w:annotationRef/>
      </w:r>
      <w:r>
        <w:t xml:space="preserve">Happy to defer to Mike but </w:t>
      </w:r>
      <w:r w:rsidR="002C442A">
        <w:t>I find ‘rebuttal’ a bit confrontational. But then the British are famously indirect.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7190E" w15:done="0"/>
  <w15:commentEx w15:paraId="434E44EE" w15:done="0"/>
  <w15:commentEx w15:paraId="24D4A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FCC6" w16cex:dateUtc="2021-10-27T03:16:00Z"/>
  <w16cex:commentExtensible w16cex:durableId="2522FD3F" w16cex:dateUtc="2021-10-27T03:18:00Z"/>
  <w16cex:commentExtensible w16cex:durableId="2522FEF7" w16cex:dateUtc="2021-10-27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7190E" w16cid:durableId="2522FCC6"/>
  <w16cid:commentId w16cid:paraId="434E44EE" w16cid:durableId="2522FD3F"/>
  <w16cid:commentId w16cid:paraId="24D4A043" w16cid:durableId="2522F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B8C"/>
    <w:multiLevelType w:val="hybridMultilevel"/>
    <w:tmpl w:val="6448B20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14564"/>
    <w:multiLevelType w:val="hybridMultilevel"/>
    <w:tmpl w:val="8EE8BB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DF72ED"/>
    <w:multiLevelType w:val="hybridMultilevel"/>
    <w:tmpl w:val="64AA615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B0C52"/>
    <w:multiLevelType w:val="hybridMultilevel"/>
    <w:tmpl w:val="AE0216AE"/>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64F11"/>
    <w:multiLevelType w:val="hybridMultilevel"/>
    <w:tmpl w:val="64AA615E"/>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F368AC"/>
    <w:multiLevelType w:val="hybridMultilevel"/>
    <w:tmpl w:val="8EE8BB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EF33CD6"/>
    <w:multiLevelType w:val="hybridMultilevel"/>
    <w:tmpl w:val="598EF5D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Lindley">
    <w15:presenceInfo w15:providerId="None" w15:userId="Ben Lin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97"/>
    <w:rsid w:val="00016E97"/>
    <w:rsid w:val="000402C7"/>
    <w:rsid w:val="000734DA"/>
    <w:rsid w:val="000B379B"/>
    <w:rsid w:val="000E6AC4"/>
    <w:rsid w:val="00180B27"/>
    <w:rsid w:val="001A4F1D"/>
    <w:rsid w:val="002601FC"/>
    <w:rsid w:val="002A50E1"/>
    <w:rsid w:val="002C442A"/>
    <w:rsid w:val="00363A26"/>
    <w:rsid w:val="003A2586"/>
    <w:rsid w:val="003E60A3"/>
    <w:rsid w:val="00406F7F"/>
    <w:rsid w:val="00506383"/>
    <w:rsid w:val="00510A91"/>
    <w:rsid w:val="005269A4"/>
    <w:rsid w:val="00585FE4"/>
    <w:rsid w:val="005D19C1"/>
    <w:rsid w:val="005D717F"/>
    <w:rsid w:val="006776AD"/>
    <w:rsid w:val="006B3B3E"/>
    <w:rsid w:val="00744F14"/>
    <w:rsid w:val="008004EF"/>
    <w:rsid w:val="008B25F6"/>
    <w:rsid w:val="008F45D0"/>
    <w:rsid w:val="0091339D"/>
    <w:rsid w:val="009D5198"/>
    <w:rsid w:val="00A6647B"/>
    <w:rsid w:val="00A87DE5"/>
    <w:rsid w:val="00AF04FE"/>
    <w:rsid w:val="00B04998"/>
    <w:rsid w:val="00B32F87"/>
    <w:rsid w:val="00B63CFA"/>
    <w:rsid w:val="00B70ED9"/>
    <w:rsid w:val="00B77034"/>
    <w:rsid w:val="00B964F3"/>
    <w:rsid w:val="00C27D88"/>
    <w:rsid w:val="00C514F9"/>
    <w:rsid w:val="00C55BDC"/>
    <w:rsid w:val="00C66C00"/>
    <w:rsid w:val="00C95C81"/>
    <w:rsid w:val="00CD3547"/>
    <w:rsid w:val="00CE2220"/>
    <w:rsid w:val="00CE7AD2"/>
    <w:rsid w:val="00E52560"/>
    <w:rsid w:val="00EA05CA"/>
    <w:rsid w:val="00EA1FC5"/>
    <w:rsid w:val="00F04D1F"/>
    <w:rsid w:val="00F2397C"/>
    <w:rsid w:val="00F8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5D6C"/>
  <w15:chartTrackingRefBased/>
  <w15:docId w15:val="{EE6A0502-8F93-45DD-8E40-8E368DBC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01FC"/>
  </w:style>
  <w:style w:type="table" w:styleId="TableGrid">
    <w:name w:val="Table Grid"/>
    <w:basedOn w:val="TableNormal"/>
    <w:uiPriority w:val="39"/>
    <w:rsid w:val="00A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5CA"/>
    <w:pPr>
      <w:ind w:left="720"/>
      <w:contextualSpacing/>
    </w:pPr>
  </w:style>
  <w:style w:type="character" w:styleId="CommentReference">
    <w:name w:val="annotation reference"/>
    <w:basedOn w:val="DefaultParagraphFont"/>
    <w:uiPriority w:val="99"/>
    <w:semiHidden/>
    <w:unhideWhenUsed/>
    <w:rsid w:val="00AF04FE"/>
    <w:rPr>
      <w:sz w:val="16"/>
      <w:szCs w:val="16"/>
    </w:rPr>
  </w:style>
  <w:style w:type="paragraph" w:styleId="CommentText">
    <w:name w:val="annotation text"/>
    <w:basedOn w:val="Normal"/>
    <w:link w:val="CommentTextChar"/>
    <w:uiPriority w:val="99"/>
    <w:semiHidden/>
    <w:unhideWhenUsed/>
    <w:rsid w:val="00AF04FE"/>
    <w:pPr>
      <w:spacing w:line="240" w:lineRule="auto"/>
    </w:pPr>
    <w:rPr>
      <w:sz w:val="20"/>
      <w:szCs w:val="20"/>
    </w:rPr>
  </w:style>
  <w:style w:type="character" w:customStyle="1" w:styleId="CommentTextChar">
    <w:name w:val="Comment Text Char"/>
    <w:basedOn w:val="DefaultParagraphFont"/>
    <w:link w:val="CommentText"/>
    <w:uiPriority w:val="99"/>
    <w:semiHidden/>
    <w:rsid w:val="00AF04FE"/>
    <w:rPr>
      <w:sz w:val="20"/>
      <w:szCs w:val="20"/>
    </w:rPr>
  </w:style>
  <w:style w:type="paragraph" w:styleId="CommentSubject">
    <w:name w:val="annotation subject"/>
    <w:basedOn w:val="CommentText"/>
    <w:next w:val="CommentText"/>
    <w:link w:val="CommentSubjectChar"/>
    <w:uiPriority w:val="99"/>
    <w:semiHidden/>
    <w:unhideWhenUsed/>
    <w:rsid w:val="00AF04FE"/>
    <w:rPr>
      <w:b/>
      <w:bCs/>
    </w:rPr>
  </w:style>
  <w:style w:type="character" w:customStyle="1" w:styleId="CommentSubjectChar">
    <w:name w:val="Comment Subject Char"/>
    <w:basedOn w:val="CommentTextChar"/>
    <w:link w:val="CommentSubject"/>
    <w:uiPriority w:val="99"/>
    <w:semiHidden/>
    <w:rsid w:val="00AF0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195">
      <w:bodyDiv w:val="1"/>
      <w:marLeft w:val="0"/>
      <w:marRight w:val="0"/>
      <w:marTop w:val="0"/>
      <w:marBottom w:val="0"/>
      <w:divBdr>
        <w:top w:val="none" w:sz="0" w:space="0" w:color="auto"/>
        <w:left w:val="none" w:sz="0" w:space="0" w:color="auto"/>
        <w:bottom w:val="none" w:sz="0" w:space="0" w:color="auto"/>
        <w:right w:val="none" w:sz="0" w:space="0" w:color="auto"/>
      </w:divBdr>
      <w:divsChild>
        <w:div w:id="1230001742">
          <w:marLeft w:val="0"/>
          <w:marRight w:val="0"/>
          <w:marTop w:val="0"/>
          <w:marBottom w:val="0"/>
          <w:divBdr>
            <w:top w:val="none" w:sz="0" w:space="0" w:color="auto"/>
            <w:left w:val="none" w:sz="0" w:space="0" w:color="auto"/>
            <w:bottom w:val="none" w:sz="0" w:space="0" w:color="auto"/>
            <w:right w:val="none" w:sz="0" w:space="0" w:color="auto"/>
          </w:divBdr>
          <w:divsChild>
            <w:div w:id="545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37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32">
          <w:marLeft w:val="0"/>
          <w:marRight w:val="0"/>
          <w:marTop w:val="0"/>
          <w:marBottom w:val="0"/>
          <w:divBdr>
            <w:top w:val="none" w:sz="0" w:space="0" w:color="auto"/>
            <w:left w:val="none" w:sz="0" w:space="0" w:color="auto"/>
            <w:bottom w:val="none" w:sz="0" w:space="0" w:color="auto"/>
            <w:right w:val="none" w:sz="0" w:space="0" w:color="auto"/>
          </w:divBdr>
          <w:divsChild>
            <w:div w:id="1058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036">
      <w:bodyDiv w:val="1"/>
      <w:marLeft w:val="0"/>
      <w:marRight w:val="0"/>
      <w:marTop w:val="0"/>
      <w:marBottom w:val="0"/>
      <w:divBdr>
        <w:top w:val="none" w:sz="0" w:space="0" w:color="auto"/>
        <w:left w:val="none" w:sz="0" w:space="0" w:color="auto"/>
        <w:bottom w:val="none" w:sz="0" w:space="0" w:color="auto"/>
        <w:right w:val="none" w:sz="0" w:space="0" w:color="auto"/>
      </w:divBdr>
    </w:div>
    <w:div w:id="527179987">
      <w:bodyDiv w:val="1"/>
      <w:marLeft w:val="0"/>
      <w:marRight w:val="0"/>
      <w:marTop w:val="0"/>
      <w:marBottom w:val="0"/>
      <w:divBdr>
        <w:top w:val="none" w:sz="0" w:space="0" w:color="auto"/>
        <w:left w:val="none" w:sz="0" w:space="0" w:color="auto"/>
        <w:bottom w:val="none" w:sz="0" w:space="0" w:color="auto"/>
        <w:right w:val="none" w:sz="0" w:space="0" w:color="auto"/>
      </w:divBdr>
    </w:div>
    <w:div w:id="608467919">
      <w:bodyDiv w:val="1"/>
      <w:marLeft w:val="0"/>
      <w:marRight w:val="0"/>
      <w:marTop w:val="0"/>
      <w:marBottom w:val="0"/>
      <w:divBdr>
        <w:top w:val="none" w:sz="0" w:space="0" w:color="auto"/>
        <w:left w:val="none" w:sz="0" w:space="0" w:color="auto"/>
        <w:bottom w:val="none" w:sz="0" w:space="0" w:color="auto"/>
        <w:right w:val="none" w:sz="0" w:space="0" w:color="auto"/>
      </w:divBdr>
      <w:divsChild>
        <w:div w:id="1116943738">
          <w:marLeft w:val="0"/>
          <w:marRight w:val="0"/>
          <w:marTop w:val="0"/>
          <w:marBottom w:val="0"/>
          <w:divBdr>
            <w:top w:val="none" w:sz="0" w:space="0" w:color="auto"/>
            <w:left w:val="none" w:sz="0" w:space="0" w:color="auto"/>
            <w:bottom w:val="none" w:sz="0" w:space="0" w:color="auto"/>
            <w:right w:val="none" w:sz="0" w:space="0" w:color="auto"/>
          </w:divBdr>
          <w:divsChild>
            <w:div w:id="418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999">
      <w:bodyDiv w:val="1"/>
      <w:marLeft w:val="0"/>
      <w:marRight w:val="0"/>
      <w:marTop w:val="0"/>
      <w:marBottom w:val="0"/>
      <w:divBdr>
        <w:top w:val="none" w:sz="0" w:space="0" w:color="auto"/>
        <w:left w:val="none" w:sz="0" w:space="0" w:color="auto"/>
        <w:bottom w:val="none" w:sz="0" w:space="0" w:color="auto"/>
        <w:right w:val="none" w:sz="0" w:space="0" w:color="auto"/>
      </w:divBdr>
      <w:divsChild>
        <w:div w:id="1067414371">
          <w:marLeft w:val="0"/>
          <w:marRight w:val="0"/>
          <w:marTop w:val="0"/>
          <w:marBottom w:val="0"/>
          <w:divBdr>
            <w:top w:val="none" w:sz="0" w:space="0" w:color="auto"/>
            <w:left w:val="none" w:sz="0" w:space="0" w:color="auto"/>
            <w:bottom w:val="none" w:sz="0" w:space="0" w:color="auto"/>
            <w:right w:val="none" w:sz="0" w:space="0" w:color="auto"/>
          </w:divBdr>
          <w:divsChild>
            <w:div w:id="1275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498">
      <w:bodyDiv w:val="1"/>
      <w:marLeft w:val="0"/>
      <w:marRight w:val="0"/>
      <w:marTop w:val="0"/>
      <w:marBottom w:val="0"/>
      <w:divBdr>
        <w:top w:val="none" w:sz="0" w:space="0" w:color="auto"/>
        <w:left w:val="none" w:sz="0" w:space="0" w:color="auto"/>
        <w:bottom w:val="none" w:sz="0" w:space="0" w:color="auto"/>
        <w:right w:val="none" w:sz="0" w:space="0" w:color="auto"/>
      </w:divBdr>
      <w:divsChild>
        <w:div w:id="1942106761">
          <w:marLeft w:val="0"/>
          <w:marRight w:val="0"/>
          <w:marTop w:val="0"/>
          <w:marBottom w:val="0"/>
          <w:divBdr>
            <w:top w:val="none" w:sz="0" w:space="0" w:color="auto"/>
            <w:left w:val="none" w:sz="0" w:space="0" w:color="auto"/>
            <w:bottom w:val="none" w:sz="0" w:space="0" w:color="auto"/>
            <w:right w:val="none" w:sz="0" w:space="0" w:color="auto"/>
          </w:divBdr>
          <w:divsChild>
            <w:div w:id="47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161">
      <w:bodyDiv w:val="1"/>
      <w:marLeft w:val="0"/>
      <w:marRight w:val="0"/>
      <w:marTop w:val="0"/>
      <w:marBottom w:val="0"/>
      <w:divBdr>
        <w:top w:val="none" w:sz="0" w:space="0" w:color="auto"/>
        <w:left w:val="none" w:sz="0" w:space="0" w:color="auto"/>
        <w:bottom w:val="none" w:sz="0" w:space="0" w:color="auto"/>
        <w:right w:val="none" w:sz="0" w:space="0" w:color="auto"/>
      </w:divBdr>
      <w:divsChild>
        <w:div w:id="1168251235">
          <w:marLeft w:val="0"/>
          <w:marRight w:val="0"/>
          <w:marTop w:val="0"/>
          <w:marBottom w:val="0"/>
          <w:divBdr>
            <w:top w:val="none" w:sz="0" w:space="0" w:color="auto"/>
            <w:left w:val="none" w:sz="0" w:space="0" w:color="auto"/>
            <w:bottom w:val="none" w:sz="0" w:space="0" w:color="auto"/>
            <w:right w:val="none" w:sz="0" w:space="0" w:color="auto"/>
          </w:divBdr>
          <w:divsChild>
            <w:div w:id="3360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920">
      <w:bodyDiv w:val="1"/>
      <w:marLeft w:val="0"/>
      <w:marRight w:val="0"/>
      <w:marTop w:val="0"/>
      <w:marBottom w:val="0"/>
      <w:divBdr>
        <w:top w:val="none" w:sz="0" w:space="0" w:color="auto"/>
        <w:left w:val="none" w:sz="0" w:space="0" w:color="auto"/>
        <w:bottom w:val="none" w:sz="0" w:space="0" w:color="auto"/>
        <w:right w:val="none" w:sz="0" w:space="0" w:color="auto"/>
      </w:divBdr>
      <w:divsChild>
        <w:div w:id="1274628591">
          <w:marLeft w:val="0"/>
          <w:marRight w:val="0"/>
          <w:marTop w:val="0"/>
          <w:marBottom w:val="0"/>
          <w:divBdr>
            <w:top w:val="none" w:sz="0" w:space="0" w:color="auto"/>
            <w:left w:val="none" w:sz="0" w:space="0" w:color="auto"/>
            <w:bottom w:val="none" w:sz="0" w:space="0" w:color="auto"/>
            <w:right w:val="none" w:sz="0" w:space="0" w:color="auto"/>
          </w:divBdr>
          <w:divsChild>
            <w:div w:id="1787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8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427">
          <w:marLeft w:val="0"/>
          <w:marRight w:val="0"/>
          <w:marTop w:val="0"/>
          <w:marBottom w:val="0"/>
          <w:divBdr>
            <w:top w:val="none" w:sz="0" w:space="0" w:color="auto"/>
            <w:left w:val="none" w:sz="0" w:space="0" w:color="auto"/>
            <w:bottom w:val="none" w:sz="0" w:space="0" w:color="auto"/>
            <w:right w:val="none" w:sz="0" w:space="0" w:color="auto"/>
          </w:divBdr>
          <w:divsChild>
            <w:div w:id="14079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0878">
      <w:bodyDiv w:val="1"/>
      <w:marLeft w:val="0"/>
      <w:marRight w:val="0"/>
      <w:marTop w:val="0"/>
      <w:marBottom w:val="0"/>
      <w:divBdr>
        <w:top w:val="none" w:sz="0" w:space="0" w:color="auto"/>
        <w:left w:val="none" w:sz="0" w:space="0" w:color="auto"/>
        <w:bottom w:val="none" w:sz="0" w:space="0" w:color="auto"/>
        <w:right w:val="none" w:sz="0" w:space="0" w:color="auto"/>
      </w:divBdr>
      <w:divsChild>
        <w:div w:id="17463778">
          <w:marLeft w:val="0"/>
          <w:marRight w:val="0"/>
          <w:marTop w:val="0"/>
          <w:marBottom w:val="0"/>
          <w:divBdr>
            <w:top w:val="none" w:sz="0" w:space="0" w:color="auto"/>
            <w:left w:val="none" w:sz="0" w:space="0" w:color="auto"/>
            <w:bottom w:val="none" w:sz="0" w:space="0" w:color="auto"/>
            <w:right w:val="none" w:sz="0" w:space="0" w:color="auto"/>
          </w:divBdr>
          <w:divsChild>
            <w:div w:id="513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80C4-85F4-4DFC-A5E4-EA239E02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8</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THOMAS WHITE</dc:creator>
  <cp:keywords/>
  <dc:description/>
  <cp:lastModifiedBy>Ben Lindley</cp:lastModifiedBy>
  <cp:revision>35</cp:revision>
  <dcterms:created xsi:type="dcterms:W3CDTF">2021-10-25T20:42:00Z</dcterms:created>
  <dcterms:modified xsi:type="dcterms:W3CDTF">2021-10-27T03:27:00Z</dcterms:modified>
</cp:coreProperties>
</file>