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pStyle w:val="21"/>
        <w:framePr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pStyle w:val="21"/>
        <w:framePr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pStyle w:val="21"/>
        <w:framePr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pStyle w:val="21"/>
        <w:framePr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pStyle w:val="21"/>
        <w:framePr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一种用于Petri网模型分析的</w:t>
      </w:r>
      <w:r>
        <w:rPr>
          <w:rFonts w:hint="eastAsia" w:ascii="宋体" w:hAnsi="宋体" w:eastAsia="宋体" w:cs="宋体"/>
          <w:b/>
          <w:bCs/>
          <w:sz w:val="52"/>
          <w:szCs w:val="52"/>
          <w:lang w:val="zh-CN"/>
        </w:rPr>
        <w:t>软件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工具</w:t>
      </w:r>
    </w:p>
    <w:p>
      <w:pPr>
        <w:pStyle w:val="21"/>
        <w:framePr w:wrap="auto" w:vAnchor="margin" w:hAnchor="text" w:yAlign="inline"/>
        <w:jc w:val="center"/>
        <w:rPr>
          <w:rFonts w:ascii="宋体" w:hAnsi="宋体" w:eastAsia="宋体" w:cs="宋体"/>
          <w:b/>
          <w:bCs/>
          <w:sz w:val="52"/>
          <w:szCs w:val="52"/>
          <w:lang w:val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zh-CN"/>
        </w:rPr>
        <w:t>V1.0</w:t>
      </w:r>
    </w:p>
    <w:p>
      <w:pPr>
        <w:pStyle w:val="21"/>
        <w:framePr w:wrap="auto" w:vAnchor="margin" w:hAnchor="text" w:yAlign="inline"/>
        <w:jc w:val="center"/>
        <w:rPr>
          <w:rFonts w:ascii="宋体" w:hAnsi="宋体" w:eastAsia="宋体" w:cs="宋体"/>
          <w:b/>
          <w:bCs/>
          <w:sz w:val="52"/>
          <w:szCs w:val="52"/>
          <w:lang w:val="zh-CN"/>
        </w:rPr>
      </w:pPr>
    </w:p>
    <w:p>
      <w:pPr>
        <w:pStyle w:val="21"/>
        <w:framePr w:wrap="auto" w:vAnchor="margin" w:hAnchor="text" w:yAlign="inline"/>
        <w:jc w:val="center"/>
        <w:rPr>
          <w:rFonts w:hint="eastAsia" w:ascii="宋体" w:hAnsi="宋体" w:eastAsia="宋体" w:cs="宋体"/>
          <w:b/>
          <w:bCs/>
          <w:sz w:val="52"/>
          <w:szCs w:val="52"/>
          <w:lang w:val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zh-TW" w:eastAsia="zh-TW"/>
        </w:rPr>
        <w:t>用户手册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  <w:id w:val="147456481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4"/>
          <w:szCs w:val="21"/>
          <w:shd w:val="clear" w:color="auto" w:fill="auto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cs="Times New Roman"/>
              <w:sz w:val="21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 w:val="21"/>
              <w:szCs w:val="21"/>
              <w:shd w:val="clear" w:color="auto" w:fill="auto"/>
              <w:lang w:val="en-US" w:eastAsia="zh-CN"/>
            </w:rPr>
            <w:instrText xml:space="preserve">TOC \o "1-3" \h \u </w:instrText>
          </w:r>
          <w:r>
            <w:rPr>
              <w:rFonts w:hint="eastAsia" w:cs="Times New Roman"/>
              <w:sz w:val="21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_Toc12299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_Toc12299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_Toc14754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软件名称以及版本信息</w:t>
          </w:r>
          <w:r>
            <w:tab/>
          </w:r>
          <w:r>
            <w:fldChar w:fldCharType="begin"/>
          </w:r>
          <w:r>
            <w:instrText xml:space="preserve"> PAGEREF _Toc14754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_Toc13336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</w:t>
          </w:r>
          <w:r>
            <w:rPr>
              <w:rFonts w:hint="default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_Toc13336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_Toc27705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</w:t>
          </w:r>
          <w:r>
            <w:rPr>
              <w:rFonts w:hint="default"/>
              <w:lang w:val="en-US" w:eastAsia="zh-CN"/>
            </w:rPr>
            <w:t>术语和缩略词</w:t>
          </w:r>
          <w:r>
            <w:tab/>
          </w:r>
          <w:r>
            <w:fldChar w:fldCharType="begin"/>
          </w:r>
          <w:r>
            <w:instrText xml:space="preserve"> PAGEREF _Toc27705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_Toc17851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软件概述</w:t>
          </w:r>
          <w:r>
            <w:tab/>
          </w:r>
          <w:r>
            <w:fldChar w:fldCharType="begin"/>
          </w:r>
          <w:r>
            <w:instrText xml:space="preserve"> PAGEREF _Toc17851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_Toc2613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default"/>
              <w:lang w:val="en-US" w:eastAsia="zh-CN"/>
            </w:rPr>
            <w:t>软件</w:t>
          </w:r>
          <w:r>
            <w:rPr>
              <w:rFonts w:hint="eastAsia"/>
              <w:lang w:val="en-US" w:eastAsia="zh-CN"/>
            </w:rPr>
            <w:t>主要</w:t>
          </w:r>
          <w:r>
            <w:rPr>
              <w:rFonts w:hint="default"/>
              <w:lang w:val="en-US" w:eastAsia="zh-CN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_Toc2613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_Toc1467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2.2系统要求</w:t>
          </w:r>
          <w:r>
            <w:tab/>
          </w:r>
          <w:r>
            <w:fldChar w:fldCharType="begin"/>
          </w:r>
          <w:r>
            <w:instrText xml:space="preserve"> PAGEREF _Toc1467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_Toc17528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3软件</w:t>
          </w:r>
          <w:r>
            <w:rPr>
              <w:rFonts w:hint="default"/>
              <w:lang w:val="en-US" w:eastAsia="zh-CN"/>
            </w:rPr>
            <w:t>使用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_Toc17528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_Toc4034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rPr>
              <w:rFonts w:hint="default"/>
              <w:lang w:val="en-US" w:eastAsia="zh-CN"/>
            </w:rPr>
            <w:t>新建和打开</w:t>
          </w:r>
          <w:r>
            <w:tab/>
          </w:r>
          <w:r>
            <w:fldChar w:fldCharType="begin"/>
          </w:r>
          <w:r>
            <w:instrText xml:space="preserve"> PAGEREF _Toc4034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_Toc1301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</w:t>
          </w:r>
          <w:r>
            <w:rPr>
              <w:rFonts w:hint="default"/>
              <w:lang w:val="en-US" w:eastAsia="zh-CN"/>
            </w:rPr>
            <w:t>新建</w:t>
          </w:r>
          <w:r>
            <w:tab/>
          </w:r>
          <w:r>
            <w:fldChar w:fldCharType="begin"/>
          </w:r>
          <w:r>
            <w:instrText xml:space="preserve"> PAGEREF _Toc1301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_Toc5751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</w:t>
          </w:r>
          <w:r>
            <w:rPr>
              <w:rFonts w:hint="default"/>
              <w:lang w:val="en-US" w:eastAsia="zh-CN"/>
            </w:rPr>
            <w:t>打开</w:t>
          </w:r>
          <w:r>
            <w:tab/>
          </w:r>
          <w:r>
            <w:fldChar w:fldCharType="begin"/>
          </w:r>
          <w:r>
            <w:instrText xml:space="preserve"> PAGEREF _Toc5751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_Toc26987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.2结构特性分析</w:t>
          </w:r>
          <w:r>
            <w:tab/>
          </w:r>
          <w:r>
            <w:fldChar w:fldCharType="begin"/>
          </w:r>
          <w:r>
            <w:instrText xml:space="preserve"> PAGEREF _Toc26987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_Toc2486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.2.1 T-invariant分析</w:t>
          </w:r>
          <w:r>
            <w:tab/>
          </w:r>
          <w:r>
            <w:fldChar w:fldCharType="begin"/>
          </w:r>
          <w:r>
            <w:instrText xml:space="preserve"> PAGEREF _Toc2486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_Toc4627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.2.2 P-invariant分析</w:t>
          </w:r>
          <w:r>
            <w:tab/>
          </w:r>
          <w:r>
            <w:fldChar w:fldCharType="begin"/>
          </w:r>
          <w:r>
            <w:instrText xml:space="preserve"> PAGEREF _Toc4627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_Toc24364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.3信标计算</w:t>
          </w:r>
          <w:r>
            <w:tab/>
          </w:r>
          <w:r>
            <w:fldChar w:fldCharType="begin"/>
          </w:r>
          <w:r>
            <w:instrText xml:space="preserve"> PAGEREF _Toc24364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_Toc8064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3.3.1信标</w:t>
          </w:r>
          <w:r>
            <w:tab/>
          </w:r>
          <w:r>
            <w:fldChar w:fldCharType="begin"/>
          </w:r>
          <w:r>
            <w:instrText xml:space="preserve"> PAGEREF _Toc8064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_Toc6428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3.3.2极小信标</w:t>
          </w:r>
          <w:r>
            <w:tab/>
          </w:r>
          <w:r>
            <w:fldChar w:fldCharType="begin"/>
          </w:r>
          <w:r>
            <w:instrText xml:space="preserve"> PAGEREF _Toc6428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_Toc10289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3.3.3严格极小信标</w:t>
          </w:r>
          <w:r>
            <w:tab/>
          </w:r>
          <w:r>
            <w:fldChar w:fldCharType="begin"/>
          </w:r>
          <w:r>
            <w:instrText xml:space="preserve"> PAGEREF _Toc10289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_Toc17444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3.3.4基本信标</w:t>
          </w:r>
          <w:r>
            <w:tab/>
          </w:r>
          <w:r>
            <w:fldChar w:fldCharType="begin"/>
          </w:r>
          <w:r>
            <w:instrText xml:space="preserve"> PAGEREF _Toc17444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_Toc7658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.4状态空间分析</w:t>
          </w:r>
          <w:r>
            <w:tab/>
          </w:r>
          <w:r>
            <w:fldChar w:fldCharType="begin"/>
          </w:r>
          <w:r>
            <w:instrText xml:space="preserve"> PAGEREF _Toc7658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_Toc11308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3.4.1可达图计算</w:t>
          </w:r>
          <w:r>
            <w:tab/>
          </w:r>
          <w:r>
            <w:fldChar w:fldCharType="begin"/>
          </w:r>
          <w:r>
            <w:instrText xml:space="preserve"> PAGEREF _Toc11308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_Toc342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3.4.2标识分类</w:t>
          </w:r>
          <w:r>
            <w:tab/>
          </w:r>
          <w:r>
            <w:fldChar w:fldCharType="begin"/>
          </w:r>
          <w:r>
            <w:instrText xml:space="preserve"> PAGEREF _Toc342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_Toc18933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MTSI</w:t>
          </w:r>
          <w:r>
            <w:tab/>
          </w:r>
          <w:r>
            <w:fldChar w:fldCharType="begin"/>
          </w:r>
          <w:r>
            <w:instrText xml:space="preserve"> PAGEREF _Toc18933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_Toc32756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val="en-US" w:eastAsia="zh-CN"/>
            </w:rPr>
            <w:t>.5死锁预防</w:t>
          </w:r>
          <w:r>
            <w:tab/>
          </w:r>
          <w:r>
            <w:fldChar w:fldCharType="begin"/>
          </w:r>
          <w:r>
            <w:instrText xml:space="preserve"> PAGEREF _Toc32756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_Toc13781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3.5.1基于SMS</w:t>
          </w:r>
          <w:r>
            <w:tab/>
          </w:r>
          <w:r>
            <w:fldChar w:fldCharType="begin"/>
          </w:r>
          <w:r>
            <w:instrText xml:space="preserve"> PAGEREF _Toc13781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_Toc13894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3.5.2基于ESMS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_Toc4520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 TBDP</w:t>
          </w:r>
          <w:r>
            <w:tab/>
          </w:r>
          <w:r>
            <w:fldChar w:fldCharType="begin"/>
          </w:r>
          <w:r>
            <w:instrText xml:space="preserve"> PAGEREF _Toc4520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_Toc24725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3.6.1部分可达图</w:t>
          </w:r>
          <w:r>
            <w:tab/>
          </w:r>
          <w:r>
            <w:fldChar w:fldCharType="begin"/>
          </w:r>
          <w:r>
            <w:instrText xml:space="preserve"> PAGEREF _Toc24725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_Toc11009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3.6.2死锁预防条件</w:t>
          </w:r>
          <w:r>
            <w:tab/>
          </w:r>
          <w:r>
            <w:fldChar w:fldCharType="begin"/>
          </w:r>
          <w:r>
            <w:instrText xml:space="preserve"> PAGEREF _Toc11009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_Toc24602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SRG</w:t>
          </w:r>
          <w:r>
            <w:tab/>
          </w:r>
          <w:r>
            <w:fldChar w:fldCharType="begin"/>
          </w:r>
          <w:r>
            <w:instrText xml:space="preserve"> PAGEREF _Toc24602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begin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instrText xml:space="preserve"> HYPERLINK \l _Toc21573 </w:instrText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3.7其他说明</w:t>
          </w:r>
          <w:r>
            <w:tab/>
          </w:r>
          <w:r>
            <w:fldChar w:fldCharType="begin"/>
          </w:r>
          <w:r>
            <w:instrText xml:space="preserve"> PAGEREF _Toc21573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Autospacing="0" w:afterAutospacing="0" w:line="288" w:lineRule="auto"/>
            <w:textAlignment w:val="auto"/>
            <w:rPr>
              <w:rFonts w:hint="eastAsia" w:cs="Times New Roman"/>
              <w:sz w:val="21"/>
              <w:szCs w:val="21"/>
              <w:shd w:val="clear" w:color="auto" w:fill="auto"/>
              <w:lang w:val="en-US" w:eastAsia="zh-CN"/>
            </w:rPr>
          </w:pPr>
          <w:r>
            <w:rPr>
              <w:rFonts w:hint="eastAsia" w:cs="Times New Roman"/>
              <w:szCs w:val="21"/>
              <w:shd w:val="clear" w:color="auto" w:fill="auto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bookmarkStart w:id="0" w:name="_Toc12299"/>
      <w:r>
        <w:rPr>
          <w:rFonts w:hint="eastAsia"/>
          <w:lang w:val="en-US" w:eastAsia="zh-CN"/>
        </w:rPr>
        <w:t>1引言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754"/>
      <w:r>
        <w:rPr>
          <w:rFonts w:hint="eastAsia"/>
          <w:lang w:val="en-US" w:eastAsia="zh-CN"/>
        </w:rPr>
        <w:t>1.1 软件名称以及版本信息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/>
        <w:jc w:val="both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软件名称：一种用于Petri网模型分析的软件工具（PNTool）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版本信息：V1.0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336"/>
      <w:r>
        <w:rPr>
          <w:rFonts w:hint="eastAsia"/>
          <w:lang w:val="en-US" w:eastAsia="zh-CN"/>
        </w:rPr>
        <w:t>1.2</w:t>
      </w:r>
      <w:r>
        <w:rPr>
          <w:rFonts w:hint="default"/>
          <w:lang w:val="en-US" w:eastAsia="zh-CN"/>
        </w:rPr>
        <w:t>编写目的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Petri网作为一种常用的形式化工具，用于描述和分析系统中的资源分配、同步和竞争等关键概念。关联矩阵是一种常见的Petri网表示方法，将库所和变迁之间的关系以矩阵的形式呈现。然而，手动分析和评估复杂的Petri网模型往往非常耗时且容易出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为了解决这一问题，Petri网软件应运而生，该软件的开发旨在充分利用现代计算机和软件技术的优势，为研究人员、工程师以及学生提供一个高效、直观的分析环境，包括状态空间分析、结构分析、活性分析以及死锁预防等。同时，该软件旨在提升用户对Petri网模型的理解、验证和性能评估的能力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705"/>
      <w:r>
        <w:rPr>
          <w:rFonts w:hint="eastAsia"/>
          <w:lang w:val="en-US" w:eastAsia="zh-CN"/>
        </w:rPr>
        <w:t>1.3</w:t>
      </w:r>
      <w:r>
        <w:rPr>
          <w:rFonts w:hint="default"/>
          <w:lang w:val="en-US" w:eastAsia="zh-CN"/>
        </w:rPr>
        <w:t>术语和缩略词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invariant T-不变式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invariant P-不变式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SMS 严格极小信标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ESMS 基本信标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MTSI 标记/变迁分离实例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TBDP Time based Deadlock Prevention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SRG 符号可达图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bookmarkStart w:id="4" w:name="_Toc17851"/>
      <w:r>
        <w:rPr>
          <w:rFonts w:hint="eastAsia"/>
          <w:lang w:val="en-US" w:eastAsia="zh-CN"/>
        </w:rPr>
        <w:t>2 软件概述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13"/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软件</w:t>
      </w:r>
      <w:r>
        <w:rPr>
          <w:rFonts w:hint="eastAsia"/>
          <w:lang w:val="en-US" w:eastAsia="zh-CN"/>
        </w:rPr>
        <w:t>主要</w:t>
      </w:r>
      <w:r>
        <w:rPr>
          <w:rFonts w:hint="default"/>
          <w:lang w:val="en-US" w:eastAsia="zh-CN"/>
        </w:rPr>
        <w:t>功能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结构特性分析：包括T-invariant和P-invariant分析。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信标分析：包括信标计算、极小信标计算、严格极小信标计算以及基本信标计算。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状态空间分析：包括可达图计算、标识分类、MTSI。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死锁预防：包括基于SMS的死锁预防以及基于ESMS的死锁预防。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TBDP：包括SRG计算、死锁预防条件计算以及部分可达图计算。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67"/>
      <w:r>
        <w:rPr>
          <w:rFonts w:hint="eastAsia"/>
          <w:lang w:val="en-US" w:eastAsia="zh-CN"/>
        </w:rPr>
        <w:t>2.2系统要求</w:t>
      </w:r>
      <w:bookmarkEnd w:id="6"/>
    </w:p>
    <w:p>
      <w:pPr>
        <w:pStyle w:val="2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 xml:space="preserve">indows </w:t>
      </w:r>
      <w:r>
        <w:rPr>
          <w:sz w:val="21"/>
          <w:szCs w:val="21"/>
        </w:rPr>
        <w:t>2003</w:t>
      </w:r>
      <w:r>
        <w:rPr>
          <w:rFonts w:hint="eastAsia"/>
          <w:sz w:val="21"/>
          <w:szCs w:val="21"/>
        </w:rPr>
        <w:t xml:space="preserve">以上系统，内存2GB以上，硬盘 </w:t>
      </w:r>
      <w:r>
        <w:rPr>
          <w:sz w:val="21"/>
          <w:szCs w:val="21"/>
        </w:rPr>
        <w:t xml:space="preserve">50 </w:t>
      </w:r>
      <w:r>
        <w:rPr>
          <w:rFonts w:hint="eastAsia"/>
          <w:sz w:val="21"/>
          <w:szCs w:val="21"/>
        </w:rPr>
        <w:t>GB以上。</w:t>
      </w:r>
      <w:bookmarkStart w:id="7" w:name="_Toc17528"/>
    </w:p>
    <w:p>
      <w:pPr>
        <w:pStyle w:val="2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3软件使用说明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034"/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t>新建和打开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 xml:space="preserve">    用户可以通过新建和打开命令灵活地创建新的Petri网模型或者加载现有的模型，并在图形化界面上方便地输入或编辑相关</w:t>
      </w: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数据，对Petri网模型进行信标分析、状态空间分析、结构特性分析、死锁预防等操作。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301"/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新建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用户可以通过图形化界面轻松创建新的Petri网模型。首先用户需要点击“文件”-&gt;“新建”</w:t>
      </w: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进入新建界面（如图3.1所示）</w:t>
      </w: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，然后通过文本框或者下拉菜单输入库所数量和变迁数量，并通过文本框输入关联矩阵以及初始标记。在新建的过程，用户也可以点击“关闭”命令以取消新建。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583940" cy="26543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sz w:val="18"/>
          <w:szCs w:val="18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在输入关联矩阵以及初始标记的过程中，每个数字之间应该以逗号（英文模式下）或者空格分割开。如图3.2所示。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683000" cy="2727960"/>
            <wp:effectExtent l="0" t="0" r="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输入完成后，用户可以点击“确认”命令保存输入的数据，保存文件的格式为</w:t>
      </w: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文本</w:t>
      </w: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文件（.txt）。该功能还提供了一种输入保护机制。在Petri网模型中，关联矩阵的行数与库所数量相等，关联矩阵的列数与变迁数量相等，且库所数量和变迁数量都不能为0。如果上述关系有一个被破环，软件就会弹出一个提示框（如图3.</w:t>
      </w: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所示）以提示用户输入不合法。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911600" cy="2896235"/>
            <wp:effectExtent l="0" t="0" r="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图3.3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5751"/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打开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用户也可以通过“文件”-&gt;“打开”命令打开之前保存的文件（.txt）或者用户自定义的文件（.txt）。</w:t>
      </w: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用户自定义的网文件格式应如图3.4所示，网文件内容因该包括库所数量、变迁数量、关联矩阵以及初始标记。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center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356485" cy="29476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一旦文件被选中，该软件将读取文本文件中的内容，并将其解析为库所数量、变迁数量、关联矩阵以及初始标记。解析后，软件将自动加载数据，将库所数量、变迁数量、关联矩阵以及初始标记的信息在界面中显示</w:t>
      </w: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（如图3.5）</w:t>
      </w: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，以方便用户查看和编辑。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230370" cy="3132455"/>
            <wp:effectExtent l="0" t="0" r="11430" b="444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需要特别说明的是，在分析Petri网模型时，库所的的下标是从1到m（m为库所数量），变迁的下标是从1到n（n为变迁数量）。以下测试数据均采用图3.4的输入数据。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987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.2结构特性分析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T-invariant和P-invariant是Petri模型的两个重要的结构特性且这两个属性均可以由状态方程获得，用户可以点击“结构特性”-&gt;“T-invariant”或“P-invariant”对Petri网模型进行结构分析。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486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.2.1 T-invariant分析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T-invariant 是与变迁（transitions）相关的特性。一个 T-invariant 是一个与变迁（即变迁的启用条件）相关的线性方程组。在 T-invariant 分析中，Petri 网软件会计算并显示所有满足不变性条件的 T-invariant。这些 T-invariant 可以帮助用户了解 Petri 网的结构特点，例如系统的可达性、死锁情况等。</w:t>
      </w:r>
      <w:r>
        <w:rPr>
          <w:rFonts w:hint="eastAsia" w:cs="Times New Roman" w:eastAsia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一个测试结果如图3.6所示，这表明图3.4的网模型有两个T-invariant，分别是</w:t>
      </w:r>
      <w:r>
        <w:rPr>
          <w:rFonts w:hint="eastAsia" w:cs="Times New Roman" w:eastAsiaTheme="minorEastAsia"/>
          <w:i w:val="0"/>
          <w:caps w:val="0"/>
          <w:color w:val="333333"/>
          <w:spacing w:val="0"/>
          <w:position w:val="-12"/>
          <w:sz w:val="21"/>
          <w:szCs w:val="21"/>
          <w:shd w:val="clear" w:color="auto" w:fill="auto"/>
          <w:lang w:val="en-US" w:eastAsia="zh-CN"/>
        </w:rPr>
        <w:object>
          <v:shape id="_x0000_i1025" o:spt="75" type="#_x0000_t75" style="height:18pt;width:8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10">
            <o:LockedField>false</o:LockedField>
          </o:OLEObject>
        </w:object>
      </w:r>
      <w:r>
        <w:rPr>
          <w:rFonts w:hint="eastAsia" w:cs="Times New Roman" w:eastAsia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和</w:t>
      </w:r>
      <w:r>
        <w:rPr>
          <w:rFonts w:hint="eastAsia" w:cs="Times New Roman" w:eastAsiaTheme="minorEastAsia"/>
          <w:i w:val="0"/>
          <w:caps w:val="0"/>
          <w:color w:val="333333"/>
          <w:spacing w:val="0"/>
          <w:position w:val="-12"/>
          <w:sz w:val="21"/>
          <w:szCs w:val="21"/>
          <w:shd w:val="clear" w:color="auto" w:fill="auto"/>
          <w:lang w:val="en-US" w:eastAsia="zh-CN"/>
        </w:rPr>
        <w:object>
          <v:shape id="_x0000_i1026" o:spt="75" type="#_x0000_t75" style="height:18pt;width:8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12">
            <o:LockedField>false</o:LockedField>
          </o:OLEObject>
        </w:object>
      </w:r>
      <w:r>
        <w:rPr>
          <w:rFonts w:hint="eastAsia" w:cs="Times New Roman" w:eastAsiaTheme="minorEastAsia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679950" cy="1346200"/>
            <wp:effectExtent l="0" t="0" r="635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图3.6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4627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.2.2 P-invariant分析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firstLine="42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P-invariant 是 Petri 网的一个属性，当且仅当线性方程组的解可以保持库所标记的总数量不变。在 P-invariant 分析中，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该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软件会计算并显示所有满足不变性条件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P-invariant。这些 P-invariant 可以帮助用户了解 Petri 网的结构特点，例如系统的稳定性、进程间的资源分配等。</w:t>
      </w:r>
      <w:r>
        <w:rPr>
          <w:rFonts w:hint="eastAsia" w:cs="Times New Roman" w:eastAsia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一个测试结果如图3.7所示。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893820" cy="1532890"/>
            <wp:effectExtent l="0" t="0" r="5080" b="381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图3.7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4364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.3信标计算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shd w:val="clear" w:color="auto" w:fill="auto"/>
          <w:lang w:val="en-US" w:eastAsia="zh-CN"/>
        </w:rPr>
        <w:t>信标在Petri网的死锁分析以及活性分析中尤为重要，因为</w:t>
      </w:r>
      <w:r>
        <w:rPr>
          <w:rFonts w:hint="default" w:ascii="Times New Roman" w:hAnsi="Times New Roman" w:eastAsia="宋体" w:cs="Times New Roman"/>
          <w:sz w:val="21"/>
          <w:szCs w:val="21"/>
        </w:rPr>
        <w:t>一个信标一旦在某标识下被清空，则在该标识的所有后续标识下此信标总是被清空的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8064"/>
      <w:r>
        <w:rPr>
          <w:rFonts w:hint="eastAsia"/>
          <w:lang w:val="en-US" w:eastAsia="zh-CN"/>
        </w:rPr>
        <w:t>3.3.1信标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用户可以点击“信标分析”-&gt;“信标”计算Petri网模型的所有信标。如图3.8所示。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673600" cy="3460750"/>
            <wp:effectExtent l="0" t="0" r="0" b="635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6428"/>
      <w:r>
        <w:rPr>
          <w:rFonts w:hint="eastAsia"/>
          <w:lang w:val="en-US" w:eastAsia="zh-CN"/>
        </w:rPr>
        <w:t>3.3.2极小信标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用户可以点击“信标分析”-&gt;“极小信标”计算Petri网模型的所有极小信标（如图3.9）。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673600" cy="3460750"/>
            <wp:effectExtent l="0" t="0" r="0" b="635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0289"/>
      <w:r>
        <w:rPr>
          <w:rFonts w:hint="eastAsia"/>
          <w:lang w:val="en-US" w:eastAsia="zh-CN"/>
        </w:rPr>
        <w:t>3.3.3严格极小信标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用户可以点击“信标分析”-&gt;“严格极小信标”计算Petri网模型的所有严格极小信标。如图3.10所示。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673600" cy="3460750"/>
            <wp:effectExtent l="0" t="0" r="0" b="635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7444"/>
      <w:r>
        <w:rPr>
          <w:rFonts w:hint="eastAsia"/>
          <w:lang w:val="en-US" w:eastAsia="zh-CN"/>
        </w:rPr>
        <w:t>3.3.4基本信标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用户可以点击“信标分析”-&gt;“基本信标”计算Petri网模型的所有基本信标。如图3.11所示。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126740" cy="2417445"/>
            <wp:effectExtent l="0" t="0" r="10160" b="825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658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.4状态空间分析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1308"/>
      <w:r>
        <w:rPr>
          <w:rFonts w:hint="eastAsia"/>
          <w:lang w:val="en-US" w:eastAsia="zh-CN"/>
        </w:rPr>
        <w:t>3.4.1可达图计算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用户可以点击“状态空间分析”-&gt;“可达图计算”计算Petri网模型的所有可达标记。软件以可视化的形式显示出所有的可达标记以及死锁标记（如图3.12所示）。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673600" cy="3613150"/>
            <wp:effectExtent l="0" t="0" r="0" b="635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42"/>
      <w:r>
        <w:rPr>
          <w:rFonts w:hint="eastAsia"/>
          <w:lang w:val="en-US" w:eastAsia="zh-CN"/>
        </w:rPr>
        <w:t>3.4.2标识分类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用户可以点击“状态空间分析”-&gt;“标记分类”对Petri网模型的所有可达标记分类。标识分类主要是区分出好标记、危险标记、坏标记以及死锁标记（如图3.13所示）。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039870" cy="3661410"/>
            <wp:effectExtent l="0" t="0" r="11430" b="8890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图3.13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8933"/>
      <w:r>
        <w:rPr>
          <w:rFonts w:hint="eastAsia"/>
          <w:lang w:val="en-US" w:eastAsia="zh-CN"/>
        </w:rPr>
        <w:t>3.4.3 MTSI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用户可以点击“状态空间分析”-&gt;“标记分类”计算Petri网模型的所有MTSI。软件以可视化的形式显示出MTSI个数以及所有的MTSI（如图3.14所示。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80" w:firstLineChars="20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672840" cy="3328670"/>
            <wp:effectExtent l="0" t="0" r="10160" b="11430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图3.14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2756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.5死锁预防</w:t>
      </w:r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3781"/>
      <w:r>
        <w:rPr>
          <w:rFonts w:hint="eastAsia"/>
          <w:lang w:val="en-US" w:eastAsia="zh-CN"/>
        </w:rPr>
        <w:t>3.5.1基于SMS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死锁预防”-&gt;“基于SMS”对Petri网模型采用基于严格极小信标的死锁预防策略进行死锁预防。软件会显示出受控Petri网模型的关联矩阵以及初始标记（如图3.15所示），其中关联矩阵的前m行是原始Petri网模型的关联矩阵，第m+1行到最后一行是需要添加的控制库所及其相关的弧；初始标记的前m列是原始Petri网模型的初始标记，第m+1列到最后一列是需要添加的控制库所的初始标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673600" cy="4235450"/>
            <wp:effectExtent l="0" t="0" r="0" b="6350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图3.15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3894"/>
      <w:r>
        <w:rPr>
          <w:rFonts w:hint="eastAsia"/>
          <w:lang w:val="en-US" w:eastAsia="zh-CN"/>
        </w:rPr>
        <w:t>3.5.2基于ESMS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死锁预防”-&gt;“基于ESMS”对Petri网模型采用基于基本信标的死锁预防策略进行死锁预防。软件会显示出受控Petri网模型的关联矩阵以及初始标记，其中关联矩阵的前m行是原始Petri网模型的关联矩阵，第m+1行到最后一行是需要添加的控制库所及其相关的弧；初始标记的前m列是原始Petri网模型的初始标记，第m+1列到最后一列是需要添加的控制库所的初始标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由于采用基本信标预防死锁的方法依赖于原始Petri网模型的初始标记的配置，因此在某些情况下，所输入的Petri网模型可能不适合采用基本信标预防死锁的方法。此时软件会弹出一个提示框（如图3.16所示），以提醒用户该模型不适合采用基本信标预防死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3747770" cy="3396615"/>
            <wp:effectExtent l="0" t="0" r="11430" b="6985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图3.16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4520"/>
      <w:r>
        <w:rPr>
          <w:rFonts w:hint="eastAsia"/>
          <w:lang w:val="en-US" w:eastAsia="zh-CN"/>
        </w:rPr>
        <w:t>3.6 TBDP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24725"/>
      <w:r>
        <w:rPr>
          <w:rFonts w:hint="eastAsia"/>
          <w:lang w:val="en-US" w:eastAsia="zh-CN"/>
        </w:rPr>
        <w:t>3.6.1部分可达图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both"/>
        <w:textAlignment w:val="auto"/>
        <w:rPr>
          <w:rFonts w:hint="default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用户可以点击“TBDP”-&gt;“部分可达图”求出影响时间Petri网模型中死锁的部分可达图(如图3.17所示)。</w:t>
      </w:r>
    </w:p>
    <w:p>
      <w:pPr>
        <w:jc w:val="center"/>
      </w:pPr>
      <w:r>
        <w:drawing>
          <wp:inline distT="0" distB="0" distL="114300" distR="114300">
            <wp:extent cx="4069080" cy="2912110"/>
            <wp:effectExtent l="0" t="0" r="7620" b="8890"/>
            <wp:docPr id="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eastAsia" w:cs="Times New Roman"/>
          <w:sz w:val="18"/>
          <w:szCs w:val="18"/>
          <w:shd w:val="clear" w:color="auto" w:fill="auto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图3.17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1009"/>
      <w:r>
        <w:rPr>
          <w:rFonts w:hint="eastAsia"/>
          <w:lang w:val="en-US" w:eastAsia="zh-CN"/>
        </w:rPr>
        <w:t>3.6.2死锁预防条件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200"/>
        <w:jc w:val="left"/>
        <w:textAlignment w:val="auto"/>
        <w:rPr>
          <w:rFonts w:hint="default" w:cs="Times New Roman"/>
          <w:sz w:val="18"/>
          <w:szCs w:val="18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用户可以点击“TBDP”-&gt;“死锁预防条件”获取时间Petri网模型中的所有死锁预防条件(如图3.18所示)，这些死锁预防条件是基于部分可达图获取的。</w:t>
      </w:r>
    </w:p>
    <w:p>
      <w:pPr>
        <w:pStyle w:val="3"/>
        <w:bidi w:val="0"/>
        <w:jc w:val="center"/>
      </w:pPr>
      <w:bookmarkStart w:id="29" w:name="_Toc22224"/>
      <w:r>
        <w:drawing>
          <wp:inline distT="0" distB="0" distL="114300" distR="114300">
            <wp:extent cx="4382770" cy="3136900"/>
            <wp:effectExtent l="0" t="0" r="1143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 w:cs="Times New Roman"/>
          <w:sz w:val="18"/>
          <w:szCs w:val="18"/>
          <w:shd w:val="clear" w:color="auto" w:fill="auto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图3.18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24602"/>
      <w:r>
        <w:rPr>
          <w:rFonts w:hint="eastAsia"/>
          <w:lang w:val="en-US" w:eastAsia="zh-CN"/>
        </w:rPr>
        <w:t>3.6.2 SRG</w:t>
      </w:r>
      <w:bookmarkEnd w:id="30"/>
    </w:p>
    <w:p>
      <w:pPr>
        <w:ind w:firstLine="420" w:firstLineChars="200"/>
        <w:rPr>
          <w:rFonts w:hint="eastAsia" w:cs="Times New Roman"/>
          <w:sz w:val="21"/>
          <w:szCs w:val="21"/>
          <w:shd w:val="clear" w:color="auto" w:fill="auto"/>
          <w:lang w:val="en-US" w:eastAsia="zh-CN"/>
        </w:rPr>
      </w:pPr>
      <w:r>
        <w:rPr>
          <w:rFonts w:hint="eastAsia" w:cs="Times New Roman"/>
          <w:sz w:val="21"/>
          <w:szCs w:val="21"/>
          <w:shd w:val="clear" w:color="auto" w:fill="auto"/>
          <w:lang w:val="en-US" w:eastAsia="zh-CN"/>
        </w:rPr>
        <w:t>用户可以点击“TBDP”-&gt;“SRG”计算Petri网模型的符号可达图(如图3.19所示)。</w:t>
      </w:r>
    </w:p>
    <w:p>
      <w:pPr>
        <w:ind w:firstLine="480" w:firstLineChars="200"/>
      </w:pPr>
      <w:r>
        <w:drawing>
          <wp:inline distT="0" distB="0" distL="114300" distR="114300">
            <wp:extent cx="4576445" cy="3275330"/>
            <wp:effectExtent l="0" t="0" r="8255" b="1270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图3.19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1573"/>
      <w:r>
        <w:rPr>
          <w:rFonts w:hint="eastAsia"/>
          <w:lang w:val="en-US" w:eastAsia="zh-CN"/>
        </w:rPr>
        <w:t>3.7其他说明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因为结构分析、信标分析等都是在有模型输入的情况下进行的，因此，该软件提供了输入检测机制。如果用户没有输入网模型，软件会弹出一个提示框（如图3.20所示），提醒用户先打开一个文件。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525010" cy="3238500"/>
            <wp:effectExtent l="0" t="0" r="8890" b="0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both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用户可以点击软件右上角的“×”关闭软件，软件会弹出一个提示框（如图3.21所示），再一次跟用户确认是否需要关闭软件。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420" w:firstLineChars="0"/>
        <w:jc w:val="center"/>
        <w:textAlignment w:val="auto"/>
        <w:rPr>
          <w:sz w:val="21"/>
          <w:szCs w:val="21"/>
        </w:rPr>
      </w:pPr>
      <w:r>
        <w:drawing>
          <wp:inline distT="0" distB="0" distL="114300" distR="114300">
            <wp:extent cx="4596130" cy="3289300"/>
            <wp:effectExtent l="0" t="0" r="1270" b="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8" w:lineRule="auto"/>
        <w:ind w:firstLine="36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cs="Times New Roman"/>
          <w:sz w:val="18"/>
          <w:szCs w:val="18"/>
          <w:shd w:val="clear" w:color="auto" w:fill="auto"/>
          <w:lang w:val="en-US" w:eastAsia="zh-CN"/>
        </w:rPr>
        <w:t>图3.21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eastAsia="宋体" w:cs="Times New Roman"/>
          <w:shd w:val="clear" w:color="auto" w:fill="auto"/>
          <w:lang w:val="en-US" w:eastAsia="zh-CN"/>
        </w:rPr>
      </w:pPr>
      <w:bookmarkStart w:id="32" w:name="_GoBack"/>
      <w:bookmarkEnd w:id="32"/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1F00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dotted" w:color="auto" w:sz="4" w:space="1"/>
      </w:pBdr>
      <w:jc w:val="center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q3aO4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hRDOFHZ1+fD/9fDj9+kagA0Ct9TP4bSw8Q/fOdFj0oPdQxrm7&#10;yql4YyICO6A+XuAVXSA8Bk0n02kOE4dteCB/9hhunQ/vhVEkCgV12F+ClR3WPvSug0usps2qkTLt&#10;UGrSFvTq9d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q3aO4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>13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一种用于Petri网模型分析的软件工具V1.0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B4359"/>
    <w:multiLevelType w:val="singleLevel"/>
    <w:tmpl w:val="8ACB4359"/>
    <w:lvl w:ilvl="0" w:tentative="0">
      <w:start w:val="20"/>
      <w:numFmt w:val="upperLetter"/>
      <w:suff w:val="nothing"/>
      <w:lvlText w:val="%1-"/>
      <w:lvlJc w:val="left"/>
    </w:lvl>
  </w:abstractNum>
  <w:abstractNum w:abstractNumId="1">
    <w:nsid w:val="B1C77097"/>
    <w:multiLevelType w:val="singleLevel"/>
    <w:tmpl w:val="B1C770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D46B562"/>
    <w:multiLevelType w:val="singleLevel"/>
    <w:tmpl w:val="2D46B562"/>
    <w:lvl w:ilvl="0" w:tentative="0">
      <w:start w:val="1"/>
      <w:numFmt w:val="decimal"/>
      <w:pStyle w:val="19"/>
      <w:lvlText w:val="%1"/>
      <w:lvlJc w:val="right"/>
      <w:pPr>
        <w:tabs>
          <w:tab w:val="left" w:pos="420"/>
        </w:tabs>
        <w:ind w:left="425" w:leftChars="0" w:hanging="425" w:firstLineChars="0"/>
      </w:pPr>
      <w:rPr>
        <w:rFonts w:hint="default" w:ascii="Times New Roman" w:hAnsi="Times New Roman" w:eastAsia="宋体" w:cs="宋体"/>
      </w:rPr>
    </w:lvl>
  </w:abstractNum>
  <w:abstractNum w:abstractNumId="3">
    <w:nsid w:val="7F31E75D"/>
    <w:multiLevelType w:val="singleLevel"/>
    <w:tmpl w:val="7F31E75D"/>
    <w:lvl w:ilvl="0" w:tentative="0">
      <w:start w:val="16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F5E72"/>
    <w:rsid w:val="014F6744"/>
    <w:rsid w:val="01806C12"/>
    <w:rsid w:val="02650728"/>
    <w:rsid w:val="03BE4735"/>
    <w:rsid w:val="03D123A6"/>
    <w:rsid w:val="04026EC5"/>
    <w:rsid w:val="04176644"/>
    <w:rsid w:val="04C734EF"/>
    <w:rsid w:val="05203D01"/>
    <w:rsid w:val="053335CF"/>
    <w:rsid w:val="05F14B6E"/>
    <w:rsid w:val="0623010D"/>
    <w:rsid w:val="065129DA"/>
    <w:rsid w:val="06543641"/>
    <w:rsid w:val="06C26BAC"/>
    <w:rsid w:val="06CC2498"/>
    <w:rsid w:val="07B50986"/>
    <w:rsid w:val="07BD6AFE"/>
    <w:rsid w:val="07E766A2"/>
    <w:rsid w:val="0805331A"/>
    <w:rsid w:val="087F4850"/>
    <w:rsid w:val="0898477C"/>
    <w:rsid w:val="090E637B"/>
    <w:rsid w:val="093F0F36"/>
    <w:rsid w:val="09832440"/>
    <w:rsid w:val="09C338FB"/>
    <w:rsid w:val="09F7063C"/>
    <w:rsid w:val="0A5D4FF7"/>
    <w:rsid w:val="0B2252DC"/>
    <w:rsid w:val="0BD116DE"/>
    <w:rsid w:val="0CD206F6"/>
    <w:rsid w:val="0CF62FBC"/>
    <w:rsid w:val="0D1916C2"/>
    <w:rsid w:val="0D496180"/>
    <w:rsid w:val="0DA600CE"/>
    <w:rsid w:val="0DE92318"/>
    <w:rsid w:val="0E984F6C"/>
    <w:rsid w:val="0EE9503B"/>
    <w:rsid w:val="0F4B26E0"/>
    <w:rsid w:val="0F7927BC"/>
    <w:rsid w:val="10082744"/>
    <w:rsid w:val="103548CF"/>
    <w:rsid w:val="103902F8"/>
    <w:rsid w:val="10746FE5"/>
    <w:rsid w:val="10A67906"/>
    <w:rsid w:val="10DD3370"/>
    <w:rsid w:val="10E33F9B"/>
    <w:rsid w:val="112D115A"/>
    <w:rsid w:val="11302238"/>
    <w:rsid w:val="113E6EF4"/>
    <w:rsid w:val="115044B3"/>
    <w:rsid w:val="11FF3D8A"/>
    <w:rsid w:val="120537AF"/>
    <w:rsid w:val="12961EE2"/>
    <w:rsid w:val="12C81FCE"/>
    <w:rsid w:val="13B53AB6"/>
    <w:rsid w:val="144B2C98"/>
    <w:rsid w:val="14AD274C"/>
    <w:rsid w:val="14D554F7"/>
    <w:rsid w:val="150D5F1D"/>
    <w:rsid w:val="15536C09"/>
    <w:rsid w:val="156529A9"/>
    <w:rsid w:val="15F2092F"/>
    <w:rsid w:val="174D1DE6"/>
    <w:rsid w:val="17AD753E"/>
    <w:rsid w:val="17BB53DF"/>
    <w:rsid w:val="17E12757"/>
    <w:rsid w:val="187F19BC"/>
    <w:rsid w:val="189733B7"/>
    <w:rsid w:val="18A9267A"/>
    <w:rsid w:val="19451326"/>
    <w:rsid w:val="19A50C68"/>
    <w:rsid w:val="19FE5A59"/>
    <w:rsid w:val="1A0938DB"/>
    <w:rsid w:val="1AB2796A"/>
    <w:rsid w:val="1B412344"/>
    <w:rsid w:val="1C4E2FEB"/>
    <w:rsid w:val="1CB56762"/>
    <w:rsid w:val="1CF2499F"/>
    <w:rsid w:val="1D0F4335"/>
    <w:rsid w:val="1D220E6F"/>
    <w:rsid w:val="1D2822C8"/>
    <w:rsid w:val="1D3E4940"/>
    <w:rsid w:val="1D453498"/>
    <w:rsid w:val="1D693511"/>
    <w:rsid w:val="1E934C19"/>
    <w:rsid w:val="1EC36669"/>
    <w:rsid w:val="1EFB4818"/>
    <w:rsid w:val="1F116311"/>
    <w:rsid w:val="1F2816CA"/>
    <w:rsid w:val="1F406CBC"/>
    <w:rsid w:val="204357A4"/>
    <w:rsid w:val="208F4C4A"/>
    <w:rsid w:val="20AB4450"/>
    <w:rsid w:val="21B33138"/>
    <w:rsid w:val="21B4798B"/>
    <w:rsid w:val="22D76DE8"/>
    <w:rsid w:val="23375E87"/>
    <w:rsid w:val="23634CF0"/>
    <w:rsid w:val="23AA301F"/>
    <w:rsid w:val="23C00853"/>
    <w:rsid w:val="23C80D40"/>
    <w:rsid w:val="23F3166B"/>
    <w:rsid w:val="24EB3ADF"/>
    <w:rsid w:val="25571BC4"/>
    <w:rsid w:val="255B2864"/>
    <w:rsid w:val="25C153AE"/>
    <w:rsid w:val="263A769F"/>
    <w:rsid w:val="2646170E"/>
    <w:rsid w:val="26E52AD8"/>
    <w:rsid w:val="27D8560E"/>
    <w:rsid w:val="28984501"/>
    <w:rsid w:val="295B564B"/>
    <w:rsid w:val="29883FB5"/>
    <w:rsid w:val="2A4A5E92"/>
    <w:rsid w:val="2A633305"/>
    <w:rsid w:val="2A8E6137"/>
    <w:rsid w:val="2B216F5E"/>
    <w:rsid w:val="2BAF35FB"/>
    <w:rsid w:val="2BDB5325"/>
    <w:rsid w:val="2C1C54AF"/>
    <w:rsid w:val="2C6F606C"/>
    <w:rsid w:val="2D126D2C"/>
    <w:rsid w:val="2D452504"/>
    <w:rsid w:val="2D7A1490"/>
    <w:rsid w:val="2E581464"/>
    <w:rsid w:val="2EAA1916"/>
    <w:rsid w:val="30481988"/>
    <w:rsid w:val="30513274"/>
    <w:rsid w:val="30655C65"/>
    <w:rsid w:val="309C25C9"/>
    <w:rsid w:val="30C31E49"/>
    <w:rsid w:val="30C64408"/>
    <w:rsid w:val="31046981"/>
    <w:rsid w:val="3143150F"/>
    <w:rsid w:val="31C543BE"/>
    <w:rsid w:val="323D4F84"/>
    <w:rsid w:val="32924B81"/>
    <w:rsid w:val="333235FC"/>
    <w:rsid w:val="333967CD"/>
    <w:rsid w:val="33572EF2"/>
    <w:rsid w:val="33C2512E"/>
    <w:rsid w:val="33EF4AD6"/>
    <w:rsid w:val="33EF5E1A"/>
    <w:rsid w:val="342D50A6"/>
    <w:rsid w:val="34B92DE0"/>
    <w:rsid w:val="3623716F"/>
    <w:rsid w:val="362D4366"/>
    <w:rsid w:val="362E312D"/>
    <w:rsid w:val="366A129A"/>
    <w:rsid w:val="36A821DA"/>
    <w:rsid w:val="37CE34F8"/>
    <w:rsid w:val="38853CBC"/>
    <w:rsid w:val="38993D4C"/>
    <w:rsid w:val="38C829DF"/>
    <w:rsid w:val="38E83A9D"/>
    <w:rsid w:val="39536186"/>
    <w:rsid w:val="39CF2A0B"/>
    <w:rsid w:val="39D04F2B"/>
    <w:rsid w:val="39E94CB6"/>
    <w:rsid w:val="3A3D62EE"/>
    <w:rsid w:val="3A5320BE"/>
    <w:rsid w:val="3AE37797"/>
    <w:rsid w:val="3B091779"/>
    <w:rsid w:val="3B712909"/>
    <w:rsid w:val="3BC1339C"/>
    <w:rsid w:val="3CB23152"/>
    <w:rsid w:val="3CB679C2"/>
    <w:rsid w:val="3D934113"/>
    <w:rsid w:val="404950CE"/>
    <w:rsid w:val="40667434"/>
    <w:rsid w:val="40872745"/>
    <w:rsid w:val="420F5865"/>
    <w:rsid w:val="440B0F92"/>
    <w:rsid w:val="44F447D8"/>
    <w:rsid w:val="450A5152"/>
    <w:rsid w:val="455F5E72"/>
    <w:rsid w:val="45A34C3F"/>
    <w:rsid w:val="45FC5ACA"/>
    <w:rsid w:val="4643648F"/>
    <w:rsid w:val="46B255B2"/>
    <w:rsid w:val="47B228CE"/>
    <w:rsid w:val="480A40E4"/>
    <w:rsid w:val="482D417E"/>
    <w:rsid w:val="490D4F4D"/>
    <w:rsid w:val="49382A2E"/>
    <w:rsid w:val="494D203B"/>
    <w:rsid w:val="4A872CB9"/>
    <w:rsid w:val="4B4307EB"/>
    <w:rsid w:val="4B8658CE"/>
    <w:rsid w:val="4BAE7294"/>
    <w:rsid w:val="4BDF6F58"/>
    <w:rsid w:val="4C182853"/>
    <w:rsid w:val="4C4326DC"/>
    <w:rsid w:val="4C452BEB"/>
    <w:rsid w:val="4C9002D0"/>
    <w:rsid w:val="4C997D3D"/>
    <w:rsid w:val="4C9F2154"/>
    <w:rsid w:val="4CF50B48"/>
    <w:rsid w:val="4D242CC4"/>
    <w:rsid w:val="4E330FAE"/>
    <w:rsid w:val="4E5025C7"/>
    <w:rsid w:val="4EE04F3B"/>
    <w:rsid w:val="4EE46A87"/>
    <w:rsid w:val="4EEF0B06"/>
    <w:rsid w:val="4F082DD2"/>
    <w:rsid w:val="50987316"/>
    <w:rsid w:val="50AA74F8"/>
    <w:rsid w:val="50BB6EB9"/>
    <w:rsid w:val="50E531D2"/>
    <w:rsid w:val="51241898"/>
    <w:rsid w:val="51412B07"/>
    <w:rsid w:val="51AB7018"/>
    <w:rsid w:val="51AC310A"/>
    <w:rsid w:val="51C16394"/>
    <w:rsid w:val="51F33FF1"/>
    <w:rsid w:val="521D4D87"/>
    <w:rsid w:val="527B2548"/>
    <w:rsid w:val="53787518"/>
    <w:rsid w:val="54871D3E"/>
    <w:rsid w:val="54925D6E"/>
    <w:rsid w:val="54A12F4A"/>
    <w:rsid w:val="54BB51C7"/>
    <w:rsid w:val="54F01CD2"/>
    <w:rsid w:val="55DE2291"/>
    <w:rsid w:val="56C93A79"/>
    <w:rsid w:val="56D50AB6"/>
    <w:rsid w:val="57212509"/>
    <w:rsid w:val="5776321B"/>
    <w:rsid w:val="57766145"/>
    <w:rsid w:val="57A53671"/>
    <w:rsid w:val="58B06B35"/>
    <w:rsid w:val="58B7771F"/>
    <w:rsid w:val="59C079EF"/>
    <w:rsid w:val="5A456AC0"/>
    <w:rsid w:val="5A571358"/>
    <w:rsid w:val="5A740EE5"/>
    <w:rsid w:val="5A8C6F55"/>
    <w:rsid w:val="5A9E6AF5"/>
    <w:rsid w:val="5AAF2978"/>
    <w:rsid w:val="5B37225B"/>
    <w:rsid w:val="5B38293D"/>
    <w:rsid w:val="5B3E623D"/>
    <w:rsid w:val="5B4B0BDC"/>
    <w:rsid w:val="5DB37548"/>
    <w:rsid w:val="5E807C0C"/>
    <w:rsid w:val="5E977A71"/>
    <w:rsid w:val="5FB35F28"/>
    <w:rsid w:val="5FCE3614"/>
    <w:rsid w:val="5FDC7EC7"/>
    <w:rsid w:val="61076B95"/>
    <w:rsid w:val="61760215"/>
    <w:rsid w:val="61F9573F"/>
    <w:rsid w:val="623B4934"/>
    <w:rsid w:val="629C20F7"/>
    <w:rsid w:val="62A3304B"/>
    <w:rsid w:val="62ED6DCA"/>
    <w:rsid w:val="62F53CB9"/>
    <w:rsid w:val="62FE6A1A"/>
    <w:rsid w:val="63392EB0"/>
    <w:rsid w:val="63B3395D"/>
    <w:rsid w:val="63CC4C50"/>
    <w:rsid w:val="63F261E7"/>
    <w:rsid w:val="6419620A"/>
    <w:rsid w:val="645B68B6"/>
    <w:rsid w:val="64807C89"/>
    <w:rsid w:val="64AD1CEC"/>
    <w:rsid w:val="64D43E84"/>
    <w:rsid w:val="64DA0AAD"/>
    <w:rsid w:val="65590C28"/>
    <w:rsid w:val="659C290A"/>
    <w:rsid w:val="660862C6"/>
    <w:rsid w:val="663171ED"/>
    <w:rsid w:val="668B6966"/>
    <w:rsid w:val="67011EF2"/>
    <w:rsid w:val="67764737"/>
    <w:rsid w:val="678A4349"/>
    <w:rsid w:val="679E4ECA"/>
    <w:rsid w:val="67C022DE"/>
    <w:rsid w:val="67FB2422"/>
    <w:rsid w:val="68761FE1"/>
    <w:rsid w:val="6A3B6DD7"/>
    <w:rsid w:val="6A625CF1"/>
    <w:rsid w:val="6A680266"/>
    <w:rsid w:val="6AF51A88"/>
    <w:rsid w:val="6C20786D"/>
    <w:rsid w:val="6CD4394C"/>
    <w:rsid w:val="6D127329"/>
    <w:rsid w:val="6D185645"/>
    <w:rsid w:val="6D2A0501"/>
    <w:rsid w:val="6D2E066A"/>
    <w:rsid w:val="6DF42A88"/>
    <w:rsid w:val="6ECB50AD"/>
    <w:rsid w:val="6F0B5A54"/>
    <w:rsid w:val="706B30FB"/>
    <w:rsid w:val="70D0040C"/>
    <w:rsid w:val="70D127A3"/>
    <w:rsid w:val="716968DE"/>
    <w:rsid w:val="71740ABB"/>
    <w:rsid w:val="71EA5B40"/>
    <w:rsid w:val="729F1BB5"/>
    <w:rsid w:val="72C76B03"/>
    <w:rsid w:val="73000839"/>
    <w:rsid w:val="73A53593"/>
    <w:rsid w:val="73CC38DD"/>
    <w:rsid w:val="7460265F"/>
    <w:rsid w:val="74A701C7"/>
    <w:rsid w:val="74EE3956"/>
    <w:rsid w:val="757C3CD1"/>
    <w:rsid w:val="759A2E58"/>
    <w:rsid w:val="75B8116A"/>
    <w:rsid w:val="77515D1E"/>
    <w:rsid w:val="775C4FFE"/>
    <w:rsid w:val="77DD37C7"/>
    <w:rsid w:val="77F553AB"/>
    <w:rsid w:val="792C61C2"/>
    <w:rsid w:val="79402DFD"/>
    <w:rsid w:val="79FB7297"/>
    <w:rsid w:val="7A2B757D"/>
    <w:rsid w:val="7B13019F"/>
    <w:rsid w:val="7B172452"/>
    <w:rsid w:val="7BAF3040"/>
    <w:rsid w:val="7C2B40D9"/>
    <w:rsid w:val="7C3731F7"/>
    <w:rsid w:val="7C780D7C"/>
    <w:rsid w:val="7CBD74D8"/>
    <w:rsid w:val="7D113215"/>
    <w:rsid w:val="7D140672"/>
    <w:rsid w:val="7E0D43E8"/>
    <w:rsid w:val="7E591054"/>
    <w:rsid w:val="7EA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Autospacing="0" w:line="240" w:lineRule="auto"/>
      <w:outlineLvl w:val="0"/>
    </w:pPr>
    <w:rPr>
      <w:rFonts w:eastAsia="黑体" w:cs="Times New Roman"/>
      <w:kern w:val="28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rFonts w:eastAsiaTheme="minorEastAsia"/>
      <w:b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3">
    <w:name w:val="公式编号"/>
    <w:basedOn w:val="1"/>
    <w:qFormat/>
    <w:uiPriority w:val="0"/>
    <w:pPr>
      <w:tabs>
        <w:tab w:val="left" w:pos="3948"/>
      </w:tabs>
      <w:spacing w:line="360" w:lineRule="auto"/>
    </w:pPr>
    <w:rPr>
      <w:rFonts w:asciiTheme="minorAscii" w:hAnsiTheme="minorAscii"/>
      <w:sz w:val="24"/>
    </w:rPr>
  </w:style>
  <w:style w:type="paragraph" w:customStyle="1" w:styleId="14">
    <w:name w:val="公式排序"/>
    <w:basedOn w:val="1"/>
    <w:qFormat/>
    <w:uiPriority w:val="0"/>
    <w:pPr>
      <w:tabs>
        <w:tab w:val="center" w:pos="3948"/>
      </w:tabs>
      <w:snapToGrid w:val="0"/>
      <w:spacing w:line="360" w:lineRule="auto"/>
      <w:jc w:val="center"/>
    </w:pPr>
    <w:rPr>
      <w:rFonts w:eastAsia="宋体"/>
    </w:rPr>
  </w:style>
  <w:style w:type="paragraph" w:customStyle="1" w:styleId="15">
    <w:name w:val="图标"/>
    <w:basedOn w:val="1"/>
    <w:qFormat/>
    <w:uiPriority w:val="0"/>
    <w:pPr>
      <w:snapToGrid w:val="0"/>
      <w:jc w:val="center"/>
      <w:textAlignment w:val="center"/>
    </w:pPr>
    <w:rPr>
      <w:rFonts w:eastAsia="宋体" w:cs="Times New Roman"/>
      <w:sz w:val="21"/>
      <w:szCs w:val="21"/>
    </w:rPr>
  </w:style>
  <w:style w:type="paragraph" w:customStyle="1" w:styleId="16">
    <w:name w:val="1号标题"/>
    <w:basedOn w:val="1"/>
    <w:qFormat/>
    <w:uiPriority w:val="0"/>
    <w:pPr>
      <w:spacing w:before="240" w:after="240"/>
    </w:pPr>
    <w:rPr>
      <w:rFonts w:hint="eastAsia" w:eastAsia="黑体" w:cs="Times New Roman"/>
      <w:b/>
      <w:sz w:val="28"/>
      <w:szCs w:val="24"/>
      <w:lang w:val="en-US" w:eastAsia="zh-CN"/>
    </w:rPr>
  </w:style>
  <w:style w:type="paragraph" w:customStyle="1" w:styleId="17">
    <w:name w:val="样式1"/>
    <w:basedOn w:val="1"/>
    <w:qFormat/>
    <w:uiPriority w:val="0"/>
    <w:pPr>
      <w:spacing w:beforeLines="0" w:afterLines="0" w:line="350" w:lineRule="exact"/>
      <w:ind w:firstLine="480" w:firstLineChars="200"/>
      <w:jc w:val="left"/>
    </w:pPr>
    <w:rPr>
      <w:rFonts w:eastAsia="黑体" w:cs="Times New Roman"/>
      <w:sz w:val="21"/>
      <w:szCs w:val="24"/>
      <w:lang w:val="zh-CN"/>
    </w:rPr>
  </w:style>
  <w:style w:type="paragraph" w:customStyle="1" w:styleId="18">
    <w:name w:val="2号标题"/>
    <w:basedOn w:val="1"/>
    <w:qFormat/>
    <w:uiPriority w:val="0"/>
    <w:pPr>
      <w:spacing w:beforeLines="0" w:afterLines="0" w:line="240" w:lineRule="auto"/>
      <w:ind w:firstLine="0" w:firstLineChars="0"/>
      <w:jc w:val="left"/>
    </w:pPr>
    <w:rPr>
      <w:rFonts w:eastAsia="黑体" w:cs="Times New Roman"/>
      <w:b/>
      <w:sz w:val="21"/>
      <w:szCs w:val="24"/>
      <w:lang w:val="zh-CN"/>
    </w:rPr>
  </w:style>
  <w:style w:type="paragraph" w:customStyle="1" w:styleId="19">
    <w:name w:val="伪代码"/>
    <w:basedOn w:val="1"/>
    <w:qFormat/>
    <w:uiPriority w:val="0"/>
    <w:pPr>
      <w:numPr>
        <w:ilvl w:val="0"/>
        <w:numId w:val="1"/>
      </w:numPr>
      <w:spacing w:line="240" w:lineRule="auto"/>
      <w:ind w:left="480" w:leftChars="100" w:hanging="240" w:hangingChars="100"/>
      <w:textAlignment w:val="center"/>
    </w:pPr>
    <w:rPr>
      <w:rFonts w:cs="Times New Roman" w:eastAsiaTheme="minorEastAsia"/>
      <w:vertAlign w:val="baseline"/>
    </w:rPr>
  </w:style>
  <w:style w:type="paragraph" w:customStyle="1" w:styleId="20">
    <w:name w:val="样式 首行缩进:  2 字符1.2倍行距"/>
    <w:basedOn w:val="1"/>
    <w:qFormat/>
    <w:uiPriority w:val="0"/>
    <w:pPr>
      <w:spacing w:line="288" w:lineRule="auto"/>
    </w:pPr>
    <w:rPr>
      <w:rFonts w:cs="宋体"/>
      <w:szCs w:val="20"/>
    </w:rPr>
  </w:style>
  <w:style w:type="paragraph" w:customStyle="1" w:styleId="21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2024-03-22T02:02:00Z</dcterms:created>
  <dc:creator>Mr.</dc:creator>
  <cp:lastModifiedBy>Mr.</cp:lastModifiedBy>
  <dcterms:modified xsi:type="dcterms:W3CDTF">2024-05-21T08:59:42Z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AMWinEqns">
    <vt:bool>true</vt:bool>
  </property>
</Properties>
</file>