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Table 1: Corpus provenance: record counts at each pipeline stage.</w:t>
      </w:r>
    </w:p>
    <w:tbl>
      <w:tblPr>
        <w:tblStyle w:val="Table"/>
        <w:tblW w:type="auto" w:w="0"/>
        <w:tblLook w:firstRow="1" w:lastRow="0" w:firstColumn="0" w:lastColumn="0" w:noHBand="0" w:noVBand="0" w:val="0020"/>
        <w:jc w:val="start"/>
        <w:tblCaption w:val="Table 1: 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pPr>
      <w:r>
        <w:t xml:space="preserve">Table 2: Model selection ranking: 5-fold GroupKFold cross-validated macro-F1.</w:t>
      </w:r>
    </w:p>
    <w:tbl>
      <w:tblPr>
        <w:tblStyle w:val="Table"/>
        <w:tblW w:type="auto" w:w="0"/>
        <w:tblLook w:firstRow="1" w:lastRow="0" w:firstColumn="0" w:lastColumn="0" w:noHBand="0" w:noVBand="0" w:val="0020"/>
        <w:jc w:val="start"/>
        <w:tblCaption w:val="Table 2: 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Table 3: 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pPr>
      <w:r>
        <w:t xml:space="preserve">Table 4: Reference values for the semantic-gap and coverage-predictor families (per SDG).</w:t>
      </w:r>
    </w:p>
    <w:tbl>
      <w:tblPr>
        <w:tblStyle w:val="Table"/>
        <w:tblW w:type="auto" w:w="0"/>
        <w:tblLook w:firstRow="1" w:lastRow="0" w:firstColumn="0" w:lastColumn="0" w:noHBand="0" w:noVBand="0" w:val="0020"/>
        <w:jc w:val="start"/>
        <w:tblCaption w:val="Table 4: 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Table 5: 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Table 6: 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start"/>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pPr>
      <w:r>
        <w:t xml:space="preserve">Table 8: SDG 4 lexical artefact audit.</w:t>
      </w:r>
    </w:p>
    <w:tbl>
      <w:tblPr>
        <w:tblStyle w:val="Table"/>
        <w:tblW w:type="auto" w:w="0"/>
        <w:tblLook w:firstRow="0" w:lastRow="0" w:firstColumn="0" w:lastColumn="0" w:noHBand="0" w:noVBand="0" w:val="0000"/>
        <w:jc w:val="start"/>
        <w:tblCaption w:val="Table 8: 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pPr>
      <w:r>
        <w:t xml:space="preserve">Table 9: Distinctive TF-IDF terms for all 17 SDGs.</w:t>
      </w:r>
    </w:p>
    <w:tbl>
      <w:tblPr>
        <w:tblStyle w:val="Table"/>
        <w:tblW w:type="auto" w:w="0"/>
        <w:tblLook w:firstRow="1" w:lastRow="0" w:firstColumn="0" w:lastColumn="0" w:noHBand="0" w:noVBand="0" w:val="0020"/>
        <w:jc w:val="start"/>
        <w:tblCaption w:val="Table 9: 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pPr>
      <w:r>
        <w:t xml:space="preserve">Table 13: Sample-stability ladder for the research corpus.</w:t>
      </w:r>
    </w:p>
    <w:tbl>
      <w:tblPr>
        <w:tblStyle w:val="Table"/>
        <w:tblW w:type="auto" w:w="0"/>
        <w:tblLook w:firstRow="0" w:lastRow="0" w:firstColumn="0" w:lastColumn="0" w:noHBand="0" w:noVBand="0" w:val="0000"/>
        <w:jc w:val="start"/>
        <w:tblCaption w:val="Table 13: 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Table 14: 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pPr>
      <w:r>
        <w:t xml:space="preserve">Table 15: Stratified iterative register-removal diagnostic across the three encoder tracks.</w:t>
      </w:r>
    </w:p>
    <w:tbl>
      <w:tblPr>
        <w:tblStyle w:val="Table"/>
        <w:tblW w:type="auto" w:w="0"/>
        <w:tblLook w:firstRow="1" w:lastRow="0" w:firstColumn="0" w:lastColumn="0" w:noHBand="0" w:noVBand="0" w:val="0020"/>
        <w:jc w:val="start"/>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pPr>
      <w:r>
        <w:t xml:space="preserve">Table 16: Validation sample construction: the two designs.</w:t>
      </w:r>
    </w:p>
    <w:tbl>
      <w:tblPr>
        <w:tblStyle w:val="Table"/>
        <w:tblW w:type="auto" w:w="0"/>
        <w:tblLook w:firstRow="1" w:lastRow="0" w:firstColumn="0" w:lastColumn="0" w:noHBand="0" w:noVBand="0" w:val="0020"/>
        <w:jc w:val="start"/>
        <w:tblCaption w:val="Table 16: 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pPr>
      <w:r>
        <w:t xml:space="preserve">Table 17: Corpus register-feature contrasts (original sample).</w:t>
      </w:r>
    </w:p>
    <w:tbl>
      <w:tblPr>
        <w:tblStyle w:val="Table"/>
        <w:tblW w:type="auto" w:w="0"/>
        <w:tblLook w:firstRow="1" w:lastRow="0" w:firstColumn="0" w:lastColumn="0" w:noHBand="0" w:noVBand="0" w:val="0020"/>
        <w:jc w:val="start"/>
        <w:tblCaption w:val="Table 17: 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start"/>
        <w:tblCaption w:val="Table 19: 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0: 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pPr>
      <w:r>
        <w:t xml:space="preserve">Table 26: MiniLM track — per-SDG reference values (semantic-gap and coverage-predictor families).</w:t>
      </w:r>
    </w:p>
    <w:tbl>
      <w:tblPr>
        <w:tblStyle w:val="Table"/>
        <w:tblW w:type="auto" w:w="0"/>
        <w:tblLook w:firstRow="1" w:lastRow="0" w:firstColumn="0" w:lastColumn="0" w:noHBand="0" w:noVBand="0" w:val="0020"/>
        <w:jc w:val="start"/>
        <w:tblCaption w:val="Table 26: 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pPr>
      <w:r>
        <w:t xml:space="preserve">Table 27: SciBERT track — per-SDG reference values (semantic-gap and coverage-predictor families).</w:t>
      </w:r>
    </w:p>
    <w:tbl>
      <w:tblPr>
        <w:tblStyle w:val="Table"/>
        <w:tblW w:type="auto" w:w="0"/>
        <w:tblLook w:firstRow="1" w:lastRow="0" w:firstColumn="0" w:lastColumn="0" w:noHBand="0" w:noVBand="0" w:val="0020"/>
        <w:jc w:val="start"/>
        <w:tblCaption w:val="Table 27: 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pPr>
      <w:r>
        <w:t xml:space="preserve">Table 28: Coverage gap values across embedding architectures, classifier variants, and retrieval strategies.</w:t>
      </w:r>
    </w:p>
    <w:tbl>
      <w:tblPr>
        <w:tblStyle w:val="Table"/>
        <w:tblW w:type="auto" w:w="0"/>
        <w:tblLook w:firstRow="0" w:lastRow="0" w:firstColumn="0" w:lastColumn="0" w:noHBand="0" w:noVBand="0" w:val="0000"/>
        <w:jc w:val="start"/>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pPr>
      <w:r>
        <w:t xml:space="preserve">Table 29: (continued)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Table 31: 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pPr>
      <w:r>
        <w:t xml:space="preserve">Table 32: Per-SDG policy source-family sensitivity: coverage share and semantic gap.</w:t>
      </w:r>
    </w:p>
    <w:tbl>
      <w:tblPr>
        <w:tblStyle w:val="Table"/>
        <w:tblW w:type="auto" w:w="0"/>
        <w:tblLook w:firstRow="1" w:lastRow="0" w:firstColumn="0" w:lastColumn="0" w:noHBand="0" w:noVBand="0" w:val="0020"/>
        <w:jc w:val="start"/>
        <w:tblCaption w:val="Table 32: 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start"/>
        <w:tblCaption w:val="Table 33: 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start"/>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pPr>
      <w:r>
        <w:t xml:space="preserve">Table 35: Declaration of AI use.</w:t>
      </w:r>
    </w:p>
    <w:tbl>
      <w:tblPr>
        <w:tblStyle w:val="Table"/>
        <w:tblW w:type="auto" w:w="0"/>
        <w:tblLook w:firstRow="1" w:lastRow="0" w:firstColumn="0" w:lastColumn="0" w:noHBand="0" w:noVBand="0" w:val="0020"/>
        <w:jc w:val="start"/>
        <w:tblCaption w:val="Table 35: 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TOCHeading">
    <w:name w:val="TOCHeading"/>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2026-08-27T16:38:03Z</dcterms:created>
  <dcterms:modified xsi:type="dcterms:W3CDTF">2026-08-27T16:38:03Z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