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46.png" ContentType="image/png"/>
  <Override PartName="/word/media/rId256.png" ContentType="image/png"/>
  <Override PartName="/word/media/rId288.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4.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1"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3"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3"/>
    <w:bookmarkStart w:id="69"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4"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4"/>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8" w:name="fig:typology_scatter"/>
    <w:p>
      <w:pPr>
        <w:pStyle w:val="CaptionedFigure"/>
      </w:pPr>
      <w:r>
        <w:drawing>
          <wp:inline>
            <wp:extent cx="5334000" cy="5738836"/>
            <wp:effectExtent b="0" l="0" r="0" t="0"/>
            <wp:docPr descr="" title="" id="66" name="Picture"/>
            <a:graphic>
              <a:graphicData uri="http://schemas.openxmlformats.org/drawingml/2006/picture">
                <pic:pic>
                  <pic:nvPicPr>
                    <pic:cNvPr descr="fig9_h1_grid.png" id="67" name="Picture"/>
                    <pic:cNvPicPr>
                      <a:picLocks noChangeArrowheads="1" noChangeAspect="1"/>
                    </pic:cNvPicPr>
                  </pic:nvPicPr>
                  <pic:blipFill>
                    <a:blip r:embed="rId65"/>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8"/>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9"/>
    <w:bookmarkStart w:id="70"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0"/>
    <w:bookmarkEnd w:id="71"/>
    <w:bookmarkStart w:id="78"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2"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2"/>
    <w:bookmarkStart w:id="73"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3"/>
    <w:bookmarkStart w:id="74"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4"/>
    <w:bookmarkStart w:id="75"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5"/>
    <w:bookmarkStart w:id="76"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6"/>
    <w:bookmarkStart w:id="77"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7"/>
    <w:bookmarkEnd w:id="78"/>
    <w:bookmarkStart w:id="79"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9"/>
    <w:p>
      <w:pPr>
        <w:pStyle w:val="Heading1"/>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31"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9" w:name="fig:concept-coverage"/>
    <w:p>
      <w:pPr>
        <w:pStyle w:val="CaptionedFigure"/>
      </w:pPr>
      <w:r>
        <w:drawing>
          <wp:inline>
            <wp:extent cx="4800600" cy="4346489"/>
            <wp:effectExtent b="0" l="0" r="0" t="0"/>
            <wp:docPr descr="" title="" id="227" name="Picture"/>
            <a:graphic>
              <a:graphicData uri="http://schemas.openxmlformats.org/drawingml/2006/picture">
                <pic:pic>
                  <pic:nvPicPr>
                    <pic:cNvPr descr="fig10_concept_coverage.png" id="228" name="Picture"/>
                    <pic:cNvPicPr>
                      <a:picLocks noChangeArrowheads="1" noChangeAspect="1"/>
                    </pic:cNvPicPr>
                  </pic:nvPicPr>
                  <pic:blipFill>
                    <a:blip r:embed="rId226"/>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29"/>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0"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0"/>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31"/>
    <w:bookmarkStart w:id="239" w:name="app:centroid-diagnostics"/>
    <w:p>
      <w:pPr>
        <w:pStyle w:val="Heading1"/>
      </w:pPr>
      <w:r>
        <w:t xml:space="preserve">B Diagnostics for Reference Classifier</w:t>
      </w:r>
    </w:p>
    <w:bookmarkStart w:id="233"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2"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2"/>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3"/>
    <w:bookmarkStart w:id="238"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7" w:name="fig:centroid-similarity-matrix"/>
    <w:p>
      <w:pPr>
        <w:pStyle w:val="CaptionedFigure"/>
      </w:pPr>
      <w:r>
        <w:drawing>
          <wp:inline>
            <wp:extent cx="5334000" cy="4593515"/>
            <wp:effectExtent b="0" l="0" r="0" t="0"/>
            <wp:docPr descr="" title="" id="235" name="Picture"/>
            <a:graphic>
              <a:graphicData uri="http://schemas.openxmlformats.org/drawingml/2006/picture">
                <pic:pic>
                  <pic:nvPicPr>
                    <pic:cNvPr descr="fig8_centroid_similarity_heatmap.png" id="236" name="Picture"/>
                    <pic:cNvPicPr>
                      <a:picLocks noChangeArrowheads="1" noChangeAspect="1"/>
                    </pic:cNvPicPr>
                  </pic:nvPicPr>
                  <pic:blipFill>
                    <a:blip r:embed="rId234"/>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7"/>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38"/>
    <w:bookmarkEnd w:id="239"/>
    <w:bookmarkStart w:id="241"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0"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0"/>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41"/>
    <w:bookmarkStart w:id="245"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2"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2"/>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3"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3"/>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4"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4"/>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5"/>
    <w:bookmarkStart w:id="251"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9" w:name="fig:sample-stability"/>
    <w:p>
      <w:pPr>
        <w:pStyle w:val="CaptionedFigure"/>
      </w:pPr>
      <w:r>
        <w:drawing>
          <wp:inline>
            <wp:extent cx="4693920" cy="4759495"/>
            <wp:effectExtent b="0" l="0" r="0" t="0"/>
            <wp:docPr descr="" title="" id="247" name="Picture"/>
            <a:graphic>
              <a:graphicData uri="http://schemas.openxmlformats.org/drawingml/2006/picture">
                <pic:pic>
                  <pic:nvPicPr>
                    <pic:cNvPr descr="fig11_sample_stability.png" id="248" name="Picture"/>
                    <pic:cNvPicPr>
                      <a:picLocks noChangeArrowheads="1" noChangeAspect="1"/>
                    </pic:cNvPicPr>
                  </pic:nvPicPr>
                  <pic:blipFill>
                    <a:blip r:embed="rId246"/>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49"/>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0" w:name="app:balanced-subset-stability"/>
      <w:bookmarkEnd w:id="25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51"/>
    <w:bookmarkStart w:id="253"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2"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2"/>
    <w:bookmarkEnd w:id="253"/>
    <w:bookmarkStart w:id="276" w:name="app:register-removal"/>
    <w:p>
      <w:pPr>
        <w:pStyle w:val="Heading1"/>
      </w:pPr>
      <w:r>
        <w:t xml:space="preserve">G Register Removal: Convergence and Validation</w:t>
      </w:r>
    </w:p>
    <w:bookmarkStart w:id="261"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4"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4"/>
    <w:bookmarkStart w:id="25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5"/>
    <w:bookmarkStart w:id="26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9" w:name="fig:register-convergence"/>
    <w:p>
      <w:pPr>
        <w:pStyle w:val="CaptionedFigure"/>
      </w:pPr>
      <w:r>
        <w:drawing>
          <wp:inline>
            <wp:extent cx="4693920" cy="4884214"/>
            <wp:effectExtent b="0" l="0" r="0" t="0"/>
            <wp:docPr descr="" title="" id="257" name="Picture"/>
            <a:graphic>
              <a:graphicData uri="http://schemas.openxmlformats.org/drawingml/2006/picture">
                <pic:pic>
                  <pic:nvPicPr>
                    <pic:cNvPr descr="fig12_register_convergence.png" id="258" name="Picture"/>
                    <pic:cNvPicPr>
                      <a:picLocks noChangeArrowheads="1" noChangeAspect="1"/>
                    </pic:cNvPicPr>
                  </pic:nvPicPr>
                  <pic:blipFill>
                    <a:blip r:embed="rId256"/>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59"/>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0"/>
    <w:bookmarkEnd w:id="261"/>
    <w:bookmarkStart w:id="275" w:name="app:register-validation"/>
    <w:p>
      <w:pPr>
        <w:pStyle w:val="Heading2"/>
      </w:pPr>
      <w:r>
        <w:t xml:space="preserve">G.2 Construct Validation</w:t>
      </w:r>
    </w:p>
    <w:bookmarkStart w:id="262"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2"/>
    <w:bookmarkStart w:id="265"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3"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3"/>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4"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4"/>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5"/>
    <w:bookmarkStart w:id="266"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6"/>
    <w:bookmarkStart w:id="267"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7"/>
    <w:bookmarkStart w:id="269" w:name="sec:regval-subspace"/>
    <w:p>
      <w:pPr>
        <w:pStyle w:val="Heading3"/>
      </w:pPr>
      <w:r>
        <w:t xml:space="preserve">G.2.5 Characterisation of the Removed Subspace</w:t>
      </w:r>
    </w:p>
    <w:p>
      <w:pPr>
        <w:pStyle w:val="FirstParagraph"/>
      </w:pPr>
      <w:r>
        <w:t xml:space="preserve">The tests above show that the removed component separates the corpora while preserving topic information. Two direction-space tests on the frozen SDG-balanced sample used to train </w:t>
      </w:r>
      <m:oMath>
        <m:r>
          <m:t>G</m:t>
        </m:r>
      </m:oMath>
      <w:r>
        <w:t xml:space="preserve"> </w:t>
      </w:r>
      <w:r>
        <w:t xml:space="preserve">examine its structure.</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These results argue against topic leakage. The direction generalises across unseen SDGs, which is consistent with a corpus-level component rather than an SDG-specific direction.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(qualification, not relabelling).</w:t>
      </w:r>
      <w:r>
        <w:t xml:space="preserve"> </w:t>
      </w:r>
      <w:r>
        <w:t xml:space="preserve">The removed subspace’s word-level projection is weak and inconclusive. It does not provide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 only a modest gap, so the subspace is not strongly aligned with any specific vocabulary. The highest-scoring words combine a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with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does not establish a policy-domain vocabulary. The lexical interpretation rests on the direction-space tests (P1/P2), not this list.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The projection also differs from the Biber surface-register features targeted by the manual score in G.2.2: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8"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8"/>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9"/>
    <w:bookmarkStart w:id="270"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0"/>
    <w:bookmarkStart w:id="271"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but it is weak and suggestive rather than established: a full-vocabulary scan (P0b) places the top projection only modestly above a random subspace (0.527 vs 0.401) and the highest-scoring words are a noisy mix of a socioeconomic/governance cluster and rare morphological junk, so they do</w:t>
      </w:r>
      <w:r>
        <w:t xml:space="preserve"> </w:t>
      </w:r>
      <w:r>
        <w:rPr>
          <w:iCs/>
          <w:i/>
        </w:rPr>
        <w:t xml:space="preserve">not</w:t>
      </w:r>
      <w:r>
        <w:t xml:space="preserve"> </w:t>
      </w:r>
      <w:r>
        <w:t xml:space="preserve">certify a clean policy-domain vocabulary; the direction-space tests, not the word list, carry the lexical reading.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71"/>
    <w:bookmarkStart w:id="274"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The word-level lexical signal (P0b) is weak and noisy – top projection only modestly above a random subspace, top words a mix of socioeconomic/governance terms and rare morphological variants – so it does</w:t>
      </w:r>
      <w:r>
        <w:t xml:space="preserve"> </w:t>
      </w:r>
      <w:r>
        <w:rPr>
          <w:iCs/>
          <w:i/>
        </w:rPr>
        <w:t xml:space="preserve">not</w:t>
      </w:r>
      <w:r>
        <w:t xml:space="preserve"> </w:t>
      </w:r>
      <w:r>
        <w:t xml:space="preserve">certify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not a clean register axis. Open only whether a finer sub-lexical decomposition would recover more structure.</w:t>
      </w:r>
    </w:p>
    <w:bookmarkStart w:id="272"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2"/>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3"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3"/>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74"/>
    <w:bookmarkEnd w:id="275"/>
    <w:bookmarkEnd w:id="276"/>
    <w:bookmarkStart w:id="300" w:name="app:cross-method-section"/>
    <w:p>
      <w:pPr>
        <w:pStyle w:val="Heading1"/>
      </w:pPr>
      <w:r>
        <w:t xml:space="preserve">H Supplementary Cross-Method Data</w:t>
      </w:r>
    </w:p>
    <w:bookmarkStart w:id="277" w:name="app:cross-method-gap-values"/>
    <w:p>
      <w:pPr>
        <w:pStyle w:val="Heading2"/>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7"/>
    <w:bookmarkStart w:id="280"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8"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8"/>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9"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9"/>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0"/>
    <w:bookmarkStart w:id="285"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1"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1"/>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2"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2"/>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3"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3"/>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4"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5"/>
    <w:bookmarkStart w:id="292"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6"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6"/>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7"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1" w:name="fig:cross-method-values"/>
    <w:p>
      <w:pPr>
        <w:pStyle w:val="CaptionedFigure"/>
      </w:pPr>
      <w:r>
        <w:drawing>
          <wp:inline>
            <wp:extent cx="5334000" cy="5119166"/>
            <wp:effectExtent b="0" l="0" r="0" t="0"/>
            <wp:docPr descr="" title="" id="289" name="Picture"/>
            <a:graphic>
              <a:graphicData uri="http://schemas.openxmlformats.org/drawingml/2006/picture">
                <pic:pic>
                  <pic:nvPicPr>
                    <pic:cNvPr descr="fig13_cross_method_heatmap.png" id="290" name="Picture"/>
                    <pic:cNvPicPr>
                      <a:picLocks noChangeArrowheads="1" noChangeAspect="1"/>
                    </pic:cNvPicPr>
                  </pic:nvPicPr>
                  <pic:blipFill>
                    <a:blip r:embed="rId288"/>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1"/>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2"/>
    <w:bookmarkStart w:id="294"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3"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4"/>
    <w:bookmarkStart w:id="296"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5"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6"/>
    <w:bookmarkStart w:id="299"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7"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8"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99"/>
    <w:bookmarkEnd w:id="300"/>
    <w:bookmarkStart w:id="302"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1"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1"/>
    <w:bookmarkEnd w:id="302"/>
    <w:bookmarkStart w:id="304"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3"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3"/>
    <w:bookmarkEnd w:id="30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8" Target="media/rId288.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4" Target="media/rId234.png" /><Relationship Type="http://schemas.openxmlformats.org/officeDocument/2006/relationships/image" Id="rId65" Target="media/rId65.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2026-08-28T20:37:37Z</dcterms:created>
  <dcterms:modified xsi:type="dcterms:W3CDTF">2026-08-28T20:37:37Z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