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a citation-based corpus of roughly 25,000 publications on the Millennium and Sustainable Development Goals</w:t>
      </w:r>
      <w:r>
        <w:t xml:space="preserve"> </w:t>
      </w:r>
      <w:r>
        <w:t xml:space="preserve">(Bautista-Puig et al., 2021)</w:t>
      </w:r>
      <w:r>
        <w:t xml:space="preserve">, 20,511 AI publications (2001–2020)</w:t>
      </w:r>
      <w:r>
        <w:t xml:space="preserve"> </w:t>
      </w:r>
      <w:r>
        <w:t xml:space="preserve">(Singh et al., 2024)</w:t>
      </w:r>
      <w:r>
        <w:t xml:space="preserve">, 1,288 big-data and AI publications</w:t>
      </w:r>
      <w:r>
        <w:t xml:space="preserve"> </w:t>
      </w:r>
      <w:r>
        <w:t xml:space="preserve">(Nedungadi et al., 2024)</w:t>
      </w:r>
      <w:r>
        <w:t xml:space="preserve">, 792 AI-and-SDG research articles</w:t>
      </w:r>
      <w:r>
        <w:t xml:space="preserve"> </w:t>
      </w:r>
      <w:r>
        <w:t xml:space="preserve">(Gohr et al., 2025)</w:t>
      </w:r>
      <w:r>
        <w:t xml:space="preserve">, and 108 AI-for-social-good projects</w:t>
      </w:r>
      <w:r>
        <w:t xml:space="preserve"> </w:t>
      </w:r>
      <w:r>
        <w:t xml:space="preserve">(Cowls et al., 2021)</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does not operationalise an epistemic community directly, but measures only the weaker condition of observed semantic proximity. Semantic proximity cannot show the existence, strength, or influence of an expert community</w:t>
      </w:r>
      <w:r>
        <w:t xml:space="preserve"> </w:t>
      </w:r>
      <w:r>
        <w:t xml:space="preserve">(Cross, 2013)</w:t>
      </w:r>
      <w:r>
        <w:t xml:space="preserve">.</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and Goal 8’s 3% annual growth target is empirically incompatible with the resource-use and emissions goals</w:t>
      </w:r>
      <w:r>
        <w:t xml:space="preserve"> </w:t>
      </w:r>
      <w:r>
        <w:t xml:space="preserve">(Hickel, 2019)</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so that almost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(fixed, not retrained).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 The 2018 start reflects the post-AlexNet emergence of deep learning as AI research’s dominant approach</w:t>
      </w:r>
      <w:r>
        <w:t xml:space="preserve"> </w:t>
      </w:r>
      <w:r>
        <w:t xml:space="preserve">(Krizhevsky et al., 2012)</w:t>
      </w:r>
      <w:r>
        <w:t xml:space="preserve">, combined with an expected research-uptake lag following the SDGs’ 2015 adoption.</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 This contrasts with recall-oriented AI corpora built from hundreds of field-specific keywords across hundreds of thousands of documents</w:t>
      </w:r>
      <w:r>
        <w:t xml:space="preserve"> </w:t>
      </w:r>
      <w:r>
        <w:t xml:space="preserve">(Hellwig et al., 2019)</w:t>
      </w:r>
      <w:r>
        <w:t xml:space="preserve"> </w:t>
      </w:r>
      <w:r>
        <w:t xml:space="preserve">or field-of-study membership</w:t>
      </w:r>
      <w:r>
        <w:t xml:space="preserve"> </w:t>
      </w:r>
      <w:r>
        <w:t xml:space="preserve">(OECD, 2024; Priem et al., 2022; Wang et al., 2020)</w:t>
      </w:r>
      <w:r>
        <w:t xml:space="preserv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 This test also found that concept-based retrieval (over keyword-based) helps with the SDG 4-inflation issue (Table </w:t>
      </w:r>
      <w:hyperlink w:anchor="tab:concept-coverage">
        <w:r>
          <w:rPr>
            <w:rStyle w:val="Hyperlink"/>
          </w:rPr>
          <w:t xml:space="preserve">6</w:t>
        </w:r>
      </w:hyperlink>
      <w:r>
        <w:t xml:space="preserve">, Appendix </w:t>
      </w:r>
      <w:hyperlink w:anchor="app:concept-retrieval-sensitivity">
        <w:r>
          <w:rPr>
            <w:rStyle w:val="Hyperlink"/>
          </w:rPr>
          <w:t xml:space="preserve">7</w:t>
        </w:r>
      </w:hyperlink>
      <w:r>
        <w:t xml:space="preserve">). A redo of the analysis using this retrieval method is recommended, but left for future follow-ups.</w:t>
      </w:r>
    </w:p>
    <w:p>
      <w:pPr>
        <w:pStyle w:val="BodyText"/>
      </w:pPr>
      <w:r>
        <w:t xml:space="preserve">Importantly, the robustness check applies no SDG filter at retrieval time and is therefore a pure AI/ML corpus with SDG labels assigned post hoc by the classifier, not a corpus independently verified as SDG-relevant. This limitation is documented rather than fixed, due to time constraints.</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 (Raw, Prep, Seg, Lab; definitions below).</w:t>
      </w:r>
    </w:p>
    <w:tbl>
      <w:tblPr>
        <w:tblStyle w:val="Table"/>
        <w:tblW w:type="auto" w:w="0"/>
        <w:tblLook w:firstRow="1" w:lastRow="0" w:firstColumn="0" w:lastColumn="0" w:noHBand="0" w:noVBand="0" w:val="0020"/>
        <w:jc w:val="start"/>
        <w:tblCaption w:val="Corpus provenance: record counts at each pipeline stage (Raw, Prep, Seg, Lab; definitions below)."/>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 Community Dataset</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 (no SDG17)</w:t>
            </w:r>
          </w:p>
        </w:tc>
      </w:tr>
      <w:tr>
        <w:tc>
          <w:tcPr/>
          <w:p>
            <w:pPr>
              <w:pStyle w:val="Compact"/>
              <w:jc w:val="left"/>
            </w:pPr>
            <w:r>
              <w:t xml:space="preserve">SDG Classification Benchmark</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IISD SDG Knowledge Hub</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 Corpus</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 dataset</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corpus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corpus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the Benchmark bypass segmentation, so Seg = Lab.</w:t>
      </w:r>
    </w:p>
    <w:p>
      <w:pPr>
        <w:pStyle w:val="BodyText"/>
      </w:pPr>
      <w:r>
        <w:t xml:space="preserve">OSDG alone contributes about 49% of labelled texts and draws on UN-adjacent documents, so the reference data remain weighted toward policy vocabulary. OSDG and the Benchmark bypass segmentation due to having short texts. The Knowledge Hub,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because the research corpus is first restricted to an OpenAlex AI-and-SDG universe, so the classifier answers a relative question among the 17 SDGs. This restriction does not hold for the concept-retrieved robustness corpus (Section </w:t>
      </w:r>
      <w:hyperlink w:anchor="sec:research-corpus">
        <w:r>
          <w:rPr>
            <w:rStyle w:val="Hyperlink"/>
          </w:rPr>
          <w:t xml:space="preserve">3.3</w:t>
        </w:r>
      </w:hyperlink>
      <w:r>
        <w:t xml:space="preserve">), which applies no SDG filter at retrieval; the classifier still forces an argmax assignment there despite the corpus not being pre-restricted to SDG-relevant text. Section </w:t>
      </w:r>
      <w:hyperlink w:anchor="sec:limitations">
        <w:r>
          <w:rPr>
            <w:rStyle w:val="Hyperlink"/>
          </w:rPr>
          <w:t xml:space="preserve">5.5</w:t>
        </w:r>
      </w:hyperlink>
      <w:r>
        <w:t xml:space="preserve"> </w:t>
      </w:r>
      <w:r>
        <w:t xml:space="preserve">discusses this limitation.</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 This study does not test whether the shift is uniform across SDGs, so the possibility that it reorders within-corpus rankings for some goals cannot be ruled out. This is left for future work due to time constraints.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very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For example, SDSN reports alone contribute up to 3,179 segments otherwise).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 Underlying both choices is the same rule: the coverage profile counts documents, so both corpora are aggregated to the document level; the semantic gap averages text content, so each corpus is aggregated at its natural authorship unit: the abstract for research and the passage for policy.</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 The validation finds 1) a reduction of the corpus-level signal but not its complete elimination and 2) SDG classifier accuracy remains unchanged, meaning topic (and hence coverage) is not significantly affected by INLP register adjustment.</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 the register component is the difference between the raw and adjusted gaps.</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Benchmark, IISD Hub)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 SDG 4 is flagged as artefact-affected due to ML-learning vocabulary overlap with education corpora (Appendix </w:t>
      </w:r>
      <w:hyperlink w:anchor="app:sdg4-lexical-audit">
        <w:r>
          <w:rPr>
            <w:rStyle w:val="Hyperlink"/>
          </w:rPr>
          <w:t xml:space="preserve">8.1</w:t>
        </w:r>
      </w:hyperlink>
      <w:r>
        <w:t xml:space="preserve">).</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research-corpus">
        <w:r>
          <w:rPr>
            <w:rStyle w:val="Hyperlink"/>
          </w:rPr>
          <w:t xml:space="preserve">3.3</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smaller random research draws: across independent 10</w:t>
      </w:r>
      <w:r>
        <w:t xml:space="preserve">,</w:t>
      </w:r>
      <w:r>
        <w:t xml:space="preserve">000-paper draws, roughly matching the 6</w:t>
      </w:r>
      <w:r>
        <w:t xml:space="preserve">,</w:t>
      </w:r>
      <w:r>
        <w:t xml:space="preserve">367 policy documents, it reproduces the ordering at Spearman</w:t>
      </w:r>
      <w:r>
        <w:t xml:space="preserve"> </w:t>
      </w:r>
      <m:oMath>
        <m:r>
          <m:t>ρ</m:t>
        </m:r>
        <m:r>
          <m:rPr>
            <m:sty m:val="p"/>
          </m:rPr>
          <m:t>=</m:t>
        </m:r>
        <m:r>
          <m:t>0.936</m:t>
        </m:r>
        <m:r>
          <m:t>​</m:t>
        </m:r>
      </m:oMath>
      <w:r>
        <w:t xml:space="preserve">, and 100 independent 50</w:t>
      </w:r>
      <w:r>
        <w:t xml:space="preserve">,</w:t>
      </w:r>
      <w:r>
        <w:t xml:space="preserve">000-paper draws reach</w:t>
      </w:r>
      <w:r>
        <w:t xml:space="preserve"> </w:t>
      </w:r>
      <m:oMath>
        <m:r>
          <m:t>ρ</m:t>
        </m:r>
        <m:r>
          <m:rPr>
            <m:sty m:val="p"/>
          </m:rPr>
          <m:t>=</m:t>
        </m:r>
        <m:r>
          <m:t>0.986</m:t>
        </m:r>
        <m:r>
          <m:t>​</m:t>
        </m:r>
      </m:oMath>
      <w:r>
        <w:t xml:space="preserve"> </w:t>
      </w:r>
      <w:r>
        <w:t xml:space="preserve">(SD 0.009);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 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bl>
      <w:tblPr>
        <w:tblStyle w:val="Table"/>
        <w:tblW w:type="auto" w:w="0"/>
        <w:tblLook w:firstRow="1" w:lastRow="0" w:firstColumn="0" w:lastColumn="0" w:noHBand="0" w:noVBand="0" w:val="0020"/>
        <w:jc w:val="start"/>
        <w:tblCaption w:val="Reference values for the semantic-gap and coverage-predictor families (per SDG). Semantic gaps from Figs 5 and 6; coverage predictors from Fig. 3. Cov. = |\text{research}-\text{policy}| (pp). Signed dom. = research share - policy share (pp). Reg. Comp. = raw - adjusted."/>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w:t>
      </w:r>
      <w:r>
        <w:t xml:space="preserve"> </w:t>
      </w:r>
      <m:oMath>
        <m:r>
          <m:t>p</m:t>
        </m:r>
        <m:r>
          <m:rPr>
            <m:sty m:val="p"/>
          </m:rPr>
          <m:t>=</m:t>
        </m:r>
        <m:r>
          <m:t>0.120</m:t>
        </m:r>
      </m:oMath>
      <w:r>
        <w:t xml:space="preserve">) is negatively associated,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is asymmetric: where policy heavily covers an SDG, the adjusted gap tends to be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raw-null pattern holds: research share remains uncorrelated with the gap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0.223</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 The adjusted decomposition shows the same boundary: on register-removed gaps, the curated-family coverage–gap correlation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the corresponding SDGi-family and full-corpus correlations are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980"/>
        <w:gridCol w:w="1980"/>
        <w:gridCol w:w="1980"/>
        <w:gridCol w:w="1980"/>
      </w:tblGrid>
      <w:tr>
        <w:tc>
          <w:tcPr/>
          <w:p>
            <w:pPr>
              <w:pStyle w:val="CaptionedFigure"/>
              <w:jc w:val="center"/>
            </w:pPr>
            <w:r>
              <w:drawing>
                <wp:inline>
                  <wp:extent cx="1333500" cy="1073262"/>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333500" cy="1071157"/>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333500" cy="1071157"/>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333500" cy="1073262"/>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333500" cy="1072559"/>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333500" cy="1072559"/>
                          </a:xfrm>
                          <a:prstGeom prst="rect">
                            <a:avLst/>
                          </a:prstGeom>
                          <a:noFill/>
                          <a:ln w="9525">
                            <a:noFill/>
                            <a:headEnd/>
                            <a:tailEnd/>
                          </a:ln>
                        </pic:spPr>
                      </pic:pic>
                    </a:graphicData>
                  </a:graphic>
                </wp:inline>
              </w:drawing>
            </w:r>
          </w:p>
          <w:p>
            <w:pPr>
              <w:pStyle w:val="ImageCaption"/>
              <w:jc w:val="center"/>
            </w:pPr>
            <w:r>
              <w:t xml:space="preserve">H1d: policy coverage (%)</w:t>
            </w:r>
          </w:p>
        </w:tc>
      </w:tr>
    </w:tbl>
    <w:p>
      <w:pPr>
        <w:pStyle w:val="ImageCaption"/>
      </w:pPr>
      <w:r>
        <w:t xml:space="preserve">Coverage predictor vs within-SDG semantic gap, one point per SDG. Both the adjusted (canonical, after INLP register removal) and raw baseline gaps are plotted. (a) absolute coverage gap; (b) signed dominance; (c) research coverage; (d) policy coverage.</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t xml:space="preserve">Three potential confounds must be addressed before this pattern can be interpreted substantively. Each is examined below.</w:t>
      </w:r>
    </w:p>
    <w:p>
      <w:pPr>
        <w:pStyle w:val="BodyText"/>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Stratification addresses this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Coverage-as-label-share therefore cannot leak into which direction gets learned or removed.</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The exception is the concept-retrieved track, where H1a’s raw-gap sign flips against all other configurations (Concept LR: +0.108, vs. negative or near-zero elsewhere) — consistent with the retrieval-related instability discussed in Section </w:t>
      </w:r>
      <w:hyperlink w:anchor="sec:limitations">
        <w:r>
          <w:rPr>
            <w:rStyle w:val="Hyperlink"/>
          </w:rPr>
          <w:t xml:space="preserve">5.5</w:t>
        </w:r>
      </w:hyperlink>
      <w:r>
        <w:t xml:space="preserve">. Excluding that track, the pattern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As shown in Results (Section </w:t>
      </w:r>
      <w:hyperlink w:anchor="sec:semantic-gap">
        <w:r>
          <w:rPr>
            <w:rStyle w:val="Hyperlink"/>
          </w:rPr>
          <w:t xml:space="preserve">4.3</w:t>
        </w:r>
      </w:hyperlink>
      <w:r>
        <w:t xml:space="preserve">), SDGs 9 and 17 illustrate this: SDG 9 has the second-largest coverage gap but a mid-ranked raw semantic gap (its adjusted gap is fourth-widest), while SDG 17 combines the third-largest coverage gap with the narrowest raw gap, which becomes the widest adjusted gap.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Where policy dominates (SDGs 13, 16, 17), the framing reflects institutional norms of coordination:</w:t>
      </w:r>
      <w:r>
        <w:t xml:space="preserve"> </w:t>
      </w:r>
      <w:r>
        <w:t xml:space="preserve">“</w:t>
      </w:r>
      <w:r>
        <w:t xml:space="preserve">Mode 2 knowledge is carried out in a context of application</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The register decomposition also shows what the embedding instrument actually measures. Embedding distance is a composite signal of topic and register</w:t>
      </w:r>
      <w:r>
        <w:t xml:space="preserve"> </w:t>
      </w:r>
      <w:r>
        <w:t xml:space="preserve">(Harris, 1954)</w:t>
      </w:r>
      <w:r>
        <w:t xml:space="preserve">. 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(Section </w:t>
      </w:r>
      <w:hyperlink w:anchor="sec:alignment-framework">
        <w:r>
          <w:rPr>
            <w:rStyle w:val="Hyperlink"/>
          </w:rPr>
          <w:t xml:space="preserve">2.3</w:t>
        </w:r>
      </w:hyperlink>
      <w:r>
        <w:t xml:space="preserve">) assumes that research and policy discourse are already commensurable categories, comparable once retrieved and embedded. Constructing the corpora exposes a prior condition that framework does not capture. The research corpus is an intersection of AI and SDG content (2</w:t>
      </w:r>
      <w:r>
        <w:t xml:space="preserve">,</w:t>
      </w:r>
      <w:r>
        <w:t xml:space="preserve">536</w:t>
      </w:r>
      <w:r>
        <w:t xml:space="preserve">,</w:t>
      </w:r>
      <w:r>
        <w:t xml:space="preserve">771 abstracts). The curated AI-and-SDG policy family is 94 documents. This is not merely a sampling limitation to be corrected with more time (Section </w:t>
      </w:r>
      <w:hyperlink w:anchor="sec:limitations">
        <w:r>
          <w:rPr>
            <w:rStyle w:val="Hyperlink"/>
          </w:rPr>
          <w:t xml:space="preserve">5.5</w:t>
        </w:r>
      </w:hyperlink>
      <w:r>
        <w:t xml:space="preserve">). It suggests that</w:t>
      </w:r>
      <w:r>
        <w:t xml:space="preserve"> </w:t>
      </w:r>
      <w:r>
        <w:t xml:space="preserve">“</w:t>
      </w:r>
      <w:r>
        <w:t xml:space="preserve">AI and the SDGs</w:t>
      </w:r>
      <w:r>
        <w:t xml:space="preserve">”</w:t>
      </w:r>
      <w:r>
        <w:t xml:space="preserve"> </w:t>
      </w:r>
      <w:r>
        <w:t xml:space="preserve">is not yet an established organising category in institutional policy discourse the way it already is in academic research. Policy documents overwhelmingly discuss AI governance and SDG implementation as separate agendas. The joint category the research corpus takes for granted barely exists on the policy side to be sampled.</w:t>
      </w:r>
    </w:p>
    <w:p>
      <w:pPr>
        <w:pStyle w:val="BodyText"/>
      </w:pPr>
      <w:r>
        <w:t xml:space="preserve">“</w:t>
      </w:r>
      <w:r>
        <w:t xml:space="preserve">Level</w:t>
      </w:r>
      <w:r>
        <w:t xml:space="preserve">”</w:t>
      </w:r>
      <w:r>
        <w:t xml:space="preserve"> </w:t>
      </w:r>
      <w:r>
        <w:t xml:space="preserve">in this framework is reference-relative, not absolute. The paper’s core Level 1/Level 2 analysis (Sections </w:t>
      </w:r>
      <w:hyperlink w:anchor="sec:alignment-framework">
        <w:r>
          <w:rPr>
            <w:rStyle w:val="Hyperlink"/>
          </w:rPr>
          <w:t xml:space="preserve">2.3</w:t>
        </w:r>
      </w:hyperlink>
      <w:r>
        <w:t xml:space="preserve"> </w:t>
      </w:r>
      <w:r>
        <w:t xml:space="preserve">and</w:t>
      </w:r>
      <w:r>
        <w:t xml:space="preserve"> </w:t>
      </w:r>
      <w:hyperlink w:anchor="sec:results">
        <w:r>
          <w:rPr>
            <w:rStyle w:val="Hyperlink"/>
          </w:rPr>
          <w:t xml:space="preserve">4</w:t>
        </w:r>
      </w:hyperlink>
      <w:r>
        <w:t xml:space="preserve">) takes</w:t>
      </w:r>
      <w:r>
        <w:t xml:space="preserve"> </w:t>
      </w:r>
      <w:r>
        <w:t xml:space="preserve">“</w:t>
      </w:r>
      <w:r>
        <w:t xml:space="preserve">AI-and-SDG</w:t>
      </w:r>
      <w:r>
        <w:t xml:space="preserve">”</w:t>
      </w:r>
      <w:r>
        <w:t xml:space="preserve"> </w:t>
      </w:r>
      <w:r>
        <w:t xml:space="preserve">as an already-commensurable category and measures coverage and framing within it. The observation above applies the identical logic one category outward — treating general SDG discourse as the commensurable category and asking whether AI coverage within it is itself established on the policy side. It is not, in the formal sense of this paper’s Level 1 analysis, a measurement: no general-SDG coverage statistic was collected for either corpus, and the argument is inferred from the difficulty of assembling a symmetric AI-and-SDG policy corpus rather than from a coverage figure analogous to Section </w:t>
      </w:r>
      <w:hyperlink w:anchor="sec:results">
        <w:r>
          <w:rPr>
            <w:rStyle w:val="Hyperlink"/>
          </w:rPr>
          <w:t xml:space="preserve">4</w:t>
        </w:r>
      </w:hyperlink>
      <w:r>
        <w:t xml:space="preserve">’s. What follows should therefore be read as a plausible extension of the framework’s logic, motivating future work, not as a Level-1-style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from where it is usually applied. Mode 1 knowledge production allows a research community to define and pursue a novel cross-cutting category —</w:t>
      </w:r>
      <w:r>
        <w:t xml:space="preserve"> </w:t>
      </w:r>
      <w:r>
        <w:t xml:space="preserve">“</w:t>
      </w:r>
      <w:r>
        <w:t xml:space="preserve">AI for the SDGs</w:t>
      </w:r>
      <w:r>
        <w:t xml:space="preserve">”</w:t>
      </w:r>
      <w:r>
        <w:t xml:space="preserve"> </w:t>
      </w:r>
      <w:r>
        <w:t xml:space="preserve">— as an internal disciplinary move, requiring no external validation. Institutional policy discourse, operating closer to Mode 2’s context of application, adopts new organising categories only once they are demanded by a concrete problem, negotiation, or mandate. Research can outrun policy in category formation before it outruns policy in content. The near-total absence of a comparably sized</w:t>
      </w:r>
      <w:r>
        <w:t xml:space="preserve"> </w:t>
      </w:r>
      <w:r>
        <w:t xml:space="preserve">“</w:t>
      </w:r>
      <w:r>
        <w:t xml:space="preserve">AI-and-SDG</w:t>
      </w:r>
      <w:r>
        <w:t xml:space="preserve">”</w:t>
      </w:r>
      <w:r>
        <w:t xml:space="preserve"> </w:t>
      </w:r>
      <w:r>
        <w:t xml:space="preserve">policy corpus is therefore not a gap this study failed to fill. It is the gap, observed one level before Level 1 coverage or Level 2 framing can even be measured.</w:t>
      </w:r>
    </w:p>
    <w:p>
      <w:pPr>
        <w:pStyle w:val="BodyText"/>
      </w:pPr>
      <w:r>
        <w:t xml:space="preserve">As noted in Section </w:t>
      </w:r>
      <w:hyperlink w:anchor="sec:prev-biblio">
        <w:r>
          <w:rPr>
            <w:rStyle w:val="Hyperlink"/>
          </w:rPr>
          <w:t xml:space="preserve">2.1</w:t>
        </w:r>
      </w:hyperlink>
      <w:r>
        <w:t xml:space="preserve">, SDG 17 is treated in the literature</w:t>
      </w:r>
      <w:r>
        <w:t xml:space="preserve"> </w:t>
      </w:r>
      <w:r>
        <w:t xml:space="preserve">(Le Blanc, 2015; Griggs et al., 2017)</w:t>
      </w:r>
      <w:r>
        <w:t xml:space="preserve"> </w:t>
      </w:r>
      <w:r>
        <w:t xml:space="preserve">as dedicated to means of implementation rather than a substantive domain in its own right, coordinating action across goals rather than constituting one. Applied here one category up (see previous paragraph), the same reading suggests</w:t>
      </w:r>
      <w:r>
        <w:t xml:space="preserve"> </w:t>
      </w:r>
      <w:r>
        <w:t xml:space="preserve">“</w:t>
      </w:r>
      <w:r>
        <w:t xml:space="preserve">AI and the SDGs</w:t>
      </w:r>
      <w:r>
        <w:t xml:space="preserve">”</w:t>
      </w:r>
      <w:r>
        <w:t xml:space="preserve"> </w:t>
      </w:r>
      <w:r>
        <w:t xml:space="preserve">may currently occupy an analogous pre-domain status in policy discourse — a research-side framing device that institutional discourse has not yet organised itself around. If so, the coverage and semantic gaps measured in this paper (Section </w:t>
      </w:r>
      <w:hyperlink w:anchor="sec:results">
        <w:r>
          <w:rPr>
            <w:rStyle w:val="Hyperlink"/>
          </w:rPr>
          <w:t xml:space="preserve">4</w:t>
        </w:r>
      </w:hyperlink>
      <w:r>
        <w:t xml:space="preserve">) describe divergence within a category that, on the policy side, barely exists as a category at all. A future Level 0 measurement — tracking when and whether</w:t>
      </w:r>
      <w:r>
        <w:t xml:space="preserve"> </w:t>
      </w:r>
      <w:r>
        <w:t xml:space="preserve">“</w:t>
      </w:r>
      <w:r>
        <w:t xml:space="preserve">AI-and-SDG</w:t>
      </w:r>
      <w:r>
        <w:t xml:space="preserve">”</w:t>
      </w:r>
      <w:r>
        <w:t xml:space="preserve"> </w:t>
      </w:r>
      <w:r>
        <w:t xml:space="preserve">stabilises as a policy-organising category, for instance through co-occurrence of AI and SDG terms in institutional agendas over time — would convert this inference into a Level-1-style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that composition estimates are stable, but it does not, on its own, show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 Existing SDG-mapping studies report only coverage</w:t>
      </w:r>
      <w:r>
        <w:t xml:space="preserve"> </w:t>
      </w:r>
      <w:r>
        <w:t xml:space="preserve">(Armitage et al., 2020)</w:t>
      </w:r>
      <w:r>
        <w:t xml:space="preserve">; this paper shows coverage and framing are separable dimensions (Section </w:t>
      </w:r>
      <w:hyperlink w:anchor="sec:semantic-gap">
        <w:r>
          <w:rPr>
            <w:rStyle w:val="Hyperlink"/>
          </w:rPr>
          <w:t xml:space="preserve">4.3</w:t>
        </w:r>
      </w:hyperlink>
      <w:r>
        <w:t xml:space="preserve">).</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split: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framework is the paper’s primary contribution, advancing AI–SDG mapping from Level 1 (lexical correspondence) to Level 2 (observed semantic proximity) with explicit marking of Level 3 boundaries (Section </w:t>
      </w:r>
      <w:hyperlink w:anchor="sec:limitations">
        <w:r>
          <w:rPr>
            <w:rStyle w:val="Hyperlink"/>
          </w:rPr>
          <w:t xml:space="preserve">5.5</w:t>
        </w:r>
      </w:hyperlink>
      <w:r>
        <w:t xml:space="preserve">), and portable to any research-policy interface that shares a category system (Section </w:t>
      </w:r>
      <w:hyperlink w:anchor="sec:limitations">
        <w:r>
          <w:rPr>
            <w:rStyle w:val="Hyperlink"/>
          </w:rPr>
          <w:t xml:space="preserve">5.5</w:t>
        </w:r>
      </w:hyperlink>
      <w:r>
        <w:t xml:space="preserve">). 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 SDG 13 and SDG 17 sit close together (cosine 0.821), as do SDGs 1, 8, and 10.</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(i.e., carries no significance marker at the</w:t>
      </w:r>
      <w:r>
        <w:t xml:space="preserve"> </w:t>
      </w:r>
      <m:oMath>
        <m:r>
          <m:t>p</m:t>
        </m:r>
        <m:r>
          <m:rPr>
            <m:sty m:val="p"/>
          </m:rPr>
          <m:t>&lt;</m:t>
        </m:r>
        <m:r>
          <m:t>.05</m:t>
        </m:r>
      </m:oMath>
      <w:r>
        <w:t xml:space="preserve"> </w:t>
      </w:r>
      <w:r>
        <w:t xml:space="preserve">/</w:t>
      </w:r>
      <w:r>
        <w:t xml:space="preserve"> </w:t>
      </w:r>
      <m:oMath>
        <m:r>
          <m:t>p</m:t>
        </m:r>
        <m:r>
          <m:rPr>
            <m:sty m:val="p"/>
          </m:rPr>
          <m:t>&lt;</m:t>
        </m:r>
        <m:r>
          <m:t>.10</m:t>
        </m:r>
      </m:oMath>
      <w:r>
        <w:t xml:space="preserve"> </w:t>
      </w:r>
      <w:r>
        <w:t xml:space="preserve">thresholds applied throughout; see Table </w:t>
      </w:r>
      <w:hyperlink w:anchor="tab:distributional-h1">
        <w:r>
          <w:rPr>
            <w:rStyle w:val="Hyperlink"/>
          </w:rPr>
          <w:t xml:space="preserve">12</w:t>
        </w:r>
      </w:hyperlink>
      <w:r>
        <w:t xml:space="preserve"> </w:t>
      </w:r>
      <w:r>
        <w:t xml:space="preserve">notes), regardless of raw</w:t>
      </w:r>
      <w:r>
        <w:t xml:space="preserve"> </w:t>
      </w:r>
      <m:oMath>
        <m:r>
          <m:t>ρ</m:t>
        </m:r>
      </m:oMath>
      <w:r>
        <w:t xml:space="preserve"> </w:t>
      </w:r>
      <w:r>
        <w:t xml:space="preserve">magnitude, with two exceptions: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and C2ST AUC is a near-miss whose H1a (</w:t>
      </w:r>
      <m:oMath>
        <m:r>
          <m:t>ρ</m:t>
        </m:r>
        <m:r>
          <m:rPr>
            <m:sty m:val="p"/>
          </m:rPr>
          <m:t>=</m:t>
        </m:r>
        <m:r>
          <m:rPr>
            <m:sty m:val="p"/>
          </m:rPr>
          <m:t>+</m:t>
        </m:r>
        <m:r>
          <m:t>0.270</m:t>
        </m:r>
      </m:oMath>
      <w:r>
        <w:t xml:space="preserve">) and H1c (</w:t>
      </w:r>
      <m:oMath>
        <m:r>
          <m:t>ρ</m:t>
        </m:r>
        <m:r>
          <m:rPr>
            <m:sty m:val="p"/>
          </m:rPr>
          <m:t>=</m:t>
        </m:r>
        <m:r>
          <m:rPr>
            <m:sty m:val="p"/>
          </m:rPr>
          <m:t>+</m:t>
        </m:r>
        <m:r>
          <m:t>0.375</m:t>
        </m:r>
      </m:oMath>
      <w:r>
        <w:t xml:space="preserve">) are the largest non-significant magnitudes in the grid despite negative ranking agreement (</w:t>
      </w:r>
      <m:oMath>
        <m:r>
          <m:t>ρ</m:t>
        </m:r>
        <m:r>
          <m:rPr>
            <m:sty m:val="p"/>
          </m:rPr>
          <m:t>=</m:t>
        </m:r>
        <m:r>
          <m:rPr>
            <m:sty m:val="p"/>
          </m:rPr>
          <m:t>−</m:t>
        </m:r>
        <m:r>
          <m:t>0.164</m:t>
        </m:r>
      </m:oMath>
      <w:r>
        <w:t xml:space="preserve">, Table </w:t>
      </w:r>
      <w:hyperlink w:anchor="tab:distributional-gap">
        <w:r>
          <w:rPr>
            <w:rStyle w:val="Hyperlink"/>
          </w:rPr>
          <w:t xml:space="preserve">10</w:t>
        </w:r>
      </w:hyperlink>
      <w:r>
        <w:t xml:space="preserve">), remaining just above the</w:t>
      </w:r>
      <w:r>
        <w:t xml:space="preserve"> </w:t>
      </w:r>
      <m:oMath>
        <m:r>
          <m:t>p</m:t>
        </m:r>
        <m:r>
          <m:rPr>
            <m:sty m:val="p"/>
          </m:rPr>
          <m:t>&lt;</m:t>
        </m:r>
        <m:r>
          <m:t>.10</m:t>
        </m:r>
      </m:oMath>
      <w:r>
        <w:t xml:space="preserve"> </w:t>
      </w:r>
      <w:r>
        <w:t xml:space="preserve">threshold.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each family’s reliable SDGs only, UNGDC:</w:t>
      </w:r>
      <w:r>
        <w:t xml:space="preserve"> </w:t>
      </w:r>
      <m:oMath>
        <m:r>
          <m:t>n</m:t>
        </m:r>
        <m:r>
          <m:rPr>
            <m:sty m:val="p"/>
          </m:rPr>
          <m:t>=</m:t>
        </m:r>
        <m:r>
          <m:t>15</m:t>
        </m:r>
      </m:oMath>
      <w:r>
        <w:t xml:space="preserve">) confirms the null is not an artefact of comparing an AI-specific research intersection with a broader policy union: the curated AI/SDG construction reproduces the full-corpus pattern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0.600</m:t>
        </m:r>
      </m:oMath>
      <w:r>
        <w:t xml:space="preserve">,</w:t>
      </w:r>
      <w:r>
        <w:t xml:space="preserve"> </w:t>
      </w:r>
      <m:oMath>
        <m:r>
          <m:t>p</m:t>
        </m:r>
        <m:r>
          <m:rPr>
            <m:sty m:val="p"/>
          </m:rPr>
          <m:t>=</m:t>
        </m:r>
        <m:r>
          <m:t>0.014</m:t>
        </m:r>
      </m:oMath>
      <w:r>
        <w:t xml:space="preserve">;</w:t>
      </w:r>
      <w:r>
        <w:t xml:space="preserve"> </w:t>
      </w:r>
      <m:oMath>
        <m:r>
          <m:t>ρ</m:t>
        </m:r>
        <m:r>
          <m:rPr>
            <m:sty m:val="p"/>
          </m:rPr>
          <m:t>=</m:t>
        </m:r>
        <m:r>
          <m:t>0.420</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t xml:space="preserve">The Coverage gap adj. column of Table </w:t>
      </w:r>
      <w:hyperlink w:anchor="tab:policy-source-family-h25">
        <w:r>
          <w:rPr>
            <w:rStyle w:val="Hyperlink"/>
          </w:rPr>
          <w:t xml:space="preserve">33</w:t>
        </w:r>
      </w:hyperlink>
      <w:r>
        <w:t xml:space="preserve"> </w:t>
      </w:r>
      <w:r>
        <w:t xml:space="preserve">repeats the coverage-gap predictor against the register-adjusted semantic gap (Section </w:t>
      </w:r>
      <w:hyperlink w:anchor="sec:register-adjustment-inlp">
        <w:r>
          <w:rPr>
            <w:rStyle w:val="Hyperlink"/>
          </w:rPr>
          <w:t xml:space="preserve">3.8</w:t>
        </w:r>
      </w:hyperlink>
      <w:r>
        <w:t xml:space="preserve">). The full-corpus row reproduces the main-text decomposition estimate (</w:t>
      </w:r>
      <m:oMath>
        <m:r>
          <m:t>ρ</m:t>
        </m:r>
        <m:r>
          <m:rPr>
            <m:sty m:val="p"/>
          </m:rPr>
          <m:t>=</m:t>
        </m:r>
        <m:r>
          <m:t>0.544</m:t>
        </m:r>
      </m:oMath>
      <w:r>
        <w:t xml:space="preserve">,</w:t>
      </w:r>
      <w:r>
        <w:t xml:space="preserve"> </w:t>
      </w:r>
      <m:oMath>
        <m:r>
          <m:t>p</m:t>
        </m:r>
        <m:r>
          <m:rPr>
            <m:sty m:val="p"/>
          </m:rPr>
          <m:t>=</m:t>
        </m:r>
        <m:r>
          <m:t>0.025</m:t>
        </m:r>
      </m:oMath>
      <w:r>
        <w:t xml:space="preserve">), confirming that the projection is applied consistently here. The positive adjusted association appears in the SDGi family (</w:t>
      </w:r>
      <m:oMath>
        <m:r>
          <m:t>ρ</m:t>
        </m:r>
        <m:r>
          <m:rPr>
            <m:sty m:val="p"/>
          </m:rPr>
          <m:t>=</m:t>
        </m:r>
        <m:r>
          <m:t>0.498</m:t>
        </m:r>
      </m:oMath>
      <w:r>
        <w:t xml:space="preserve">,</w:t>
      </w:r>
      <w:r>
        <w:t xml:space="preserve"> </w:t>
      </w:r>
      <m:oMath>
        <m:r>
          <m:t>p</m:t>
        </m:r>
        <m:r>
          <m:rPr>
            <m:sty m:val="p"/>
          </m:rPr>
          <m:t>=</m:t>
        </m:r>
        <m:r>
          <m:t>0.044</m:t>
        </m:r>
      </m:oMath>
      <w:r>
        <w:t xml:space="preserve">) and the full corpus (</w:t>
      </w:r>
      <m:oMath>
        <m:r>
          <m:t>ρ</m:t>
        </m:r>
        <m:r>
          <m:rPr>
            <m:sty m:val="p"/>
          </m:rPr>
          <m:t>=</m:t>
        </m:r>
        <m:r>
          <m:t>0.544</m:t>
        </m:r>
      </m:oMath>
      <w:r>
        <w:t xml:space="preserve">,</w:t>
      </w:r>
      <w:r>
        <w:t xml:space="preserve"> </w:t>
      </w:r>
      <m:oMath>
        <m:r>
          <m:t>p</m:t>
        </m:r>
        <m:r>
          <m:rPr>
            <m:sty m:val="p"/>
          </m:rPr>
          <m:t>=</m:t>
        </m:r>
        <m:r>
          <m:t>0.025</m:t>
        </m:r>
      </m:oMath>
      <w:r>
        <w:t xml:space="preserve">), but not under symmetric scope: the curated AI/SDG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as is UNGDC (</w:t>
      </w:r>
      <m:oMath>
        <m:r>
          <m:t>ρ</m:t>
        </m:r>
        <m:r>
          <m:rPr>
            <m:sty m:val="p"/>
          </m:rPr>
          <m:t>=</m:t>
        </m:r>
        <m:r>
          <m:t>0.357</m:t>
        </m:r>
      </m:oMath>
      <w:r>
        <w:t xml:space="preserve">,</w:t>
      </w:r>
      <w:r>
        <w:t xml:space="preserve"> </w:t>
      </w:r>
      <m:oMath>
        <m:r>
          <m:t>p</m:t>
        </m:r>
        <m:r>
          <m:rPr>
            <m:sty m:val="p"/>
          </m:rPr>
          <m:t>=</m:t>
        </m:r>
        <m:r>
          <m:t>0.191</m:t>
        </m:r>
      </m:oMath>
      <w:r>
        <w:t xml:space="preserve">). Two qualifications bound this result. First, the curated family’s document-weighted profile spans only 94 documents, so its policy share varies over a narrower range than the full corpus at the same</w:t>
      </w:r>
      <w:r>
        <w:t xml:space="preserve"> </w:t>
      </w:r>
      <m:oMath>
        <m:r>
          <m:t>n</m:t>
        </m:r>
        <m:r>
          <m:rPr>
            <m:sty m:val="p"/>
          </m:rPr>
          <m:t>=</m:t>
        </m:r>
        <m:r>
          <m:t>17</m:t>
        </m:r>
      </m:oMath>
      <w:r>
        <w:t xml:space="preserve">, which attenuates rank correlations. Second, the adjusted gaps carry the register-removal caveat of Appendix </w:t>
      </w:r>
      <w:hyperlink w:anchor="app:register-validation">
        <w:r>
          <w:rPr>
            <w:rStyle w:val="Hyperlink"/>
          </w:rPr>
          <w:t xml:space="preserve">13.2</w:t>
        </w:r>
      </w:hyperlink>
      <w:r>
        <w:t xml:space="preserve">: what INLP removes is broader than measurable register. The symmetric-scope column therefore bounds the reach of the positive adjusted association rather than overturning its full-corpus estimate.</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71"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2024–25</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70"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Cross2013"/>
    <w:p>
      <w:pPr>
        <w:pStyle w:val="Bibliography"/>
      </w:pPr>
      <w:r>
        <w:t xml:space="preserve">Cross, M.K.D. (2013) Rethinking epistemic communities twenty years later.</w:t>
      </w:r>
      <w:r>
        <w:t xml:space="preserve"> </w:t>
      </w:r>
      <w:r>
        <w:rPr>
          <w:iCs/>
          <w:i/>
        </w:rPr>
        <w:t xml:space="preserve">Review of International Studies</w:t>
      </w:r>
      <w:r>
        <w:t xml:space="preserve">, 39 (1): 137–160. doi:</w:t>
      </w:r>
      <w:hyperlink r:id="rId182">
        <w:r>
          <w:rPr>
            <w:rStyle w:val="Hyperlink"/>
          </w:rPr>
          <w:t xml:space="preserve">10.1017/S0260210512000034</w:t>
        </w:r>
      </w:hyperlink>
      <w:r>
        <w:t xml:space="preserve">.</w:t>
      </w:r>
    </w:p>
    <w:bookmarkEnd w:id="183"/>
    <w:bookmarkStart w:id="185"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4">
        <w:r>
          <w:rPr>
            <w:rStyle w:val="Hyperlink"/>
          </w:rPr>
          <w:t xml:space="preserve">https://eur-lex.europa.eu/legal-content/EN/TXT/?uri=CELEX:32024R1689</w:t>
        </w:r>
      </w:hyperlink>
      <w:r>
        <w:t xml:space="preserve">.</w:t>
      </w:r>
    </w:p>
    <w:bookmarkEnd w:id="185"/>
    <w:bookmarkStart w:id="187"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6">
        <w:r>
          <w:rPr>
            <w:rStyle w:val="Hyperlink"/>
          </w:rPr>
          <w:t xml:space="preserve">10.1080/13552074.2016.1145895</w:t>
        </w:r>
      </w:hyperlink>
      <w:r>
        <w:t xml:space="preserve">.</w:t>
      </w:r>
    </w:p>
    <w:bookmarkEnd w:id="187"/>
    <w:bookmarkStart w:id="188"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8"/>
    <w:bookmarkStart w:id="190"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9">
        <w:r>
          <w:rPr>
            <w:rStyle w:val="Hyperlink"/>
          </w:rPr>
          <w:t xml:space="preserve">10.1109/ACCESS.2025.3595894</w:t>
        </w:r>
      </w:hyperlink>
      <w:r>
        <w:t xml:space="preserve">.</w:t>
      </w:r>
    </w:p>
    <w:bookmarkEnd w:id="190"/>
    <w:bookmarkStart w:id="192"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91">
        <w:r>
          <w:rPr>
            <w:rStyle w:val="Hyperlink"/>
          </w:rPr>
          <w:t xml:space="preserve">10.1038/s41893-025-01598-6</w:t>
        </w:r>
      </w:hyperlink>
      <w:r>
        <w:t xml:space="preserve">.</w:t>
      </w:r>
    </w:p>
    <w:bookmarkEnd w:id="192"/>
    <w:bookmarkStart w:id="194"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3">
        <w:r>
          <w:rPr>
            <w:rStyle w:val="Hyperlink"/>
          </w:rPr>
          <w:t xml:space="preserve">10.3389/frai.2024.1472411</w:t>
        </w:r>
      </w:hyperlink>
      <w:r>
        <w:t xml:space="preserve">.</w:t>
      </w:r>
    </w:p>
    <w:bookmarkEnd w:id="194"/>
    <w:bookmarkStart w:id="196"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5">
        <w:r>
          <w:rPr>
            <w:rStyle w:val="Hyperlink"/>
          </w:rPr>
          <w:t xml:space="preserve">10.24948/2017.01</w:t>
        </w:r>
      </w:hyperlink>
      <w:r>
        <w:t xml:space="preserve">.</w:t>
      </w:r>
    </w:p>
    <w:bookmarkEnd w:id="196"/>
    <w:bookmarkStart w:id="198"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7">
        <w:r>
          <w:rPr>
            <w:rStyle w:val="Hyperlink"/>
          </w:rPr>
          <w:t xml:space="preserve">10.1177/016224390102600401</w:t>
        </w:r>
      </w:hyperlink>
      <w:r>
        <w:t xml:space="preserve">.</w:t>
      </w:r>
    </w:p>
    <w:bookmarkEnd w:id="198"/>
    <w:bookmarkStart w:id="200"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9">
        <w:r>
          <w:rPr>
            <w:rStyle w:val="Hyperlink"/>
          </w:rPr>
          <w:t xml:space="preserve">10.1017/S0020818300001442</w:t>
        </w:r>
      </w:hyperlink>
      <w:r>
        <w:t xml:space="preserve">.</w:t>
      </w:r>
    </w:p>
    <w:bookmarkEnd w:id="200"/>
    <w:bookmarkStart w:id="202" w:name="ref-Harris1954"/>
    <w:p>
      <w:pPr>
        <w:pStyle w:val="Bibliography"/>
      </w:pPr>
      <w:r>
        <w:t xml:space="preserve">Harris, Z.S. (1954) Distributional structure.</w:t>
      </w:r>
      <w:r>
        <w:t xml:space="preserve"> </w:t>
      </w:r>
      <w:r>
        <w:rPr>
          <w:iCs/>
          <w:i/>
        </w:rPr>
        <w:t xml:space="preserve">WORD</w:t>
      </w:r>
      <w:r>
        <w:t xml:space="preserve">, 10 (2–3): 146–162. doi:</w:t>
      </w:r>
      <w:hyperlink r:id="rId201">
        <w:r>
          <w:rPr>
            <w:rStyle w:val="Hyperlink"/>
          </w:rPr>
          <w:t xml:space="preserve">10.1080/00437956.1954.11659520</w:t>
        </w:r>
      </w:hyperlink>
      <w:r>
        <w:t xml:space="preserve">.</w:t>
      </w:r>
    </w:p>
    <w:bookmarkEnd w:id="202"/>
    <w:bookmarkStart w:id="204"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3">
        <w:r>
          <w:rPr>
            <w:rStyle w:val="Hyperlink"/>
          </w:rPr>
          <w:t xml:space="preserve">10.1007/978-0-387-84858-7</w:t>
        </w:r>
      </w:hyperlink>
      <w:r>
        <w:t xml:space="preserve">.</w:t>
      </w:r>
    </w:p>
    <w:bookmarkEnd w:id="204"/>
    <w:bookmarkStart w:id="206"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5">
        <w:r>
          <w:rPr>
            <w:rStyle w:val="Hyperlink"/>
          </w:rPr>
          <w:t xml:space="preserve">10.1007/s43681-023-00259-8</w:t>
        </w:r>
      </w:hyperlink>
      <w:r>
        <w:t xml:space="preserve">.</w:t>
      </w:r>
    </w:p>
    <w:bookmarkEnd w:id="206"/>
    <w:bookmarkStart w:id="207"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7"/>
    <w:bookmarkStart w:id="209"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8">
        <w:r>
          <w:rPr>
            <w:rStyle w:val="Hyperlink"/>
          </w:rPr>
          <w:t xml:space="preserve">10.1002/csr.2202</w:t>
        </w:r>
      </w:hyperlink>
      <w:r>
        <w:t xml:space="preserve">.</w:t>
      </w:r>
    </w:p>
    <w:bookmarkEnd w:id="209"/>
    <w:bookmarkStart w:id="211" w:name="ref-Hickel2019"/>
    <w:p>
      <w:pPr>
        <w:pStyle w:val="Bibliography"/>
      </w:pPr>
      <w:r>
        <w:t xml:space="preserve">Hickel, J. (2019) The contradiction of the sustainable development goals: Growth versus ecology on a finite planet.</w:t>
      </w:r>
      <w:r>
        <w:t xml:space="preserve"> </w:t>
      </w:r>
      <w:r>
        <w:rPr>
          <w:iCs/>
          <w:i/>
        </w:rPr>
        <w:t xml:space="preserve">Sustainable Development</w:t>
      </w:r>
      <w:r>
        <w:t xml:space="preserve">, 27 (5): 873–884. doi:</w:t>
      </w:r>
      <w:hyperlink r:id="rId210">
        <w:r>
          <w:rPr>
            <w:rStyle w:val="Hyperlink"/>
          </w:rPr>
          <w:t xml:space="preserve">10.1002/sd.1947</w:t>
        </w:r>
      </w:hyperlink>
      <w:r>
        <w:t xml:space="preserve">.</w:t>
      </w:r>
    </w:p>
    <w:bookmarkEnd w:id="211"/>
    <w:bookmarkStart w:id="213"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2">
        <w:r>
          <w:rPr>
            <w:rStyle w:val="Hyperlink"/>
          </w:rPr>
          <w:t xml:space="preserve">https://www.ipcc.ch/report/ar6/wg2/</w:t>
        </w:r>
      </w:hyperlink>
      <w:r>
        <w:t xml:space="preserve">.</w:t>
      </w:r>
    </w:p>
    <w:bookmarkEnd w:id="213"/>
    <w:bookmarkStart w:id="215"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4">
        <w:r>
          <w:rPr>
            <w:rStyle w:val="Hyperlink"/>
          </w:rPr>
          <w:t xml:space="preserve">10.1177/00223433241275335</w:t>
        </w:r>
      </w:hyperlink>
      <w:r>
        <w:t xml:space="preserve">.</w:t>
      </w:r>
    </w:p>
    <w:bookmarkEnd w:id="215"/>
    <w:bookmarkStart w:id="217"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6">
        <w:r>
          <w:rPr>
            <w:rStyle w:val="Hyperlink"/>
          </w:rPr>
          <w:t xml:space="preserve">10.1162/qss_a_00304</w:t>
        </w:r>
      </w:hyperlink>
      <w:r>
        <w:t xml:space="preserve">.</w:t>
      </w:r>
    </w:p>
    <w:bookmarkEnd w:id="217"/>
    <w:bookmarkStart w:id="219" w:name="ref-NIPS2012_c399862d"/>
    <w:p>
      <w:pPr>
        <w:pStyle w:val="Bibliography"/>
      </w:pPr>
      <w:r>
        <w:t xml:space="preserve">Krizhevsky, A., Sutskever, I. and Hinton, G.E. (2012)</w:t>
      </w:r>
      <w:r>
        <w:t xml:space="preserve"> </w:t>
      </w:r>
      <w:r>
        <w:t xml:space="preserve">“ImageNet classification with deep convolutional neural networks.”</w:t>
      </w:r>
      <w:r>
        <w:t xml:space="preserve"> </w:t>
      </w:r>
      <w:r>
        <w:rPr>
          <w:u w:val="single"/>
        </w:rPr>
        <w:t xml:space="preserve">In</w:t>
      </w:r>
      <w:r>
        <w:t xml:space="preserve"> Pereira, F., Burges, C.J., Bottou, L., et al. (eds.).</w:t>
      </w:r>
      <w:r>
        <w:t xml:space="preserve"> </w:t>
      </w:r>
      <w:r>
        <w:rPr>
          <w:iCs/>
          <w:i/>
        </w:rPr>
        <w:t xml:space="preserve">Advances in neural information processing systems</w:t>
      </w:r>
      <w:r>
        <w:t xml:space="preserve">. 2012. Curran Associates, Inc. Available at:</w:t>
      </w:r>
      <w:r>
        <w:t xml:space="preserve"> </w:t>
      </w:r>
      <w:hyperlink r:id="rId218">
        <w:r>
          <w:rPr>
            <w:rStyle w:val="Hyperlink"/>
          </w:rPr>
          <w:t xml:space="preserve">https://proceedings.neurips.cc/paper_files/paper/2012/file/c399862d3b9d6b76c8436e924a68c45b-Paper.pdf</w:t>
        </w:r>
      </w:hyperlink>
      <w:r>
        <w:t xml:space="preserve">.</w:t>
      </w:r>
    </w:p>
    <w:bookmarkEnd w:id="219"/>
    <w:bookmarkStart w:id="221"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20">
        <w:r>
          <w:rPr>
            <w:rStyle w:val="Hyperlink"/>
          </w:rPr>
          <w:t xml:space="preserve">10.1002/sd.1582</w:t>
        </w:r>
      </w:hyperlink>
      <w:r>
        <w:t xml:space="preserve">.</w:t>
      </w:r>
    </w:p>
    <w:bookmarkEnd w:id="221"/>
    <w:bookmarkStart w:id="223"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2">
        <w:r>
          <w:rPr>
            <w:rStyle w:val="Hyperlink"/>
          </w:rPr>
          <w:t xml:space="preserve">https://nlp.stanford.edu/IR-book/</w:t>
        </w:r>
      </w:hyperlink>
      <w:r>
        <w:t xml:space="preserve">.</w:t>
      </w:r>
    </w:p>
    <w:bookmarkEnd w:id="223"/>
    <w:bookmarkStart w:id="225"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4">
        <w:r>
          <w:rPr>
            <w:rStyle w:val="Hyperlink"/>
          </w:rPr>
          <w:t xml:space="preserve">10.1016/j.ecoinf.2026.103669</w:t>
        </w:r>
      </w:hyperlink>
      <w:r>
        <w:t xml:space="preserve">.</w:t>
      </w:r>
    </w:p>
    <w:bookmarkEnd w:id="225"/>
    <w:bookmarkStart w:id="227"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6">
        <w:r>
          <w:rPr>
            <w:rStyle w:val="Hyperlink"/>
          </w:rPr>
          <w:t xml:space="preserve">10.1109/ACCESS.2024.3516500</w:t>
        </w:r>
      </w:hyperlink>
      <w:r>
        <w:t xml:space="preserve">.</w:t>
      </w:r>
    </w:p>
    <w:bookmarkEnd w:id="227"/>
    <w:bookmarkStart w:id="229"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8">
        <w:r>
          <w:rPr>
            <w:rStyle w:val="Hyperlink"/>
          </w:rPr>
          <w:t xml:space="preserve">10.1038/534320a</w:t>
        </w:r>
      </w:hyperlink>
      <w:r>
        <w:t xml:space="preserve">.</w:t>
      </w:r>
    </w:p>
    <w:bookmarkEnd w:id="229"/>
    <w:bookmarkStart w:id="231"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30">
        <w:r>
          <w:rPr>
            <w:rStyle w:val="Hyperlink"/>
          </w:rPr>
          <w:t xml:space="preserve">10.18653/v1/W17-4903</w:t>
        </w:r>
      </w:hyperlink>
      <w:r>
        <w:t xml:space="preserve">.</w:t>
      </w:r>
    </w:p>
    <w:bookmarkEnd w:id="231"/>
    <w:bookmarkStart w:id="233"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2">
        <w:r>
          <w:rPr>
            <w:rStyle w:val="Hyperlink"/>
          </w:rPr>
          <w:t xml:space="preserve">https://oecd.ai/en/partner-data-methodological-note</w:t>
        </w:r>
      </w:hyperlink>
      <w:r>
        <w:t xml:space="preserve">.</w:t>
      </w:r>
    </w:p>
    <w:bookmarkEnd w:id="233"/>
    <w:bookmarkStart w:id="235"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4">
        <w:r>
          <w:rPr>
            <w:rStyle w:val="Hyperlink"/>
          </w:rPr>
          <w:t xml:space="preserve">10.48550/arXiv.2205.01833</w:t>
        </w:r>
      </w:hyperlink>
      <w:r>
        <w:t xml:space="preserve">.</w:t>
      </w:r>
    </w:p>
    <w:bookmarkEnd w:id="235"/>
    <w:bookmarkStart w:id="237"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6">
        <w:r>
          <w:rPr>
            <w:rStyle w:val="Hyperlink"/>
          </w:rPr>
          <w:t xml:space="preserve">10.48550/arXiv.2211.11252</w:t>
        </w:r>
      </w:hyperlink>
      <w:r>
        <w:t xml:space="preserve">.</w:t>
      </w:r>
    </w:p>
    <w:bookmarkEnd w:id="237"/>
    <w:bookmarkStart w:id="239"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8">
        <w:r>
          <w:rPr>
            <w:rStyle w:val="Hyperlink"/>
          </w:rPr>
          <w:t xml:space="preserve">10.18653/v1/2020.acl-main.647</w:t>
        </w:r>
      </w:hyperlink>
      <w:r>
        <w:t xml:space="preserve">.</w:t>
      </w:r>
    </w:p>
    <w:bookmarkEnd w:id="239"/>
    <w:bookmarkStart w:id="241"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40">
        <w:r>
          <w:rPr>
            <w:rStyle w:val="Hyperlink"/>
          </w:rPr>
          <w:t xml:space="preserve">10.18653/v1/D19-1410</w:t>
        </w:r>
      </w:hyperlink>
      <w:r>
        <w:t xml:space="preserve">.</w:t>
      </w:r>
    </w:p>
    <w:bookmarkEnd w:id="241"/>
    <w:bookmarkStart w:id="243"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2">
        <w:r>
          <w:rPr>
            <w:rStyle w:val="Hyperlink"/>
          </w:rPr>
          <w:t xml:space="preserve">10.1017/S0003055422001228</w:t>
        </w:r>
      </w:hyperlink>
      <w:r>
        <w:t xml:space="preserve">.</w:t>
      </w:r>
    </w:p>
    <w:bookmarkEnd w:id="243"/>
    <w:bookmarkStart w:id="245"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4">
        <w:r>
          <w:rPr>
            <w:rStyle w:val="Hyperlink"/>
          </w:rPr>
          <w:t xml:space="preserve">10.51593/20230</w:t>
        </w:r>
      </w:hyperlink>
      <w:r>
        <w:t xml:space="preserve">.</w:t>
      </w:r>
    </w:p>
    <w:bookmarkEnd w:id="245"/>
    <w:bookmarkStart w:id="247"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6">
        <w:r>
          <w:rPr>
            <w:rStyle w:val="Hyperlink"/>
          </w:rPr>
          <w:t xml:space="preserve">https://github.com/SDGClassification/benchmark</w:t>
        </w:r>
      </w:hyperlink>
      <w:r>
        <w:t xml:space="preserve">.</w:t>
      </w:r>
    </w:p>
    <w:bookmarkEnd w:id="247"/>
    <w:bookmarkStart w:id="249"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8">
        <w:r>
          <w:rPr>
            <w:rStyle w:val="Hyperlink"/>
          </w:rPr>
          <w:t xml:space="preserve">https://huggingface.co/datasets/UNDP/sdgi-corpus</w:t>
        </w:r>
      </w:hyperlink>
      <w:r>
        <w:t xml:space="preserve">.</w:t>
      </w:r>
    </w:p>
    <w:bookmarkEnd w:id="249"/>
    <w:bookmarkStart w:id="250"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50"/>
    <w:bookmarkStart w:id="251"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51"/>
    <w:bookmarkStart w:id="253"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2">
        <w:r>
          <w:rPr>
            <w:rStyle w:val="Hyperlink"/>
          </w:rPr>
          <w:t xml:space="preserve">10.1002/sd.2706</w:t>
        </w:r>
      </w:hyperlink>
      <w:r>
        <w:t xml:space="preserve">.</w:t>
      </w:r>
    </w:p>
    <w:bookmarkEnd w:id="253"/>
    <w:bookmarkStart w:id="255"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4">
        <w:r>
          <w:rPr>
            <w:rStyle w:val="Hyperlink"/>
          </w:rPr>
          <w:t xml:space="preserve">10.1007/s00146-025-02181-5</w:t>
        </w:r>
      </w:hyperlink>
      <w:r>
        <w:t xml:space="preserve">.</w:t>
      </w:r>
    </w:p>
    <w:bookmarkEnd w:id="255"/>
    <w:bookmarkStart w:id="257"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6">
        <w:r>
          <w:rPr>
            <w:rStyle w:val="Hyperlink"/>
          </w:rPr>
          <w:t xml:space="preserve">10.48550/arXiv.2505.00174</w:t>
        </w:r>
      </w:hyperlink>
      <w:r>
        <w:t xml:space="preserve">.</w:t>
      </w:r>
    </w:p>
    <w:bookmarkEnd w:id="257"/>
    <w:bookmarkStart w:id="259"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8">
        <w:r>
          <w:rPr>
            <w:rStyle w:val="Hyperlink"/>
          </w:rPr>
          <w:t xml:space="preserve">10.1145/3630106.3659035</w:t>
        </w:r>
      </w:hyperlink>
      <w:r>
        <w:t xml:space="preserve">.</w:t>
      </w:r>
    </w:p>
    <w:bookmarkEnd w:id="259"/>
    <w:bookmarkStart w:id="261"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60">
        <w:r>
          <w:rPr>
            <w:rStyle w:val="Hyperlink"/>
          </w:rPr>
          <w:t xml:space="preserve">10.5281/zenodo.3798385</w:t>
        </w:r>
      </w:hyperlink>
      <w:r>
        <w:t xml:space="preserve">.</w:t>
      </w:r>
    </w:p>
    <w:bookmarkEnd w:id="261"/>
    <w:bookmarkStart w:id="263"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2">
        <w:r>
          <w:rPr>
            <w:rStyle w:val="Hyperlink"/>
          </w:rPr>
          <w:t xml:space="preserve">10.1038/s41467-019-14108-y</w:t>
        </w:r>
      </w:hyperlink>
      <w:r>
        <w:t xml:space="preserve">.</w:t>
      </w:r>
    </w:p>
    <w:bookmarkEnd w:id="263"/>
    <w:bookmarkStart w:id="265" w:name="ref-Wang2020"/>
    <w:p>
      <w:pPr>
        <w:pStyle w:val="Bibliography"/>
      </w:pPr>
      <w:r>
        <w:t xml:space="preserve">Wang, K., Shen, Z., Huang, C., et al. (2020) Microsoft academic graph: When experts are not enough.</w:t>
      </w:r>
      <w:r>
        <w:t xml:space="preserve"> </w:t>
      </w:r>
      <w:r>
        <w:rPr>
          <w:iCs/>
          <w:i/>
        </w:rPr>
        <w:t xml:space="preserve">Quantitative Science Studies</w:t>
      </w:r>
      <w:r>
        <w:t xml:space="preserve">, 1 (1): 396–413. doi:</w:t>
      </w:r>
      <w:hyperlink r:id="rId264">
        <w:r>
          <w:rPr>
            <w:rStyle w:val="Hyperlink"/>
          </w:rPr>
          <w:t xml:space="preserve">10.1162/qss_a_00021</w:t>
        </w:r>
      </w:hyperlink>
      <w:r>
        <w:t xml:space="preserve">.</w:t>
      </w:r>
    </w:p>
    <w:bookmarkEnd w:id="265"/>
    <w:bookmarkStart w:id="267"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6">
        <w:r>
          <w:rPr>
            <w:rStyle w:val="Hyperlink"/>
          </w:rPr>
          <w:t xml:space="preserve">10.5281/zenodo.7523032</w:t>
        </w:r>
      </w:hyperlink>
      <w:r>
        <w:t xml:space="preserve">.</w:t>
      </w:r>
    </w:p>
    <w:bookmarkEnd w:id="267"/>
    <w:bookmarkStart w:id="269"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8">
        <w:r>
          <w:rPr>
            <w:rStyle w:val="Hyperlink"/>
          </w:rPr>
          <w:t xml:space="preserve">10.1016/j.array.2025.100419</w:t>
        </w:r>
      </w:hyperlink>
      <w:r>
        <w:t xml:space="preserve">.</w:t>
      </w:r>
    </w:p>
    <w:bookmarkEnd w:id="269"/>
    <w:bookmarkEnd w:id="270"/>
    <w:bookmarkEnd w:id="271"/>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8" Target="https://doi.org/10.1002/csr.2202" TargetMode="External" /><Relationship Type="http://schemas.openxmlformats.org/officeDocument/2006/relationships/hyperlink" Id="rId220" Target="https://doi.org/10.1002/sd.1582" TargetMode="External" /><Relationship Type="http://schemas.openxmlformats.org/officeDocument/2006/relationships/hyperlink" Id="rId210" Target="https://doi.org/10.1002/sd.1947" TargetMode="External" /><Relationship Type="http://schemas.openxmlformats.org/officeDocument/2006/relationships/hyperlink" Id="rId252" Target="https://doi.org/10.1002/sd.2706" TargetMode="External" /><Relationship Type="http://schemas.openxmlformats.org/officeDocument/2006/relationships/hyperlink" Id="rId203" Target="https://doi.org/10.1007/978-0-387-84858-7" TargetMode="External" /><Relationship Type="http://schemas.openxmlformats.org/officeDocument/2006/relationships/hyperlink" Id="rId254"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5" Target="https://doi.org/10.1007/s43681-023-00259-8" TargetMode="External" /><Relationship Type="http://schemas.openxmlformats.org/officeDocument/2006/relationships/hyperlink" Id="rId268" Target="https://doi.org/10.1016/j.array.2025.100419" TargetMode="External" /><Relationship Type="http://schemas.openxmlformats.org/officeDocument/2006/relationships/hyperlink" Id="rId224" Target="https://doi.org/10.1016/j.ecoinf.2026.103669" TargetMode="External" /><Relationship Type="http://schemas.openxmlformats.org/officeDocument/2006/relationships/hyperlink" Id="rId242" Target="https://doi.org/10.1017/S0003055422001228" TargetMode="External" /><Relationship Type="http://schemas.openxmlformats.org/officeDocument/2006/relationships/hyperlink" Id="rId199" Target="https://doi.org/10.1017/S0020818300001442" TargetMode="External" /><Relationship Type="http://schemas.openxmlformats.org/officeDocument/2006/relationships/hyperlink" Id="rId182" Target="https://doi.org/10.1017/S0260210512000034" TargetMode="External" /><Relationship Type="http://schemas.openxmlformats.org/officeDocument/2006/relationships/hyperlink" Id="rId228" Target="https://doi.org/10.1038/534320a" TargetMode="External" /><Relationship Type="http://schemas.openxmlformats.org/officeDocument/2006/relationships/hyperlink" Id="rId262" Target="https://doi.org/10.1038/s41467-019-14108-y" TargetMode="External" /><Relationship Type="http://schemas.openxmlformats.org/officeDocument/2006/relationships/hyperlink" Id="rId191"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201"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6" Target="https://doi.org/10.1080/13552074.2016.1145895" TargetMode="External" /><Relationship Type="http://schemas.openxmlformats.org/officeDocument/2006/relationships/hyperlink" Id="rId226" Target="https://doi.org/10.1109/ACCESS.2024.3516500" TargetMode="External" /><Relationship Type="http://schemas.openxmlformats.org/officeDocument/2006/relationships/hyperlink" Id="rId189"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8" Target="https://doi.org/10.1145/3630106.3659035" TargetMode="External" /><Relationship Type="http://schemas.openxmlformats.org/officeDocument/2006/relationships/hyperlink" Id="rId264" Target="https://doi.org/10.1162/qss_a_00021" TargetMode="External" /><Relationship Type="http://schemas.openxmlformats.org/officeDocument/2006/relationships/hyperlink" Id="rId154" Target="https://doi.org/10.1162/qss_a_00071" TargetMode="External" /><Relationship Type="http://schemas.openxmlformats.org/officeDocument/2006/relationships/hyperlink" Id="rId216"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4" Target="https://doi.org/10.1177/00223433241275335" TargetMode="External" /><Relationship Type="http://schemas.openxmlformats.org/officeDocument/2006/relationships/hyperlink" Id="rId197" Target="https://doi.org/10.1177/016224390102600401" TargetMode="External" /><Relationship Type="http://schemas.openxmlformats.org/officeDocument/2006/relationships/hyperlink" Id="rId238" Target="https://doi.org/10.18653/v1/2020.acl-main.647" TargetMode="External" /><Relationship Type="http://schemas.openxmlformats.org/officeDocument/2006/relationships/hyperlink" Id="rId240"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30"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5"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3"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4" Target="https://doi.org/10.48550/arXiv.2205.01833" TargetMode="External" /><Relationship Type="http://schemas.openxmlformats.org/officeDocument/2006/relationships/hyperlink" Id="rId236" Target="https://doi.org/10.48550/arXiv.2211.11252" TargetMode="External" /><Relationship Type="http://schemas.openxmlformats.org/officeDocument/2006/relationships/hyperlink" Id="rId256" Target="https://doi.org/10.48550/arXiv.2505.00174" TargetMode="External" /><Relationship Type="http://schemas.openxmlformats.org/officeDocument/2006/relationships/hyperlink" Id="rId244" Target="https://doi.org/10.51593/20230" TargetMode="External" /><Relationship Type="http://schemas.openxmlformats.org/officeDocument/2006/relationships/hyperlink" Id="rId260" Target="https://doi.org/10.5281/zenodo.3798385" TargetMode="External" /><Relationship Type="http://schemas.openxmlformats.org/officeDocument/2006/relationships/hyperlink" Id="rId266" Target="https://doi.org/10.5281/zenodo.7523032" TargetMode="External" /><Relationship Type="http://schemas.openxmlformats.org/officeDocument/2006/relationships/hyperlink" Id="rId184" Target="https://eur-lex.europa.eu/legal-content/EN/TXT/?uri=CELEX:32024R1689" TargetMode="External" /><Relationship Type="http://schemas.openxmlformats.org/officeDocument/2006/relationships/hyperlink" Id="rId246"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8" Target="https://huggingface.co/datasets/UNDP/sdgi-corpus" TargetMode="External" /><Relationship Type="http://schemas.openxmlformats.org/officeDocument/2006/relationships/hyperlink" Id="rId222" Target="https://nlp.stanford.edu/IR-book/" TargetMode="External" /><Relationship Type="http://schemas.openxmlformats.org/officeDocument/2006/relationships/hyperlink" Id="rId232" Target="https://oecd.ai/en/partner-data-methodological-note" TargetMode="External" /><Relationship Type="http://schemas.openxmlformats.org/officeDocument/2006/relationships/hyperlink" Id="rId218" Target="https://proceedings.neurips.cc/paper_files/paper/2012/file/c399862d3b9d6b76c8436e924a68c45b-Paper.pdf" TargetMode="External" /><Relationship Type="http://schemas.openxmlformats.org/officeDocument/2006/relationships/hyperlink" Id="rId212"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8" Target="https://doi.org/10.1002/csr.2202" TargetMode="External" /><Relationship Type="http://schemas.openxmlformats.org/officeDocument/2006/relationships/hyperlink" Id="rId220" Target="https://doi.org/10.1002/sd.1582" TargetMode="External" /><Relationship Type="http://schemas.openxmlformats.org/officeDocument/2006/relationships/hyperlink" Id="rId210" Target="https://doi.org/10.1002/sd.1947" TargetMode="External" /><Relationship Type="http://schemas.openxmlformats.org/officeDocument/2006/relationships/hyperlink" Id="rId252" Target="https://doi.org/10.1002/sd.2706" TargetMode="External" /><Relationship Type="http://schemas.openxmlformats.org/officeDocument/2006/relationships/hyperlink" Id="rId203" Target="https://doi.org/10.1007/978-0-387-84858-7" TargetMode="External" /><Relationship Type="http://schemas.openxmlformats.org/officeDocument/2006/relationships/hyperlink" Id="rId254"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5" Target="https://doi.org/10.1007/s43681-023-00259-8" TargetMode="External" /><Relationship Type="http://schemas.openxmlformats.org/officeDocument/2006/relationships/hyperlink" Id="rId268" Target="https://doi.org/10.1016/j.array.2025.100419" TargetMode="External" /><Relationship Type="http://schemas.openxmlformats.org/officeDocument/2006/relationships/hyperlink" Id="rId224" Target="https://doi.org/10.1016/j.ecoinf.2026.103669" TargetMode="External" /><Relationship Type="http://schemas.openxmlformats.org/officeDocument/2006/relationships/hyperlink" Id="rId242" Target="https://doi.org/10.1017/S0003055422001228" TargetMode="External" /><Relationship Type="http://schemas.openxmlformats.org/officeDocument/2006/relationships/hyperlink" Id="rId199" Target="https://doi.org/10.1017/S0020818300001442" TargetMode="External" /><Relationship Type="http://schemas.openxmlformats.org/officeDocument/2006/relationships/hyperlink" Id="rId182" Target="https://doi.org/10.1017/S0260210512000034" TargetMode="External" /><Relationship Type="http://schemas.openxmlformats.org/officeDocument/2006/relationships/hyperlink" Id="rId228" Target="https://doi.org/10.1038/534320a" TargetMode="External" /><Relationship Type="http://schemas.openxmlformats.org/officeDocument/2006/relationships/hyperlink" Id="rId262" Target="https://doi.org/10.1038/s41467-019-14108-y" TargetMode="External" /><Relationship Type="http://schemas.openxmlformats.org/officeDocument/2006/relationships/hyperlink" Id="rId191"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201"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6" Target="https://doi.org/10.1080/13552074.2016.1145895" TargetMode="External" /><Relationship Type="http://schemas.openxmlformats.org/officeDocument/2006/relationships/hyperlink" Id="rId226" Target="https://doi.org/10.1109/ACCESS.2024.3516500" TargetMode="External" /><Relationship Type="http://schemas.openxmlformats.org/officeDocument/2006/relationships/hyperlink" Id="rId189"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8" Target="https://doi.org/10.1145/3630106.3659035" TargetMode="External" /><Relationship Type="http://schemas.openxmlformats.org/officeDocument/2006/relationships/hyperlink" Id="rId264" Target="https://doi.org/10.1162/qss_a_00021" TargetMode="External" /><Relationship Type="http://schemas.openxmlformats.org/officeDocument/2006/relationships/hyperlink" Id="rId154" Target="https://doi.org/10.1162/qss_a_00071" TargetMode="External" /><Relationship Type="http://schemas.openxmlformats.org/officeDocument/2006/relationships/hyperlink" Id="rId216"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4" Target="https://doi.org/10.1177/00223433241275335" TargetMode="External" /><Relationship Type="http://schemas.openxmlformats.org/officeDocument/2006/relationships/hyperlink" Id="rId197" Target="https://doi.org/10.1177/016224390102600401" TargetMode="External" /><Relationship Type="http://schemas.openxmlformats.org/officeDocument/2006/relationships/hyperlink" Id="rId238" Target="https://doi.org/10.18653/v1/2020.acl-main.647" TargetMode="External" /><Relationship Type="http://schemas.openxmlformats.org/officeDocument/2006/relationships/hyperlink" Id="rId240"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30"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5"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3"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4" Target="https://doi.org/10.48550/arXiv.2205.01833" TargetMode="External" /><Relationship Type="http://schemas.openxmlformats.org/officeDocument/2006/relationships/hyperlink" Id="rId236" Target="https://doi.org/10.48550/arXiv.2211.11252" TargetMode="External" /><Relationship Type="http://schemas.openxmlformats.org/officeDocument/2006/relationships/hyperlink" Id="rId256" Target="https://doi.org/10.48550/arXiv.2505.00174" TargetMode="External" /><Relationship Type="http://schemas.openxmlformats.org/officeDocument/2006/relationships/hyperlink" Id="rId244" Target="https://doi.org/10.51593/20230" TargetMode="External" /><Relationship Type="http://schemas.openxmlformats.org/officeDocument/2006/relationships/hyperlink" Id="rId260" Target="https://doi.org/10.5281/zenodo.3798385" TargetMode="External" /><Relationship Type="http://schemas.openxmlformats.org/officeDocument/2006/relationships/hyperlink" Id="rId266" Target="https://doi.org/10.5281/zenodo.7523032" TargetMode="External" /><Relationship Type="http://schemas.openxmlformats.org/officeDocument/2006/relationships/hyperlink" Id="rId184" Target="https://eur-lex.europa.eu/legal-content/EN/TXT/?uri=CELEX:32024R1689" TargetMode="External" /><Relationship Type="http://schemas.openxmlformats.org/officeDocument/2006/relationships/hyperlink" Id="rId246"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8" Target="https://huggingface.co/datasets/UNDP/sdgi-corpus" TargetMode="External" /><Relationship Type="http://schemas.openxmlformats.org/officeDocument/2006/relationships/hyperlink" Id="rId222" Target="https://nlp.stanford.edu/IR-book/" TargetMode="External" /><Relationship Type="http://schemas.openxmlformats.org/officeDocument/2006/relationships/hyperlink" Id="rId232" Target="https://oecd.ai/en/partner-data-methodological-note" TargetMode="External" /><Relationship Type="http://schemas.openxmlformats.org/officeDocument/2006/relationships/hyperlink" Id="rId218" Target="https://proceedings.neurips.cc/paper_files/paper/2012/file/c399862d3b9d6b76c8436e924a68c45b-Paper.pdf" TargetMode="External" /><Relationship Type="http://schemas.openxmlformats.org/officeDocument/2006/relationships/hyperlink" Id="rId212"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2026-08-27T10:54:25Z</dcterms:created>
  <dcterms:modified xsi:type="dcterms:W3CDTF">2026-08-27T10:54:25Z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