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Don’t</w:t>
      </w:r>
      <w:r>
        <w:rPr>
          <w:bCs/>
          <w:b/>
        </w:rPr>
        <w:t xml:space="preserve"> </w:t>
      </w:r>
      <w:r>
        <w:rPr>
          <w:bCs/>
          <w:b/>
        </w:rPr>
        <w:t xml:space="preserve">Mean</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SDG-labelled, 3</w:t>
      </w:r>
      <w:r>
        <w:t xml:space="preserve">,</w:t>
      </w:r>
      <w:r>
        <w:t xml:space="preserve">105</w:t>
      </w:r>
      <w:r>
        <w:t xml:space="preserve">,</w:t>
      </w:r>
      <w:r>
        <w:t xml:space="preserve">144 research, and 40</w:t>
      </w:r>
      <w:r>
        <w:t xml:space="preserve">,</w:t>
      </w:r>
      <w:r>
        <w:t xml:space="preserve">597 policy text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which arguably contains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and register semantic centroids and gaps are recalculated using the respective values. Correlation tests between H1a) absolute coverage gap, H1b) signed coverage gap,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research-side’s high coverage of SDGs 3, 4, 11, 16 established by prior findings. Policy-side ranking (top SDGs: 13, 16, and 17) is established here for the first time. The raw coverage-semantic correlation is null (</w:t>
      </w:r>
      <m:oMath>
        <m:r>
          <m:t>ρ</m:t>
        </m:r>
        <m:r>
          <m:rPr>
            <m:sty m:val="p"/>
          </m:rPr>
          <m:t>=</m:t>
        </m:r>
        <m:r>
          <m:rPr>
            <m:sty m:val="p"/>
          </m:rPr>
          <m:t>−</m:t>
        </m:r>
        <m:r>
          <m:t>0.012</m:t>
        </m:r>
      </m:oMath>
      <w:r>
        <w:t xml:space="preserve">, p = 0.959). However, decomposition hints at a cancellation: the adjusted semantic gap is positively associated with coverage (</w:t>
      </w:r>
      <m:oMath>
        <m:r>
          <m:t>ρ</m:t>
        </m:r>
        <m:r>
          <m:rPr>
            <m:sty m:val="p"/>
          </m:rPr>
          <m:t>=</m:t>
        </m:r>
        <m:r>
          <m:t>0.544</m:t>
        </m:r>
      </m:oMath>
      <w:r>
        <w:t xml:space="preserve">, p = 0.025) while the register component is negatively associated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Those results are generally stable across encoders, classifier family, retrieval strategy, segment cap, and policy-source family.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empirically unfounded.</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its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p>
      <w:pPr>
        <w:pStyle w:val="FirstParagraph"/>
      </w:pPr>
      <w:r>
        <w:t xml:space="preserve"> </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a citation-based corpus of roughly 25,000 publications on the Millennium and Sustainable Development Goals</w:t>
      </w:r>
      <w:r>
        <w:t xml:space="preserve"> </w:t>
      </w:r>
      <w:r>
        <w:t xml:space="preserve">(Bautista-Puig et al., 2021)</w:t>
      </w:r>
      <w:r>
        <w:t xml:space="preserve">, 20,511 AI publications (2001–2020)</w:t>
      </w:r>
      <w:r>
        <w:t xml:space="preserve"> </w:t>
      </w:r>
      <w:r>
        <w:t xml:space="preserve">(Singh et al., 2024)</w:t>
      </w:r>
      <w:r>
        <w:t xml:space="preserve">, 1,288 big-data and AI publications</w:t>
      </w:r>
      <w:r>
        <w:t xml:space="preserve"> </w:t>
      </w:r>
      <w:r>
        <w:t xml:space="preserve">(Nedungadi et al., 2024)</w:t>
      </w:r>
      <w:r>
        <w:t xml:space="preserve">, 792 AI-and-SDG research articles</w:t>
      </w:r>
      <w:r>
        <w:t xml:space="preserve"> </w:t>
      </w:r>
      <w:r>
        <w:t xml:space="preserve">(Gohr et al., 2025)</w:t>
      </w:r>
      <w:r>
        <w:t xml:space="preserve">, and 108 AI-for-social-good projects</w:t>
      </w:r>
      <w:r>
        <w:t xml:space="preserve"> </w:t>
      </w:r>
      <w:r>
        <w:t xml:space="preserve">(Cowls et al., 2021)</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but no operational framework specifies how</w:t>
      </w:r>
      <w:r>
        <w:t xml:space="preserve"> </w:t>
      </w:r>
      <w:r>
        <w:t xml:space="preserve">(Nilsson et al., 2016)</w:t>
      </w:r>
      <w:r>
        <w:t xml:space="preserve">, with the exception of SDG 17.</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and capacity building, excluding it from cross-goal mapping because its targets are implementation infrastructure rather than substantive domains.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doesn’t generally occupy.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does not operationalise an epistemic community directly, but measures only the weaker condition of observed semantic proximity. Semantic proximity cannot show the existence, strength, or influence of an expert community</w:t>
      </w:r>
      <w:r>
        <w:t xml:space="preserve"> </w:t>
      </w:r>
      <w:r>
        <w:t xml:space="preserve">(Cross, 2013)</w:t>
      </w:r>
      <w:r>
        <w:t xml:space="preserve">.</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and Goal 8’s 3% annual growth target is empirically incompatible with the resource-use and emissions goals</w:t>
      </w:r>
      <w:r>
        <w:t xml:space="preserve"> </w:t>
      </w:r>
      <w:r>
        <w:t xml:space="preserve">(Hickel, 2019)</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criticized: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not just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policy-document uptake, but does not compare the two corpora directly on these dimensions;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research–policy dominance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operationalization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guaranteeing that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17.18%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(fixed, not retrained).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sampled randomly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size is also adequately larger than existing SDG-classification works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 The 2018 start reflects the post-AlexNet emergence of deep learning as AI research’s dominant approach</w:t>
      </w:r>
      <w:r>
        <w:t xml:space="preserve"> </w:t>
      </w:r>
      <w:r>
        <w:t xml:space="preserve">(Krizhevsky et al., 2012)</w:t>
      </w:r>
      <w:r>
        <w:t xml:space="preserve">, combined with an expected research-uptake lag following the SDGs’ 2015 adoption.</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 This contrasts with recall-oriented AI corpora built from hundreds of field-specific keywords across hundreds of thousands of documents</w:t>
      </w:r>
      <w:r>
        <w:t xml:space="preserve"> </w:t>
      </w:r>
      <w:r>
        <w:t xml:space="preserve">(Hellwig et al., 2019)</w:t>
      </w:r>
      <w:r>
        <w:t xml:space="preserve"> </w:t>
      </w:r>
      <w:r>
        <w:t xml:space="preserve">or field-of-study membership</w:t>
      </w:r>
      <w:r>
        <w:t xml:space="preserve"> </w:t>
      </w:r>
      <w:r>
        <w:t xml:space="preserve">(OECD, 2024; Priem et al., 2022; Wang et al., 2020)</w:t>
      </w:r>
      <w:r>
        <w:t xml:space="preserv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Those specific</w:t>
      </w:r>
      <w:r>
        <w:t xml:space="preserve"> </w:t>
      </w:r>
      <w:r>
        <w:t xml:space="preserve">‘</w:t>
      </w:r>
      <w:r>
        <w:t xml:space="preserve">learning</w:t>
      </w:r>
      <w:r>
        <w:t xml:space="preserve">’</w:t>
      </w:r>
      <w:r>
        <w:t xml:space="preserve"> </w:t>
      </w:r>
      <w:r>
        <w:t xml:space="preserve">terms likely inflate what gets counted as SDG4 (Education).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 This test also found that concept-based retrieval (over keyword-based) helps with the SDG4-inflation issue (Table </w:t>
      </w:r>
      <w:hyperlink w:anchor="tab:concept-coverage">
        <w:r>
          <w:rPr>
            <w:rStyle w:val="Hyperlink"/>
          </w:rPr>
          <w:t xml:space="preserve">6</w:t>
        </w:r>
      </w:hyperlink>
      <w:r>
        <w:t xml:space="preserve">, Appendix </w:t>
      </w:r>
      <w:hyperlink w:anchor="app:concept-retrieval-sensitivity">
        <w:r>
          <w:rPr>
            <w:rStyle w:val="Hyperlink"/>
          </w:rPr>
          <w:t xml:space="preserve">7</w:t>
        </w:r>
      </w:hyperlink>
      <w:r>
        <w:t xml:space="preserve">). A redo of the analysis using this retrieval method is recommended, but left for future follow-ups.</w:t>
      </w:r>
    </w:p>
    <w:p>
      <w:pPr>
        <w:pStyle w:val="BodyText"/>
      </w:pPr>
      <w:r>
        <w:t xml:space="preserve">Importantly, the robustness check applies no SDG filter at retrieval time and is therefore a pure AI/ML corpus with SDG labels assigned post hoc by the classifier, not a corpus independently verified as SDG-relevant. This is documented transparently instead of fixed, due to time constraints.</w:t>
      </w:r>
    </w:p>
    <w:p>
      <w:pPr>
        <w:pStyle w:val="BodyText"/>
      </w:pPr>
      <w:r>
        <w:t xml:space="preserve">After deduplication and removal of records lacking usable abstracts and the 20-word minimum, the research corpus survives as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An important asymmetry follows: the research corpus is a tight intersection of AI and SDG content while the policy corpus (Section </w:t>
      </w:r>
      <w:hyperlink w:anchor="sec:policy-corpus">
        <w:r>
          <w:rPr>
            <w:rStyle w:val="Hyperlink"/>
          </w:rPr>
          <w:t xml:space="preserve">3.4</w:t>
        </w:r>
      </w:hyperlink>
      <w:r>
        <w:t xml:space="preserve">)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(Pukelis et al., 2022)</w:t>
      </w:r>
      <w:r>
        <w:t xml:space="preserve"> </w:t>
      </w:r>
      <w:r>
        <w:t xml:space="preserve">(no SDG17): crowdsourced excerpts validated by multiple volunteers.</w:t>
      </w:r>
    </w:p>
    <w:p>
      <w:pPr>
        <w:numPr>
          <w:ilvl w:val="0"/>
          <w:numId w:val="1003"/>
        </w:numPr>
      </w:pPr>
      <w:r>
        <w:rPr>
          <w:bCs/>
          <w:b/>
        </w:rPr>
        <w:t xml:space="preserve">SDG Classification Benchmark</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 (Raw, Prep, Seg, Lab; definitions below).</w:t>
      </w:r>
    </w:p>
    <w:tbl>
      <w:tblPr>
        <w:tblStyle w:val="Table"/>
        <w:tblW w:type="auto" w:w="0"/>
        <w:tblLook w:firstRow="1" w:lastRow="0" w:firstColumn="0" w:lastColumn="0" w:noHBand="0" w:noVBand="0" w:val="0020"/>
        <w:jc w:val="start"/>
        <w:tblCaption w:val="Corpus provenance: record counts at each pipeline stage (Raw, Prep, Seg, Lab; definitions below)."/>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 Community Dataset</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 (no SDG17)</w:t>
            </w:r>
          </w:p>
        </w:tc>
      </w:tr>
      <w:tr>
        <w:tc>
          <w:tcPr/>
          <w:p>
            <w:pPr>
              <w:pStyle w:val="Compact"/>
              <w:jc w:val="left"/>
            </w:pPr>
            <w:r>
              <w:t xml:space="preserve">SDG Classification Benchmark</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IISD SDG Knowledge Hub</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 Corpus</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 dataset</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corpus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corpus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the Benchmark bypass segmentation, so Seg = Lab.</w:t>
      </w:r>
    </w:p>
    <w:p>
      <w:pPr>
        <w:pStyle w:val="BodyText"/>
      </w:pPr>
      <w:r>
        <w:t xml:space="preserve">OSDG alone contributes about 49% of labelled texts and draws on UN-adjacent documents, so the reference data remain weighted toward policy vocabulary. OSDG and the Benchmark bypass segmentation due to having short texts; the Knowledge Hub,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hyperparameter rationale, and the MLP robustness comparison are reported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because the research corpus is first restricted to an OpenAlex AI-and-SDG universe, so the classifier answers a relative question among the 17 SDGs. This restriction does not hold for the concept-retrieved robustness corpus (Section </w:t>
      </w:r>
      <w:hyperlink w:anchor="sec:research-corpus">
        <w:r>
          <w:rPr>
            <w:rStyle w:val="Hyperlink"/>
          </w:rPr>
          <w:t xml:space="preserve">3.3</w:t>
        </w:r>
      </w:hyperlink>
      <w:r>
        <w:t xml:space="preserve">), which applies no SDG filter at retrieval; the classifier still forces an argmax assignment there despite the corpus not being pre-restricted to SDG-relevant text. Section </w:t>
      </w:r>
      <w:hyperlink w:anchor="sec:limitations">
        <w:r>
          <w:rPr>
            <w:rStyle w:val="Hyperlink"/>
          </w:rPr>
          <w:t xml:space="preserve">5.5</w:t>
        </w:r>
      </w:hyperlink>
      <w:r>
        <w:t xml:space="preserve"> </w:t>
      </w:r>
      <w:r>
        <w:t xml:space="preserve">discusses this limitation.</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 This study does not test whether the shift is uniform across SDGs, so the possibility that it reorders within-corpus rankings for some goals cannot be ruled out. This is left for future work due to time constraints.</w:t>
      </w:r>
    </w:p>
    <w:p>
      <w:pPr>
        <w:pStyle w:val="BodyText"/>
      </w:pPr>
      <w:r>
        <w:t xml:space="preserve">Two supervised model families were considered: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MLP shows negligible performance improvement compared to the lost interpretability.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is not a flat set of documents: its 40</w:t>
      </w:r>
      <w:r>
        <w:t xml:space="preserve">,</w:t>
      </w:r>
      <w:r>
        <w:t xml:space="preserve">597 segments are grouped into 6</w:t>
      </w:r>
      <w:r>
        <w:t xml:space="preserve">,</w:t>
      </w:r>
      <w:r>
        <w:t xml:space="preserve">367 source documents of very different lengths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Concretely: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For example, SDSN reports alone contribute up to 3,179 segments otherwise).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 Underlying both choices is the same rule: the coverage profile counts documents, so both corpora are aggregated to the document level; the semantic gap averages text content, so each corpus is aggregated at its natural authorship unit: the abstract for research and the passage for policy.</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m:t>
        </m:r>
      </m:oMath>
      <w:r>
        <w:t xml:space="preserve">–</w:t>
      </w:r>
      <m:oMath>
        <m:r>
          <m:t>0.69</m:t>
        </m:r>
      </m:oMath>
      <w:r>
        <w:t xml:space="preserve">), while Gaussian-2-Wasserstein, squared MMD, Sinkhorn, C2ST, and Grassmann show weak or negative agreement (</w:t>
      </w:r>
      <m:oMath>
        <m:r>
          <m:t>ρ</m:t>
        </m:r>
        <m:r>
          <m:rPr>
            <m:sty m:val="p"/>
          </m:rPr>
          <m:t>≤</m:t>
        </m:r>
        <m:r>
          <m:t>0.26</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nothing about corpus identity remains linearly predictable. Projecting out the directions that carry the most corpus signal is the gentlest way to do this.</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tangled with SDG topic in the raw embeddings. The key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Draw</w:t>
      </w:r>
      <w:r>
        <w:t xml:space="preserve"> </w:t>
      </w:r>
      <m:oMath>
        <m:sSub>
          <m:e>
            <m:r>
              <m:t>n</m:t>
            </m:r>
          </m:e>
          <m:sub>
            <m:r>
              <m:rPr>
                <m:nor/>
                <m:sty m:val="p"/>
              </m:rPr>
              <m:t>target</m:t>
            </m:r>
          </m:sub>
        </m:sSub>
      </m:oMath>
      <w:r>
        <w:t xml:space="preserve"> </w:t>
      </w:r>
      <w:r>
        <w:t xml:space="preserve">texts per SDG per corpus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critical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 The validation finds 1) substantial reduction of the corpus-level signal but not its complete elimination and 2) SDG classifier accuracy remains unchanged, meaning topic (and hence coverage) is not significantly affected by INLP register adjustment.</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twice: once on the adjusted embeddings and once on the removed component (</w:t>
      </w:r>
      <m:oMath>
        <m:r>
          <m:rPr>
            <m:sty m:val="b"/>
          </m:rPr>
          <m:t>x</m:t>
        </m:r>
        <m:r>
          <m:rPr>
            <m:sty m:val="p"/>
          </m:rPr>
          <m:t>−</m:t>
        </m:r>
        <m:r>
          <m:rPr>
            <m:sty m:val="b"/>
          </m:rPr>
          <m:t>x</m:t>
        </m:r>
        <m:r>
          <m:rPr>
            <m:sty m:val="p"/>
          </m:rPr>
          <m:t>′</m:t>
        </m:r>
      </m:oMath>
      <w:r>
        <w:t xml:space="preserve">), yielding respectively the within-SDG adjusted gap and the register component.</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research–policy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There might be criticism that</w:t>
      </w:r>
      <w:r>
        <w:t xml:space="preserve"> </w:t>
      </w:r>
      <m:oMath>
        <m:r>
          <m:t>n</m:t>
        </m:r>
        <m:r>
          <m:rPr>
            <m:sty m:val="p"/>
          </m:rPr>
          <m:t>=</m:t>
        </m:r>
        <m:r>
          <m:t>17</m:t>
        </m:r>
      </m:oMath>
      <w:r>
        <w:t xml:space="preserve"> </w:t>
      </w:r>
      <w:r>
        <w:t xml:space="preserve">is poor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so no sample-size power argument is needed</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 without interpretation.</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SDG17 examples (Section </w:t>
      </w:r>
      <w:hyperlink w:anchor="sec:supervised-classifier">
        <w:r>
          <w:rPr>
            <w:rStyle w:val="Hyperlink"/>
          </w:rPr>
          <w:t xml:space="preserve">3.5</w:t>
        </w:r>
      </w:hyperlink>
      <w:r>
        <w:t xml:space="preserve">), performance doesn’t degrade (Table above, Appendix </w:t>
      </w:r>
      <w:hyperlink w:anchor="app:centroid-similarity">
        <w:r>
          <w:rPr>
            <w:rStyle w:val="Hyperlink"/>
          </w:rPr>
          <w:t xml:space="preserve">8.2</w:t>
        </w:r>
      </w:hyperlink>
      <w:r>
        <w:t xml:space="preserve">), which suggests the other four sources (SDGi, Aurora, Benchmark, IISD Hub) carry enough SDG17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One thing that can be concluded is that nearest-centroid assignment is too simple for the linearity of separation between SDGs in the 768d embedding space, while MLP is too unnecessarily complex without significant added benefit.</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 SDG 4 is flagged as artefact-affected due to ML-learning vocabulary overlap with education corpora (Appendix </w:t>
      </w:r>
      <w:hyperlink w:anchor="app:sdg4-lexical-audit">
        <w:r>
          <w:rPr>
            <w:rStyle w:val="Hyperlink"/>
          </w:rPr>
          <w:t xml:space="preserve">8.1</w:t>
        </w:r>
      </w:hyperlink>
      <w:r>
        <w:t xml:space="preserve">).</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author thinks the top ranking SDGs make intuitive sense.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flat,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segmentation">
        <w:r>
          <w:rPr>
            <w:rStyle w:val="Hyperlink"/>
          </w:rPr>
          <w:t xml:space="preserve">3.1</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(left) separates research and policy clouds, while the adjusted space (right) shows no major separation between them. It might not be clear from the rough visualisation in the PCA maps, but while the adjusted space removes mostly research-policy differences, it retains the separability between SDGs fully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random research draws comparable in size to the policy corpus: across 100 independent 50</w:t>
      </w:r>
      <w:r>
        <w:t xml:space="preserve">,</w:t>
      </w:r>
      <w:r>
        <w:t xml:space="preserve">000-paper draws it reproduces the full-corpus ordering at Spearman</w:t>
      </w:r>
      <w:r>
        <w:t xml:space="preserve"> </w:t>
      </w:r>
      <m:oMath>
        <m:r>
          <m:t>ρ</m:t>
        </m:r>
        <m:r>
          <m:rPr>
            <m:sty m:val="p"/>
          </m:rPr>
          <m:t>=</m:t>
        </m:r>
        <m:r>
          <m:t>0.986</m:t>
        </m:r>
        <m:r>
          <m:t>​</m:t>
        </m:r>
      </m:oMath>
      <w:r>
        <w:t xml:space="preserve"> </w:t>
      </w:r>
      <w:r>
        <w:t xml:space="preserve">(SD 0.009), so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The register decomposition confirms that register uniformly inflates the raw gap, except for SDG 17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high- and low-gap cases.</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 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bl>
      <w:tblPr>
        <w:tblStyle w:val="Table"/>
        <w:tblW w:type="auto" w:w="0"/>
        <w:tblLook w:firstRow="1" w:lastRow="0" w:firstColumn="0" w:lastColumn="0" w:noHBand="0" w:noVBand="0" w:val="0020"/>
        <w:jc w:val="start"/>
        <w:tblCaption w:val="Reference values for the semantic-gap and coverage-predictor families (per SDG). Semantic gaps from Figs 5 and 6; coverage predictors from Fig. 3. Cov. = |\text{research}-\text{policy}| (pp). Signed dom. = research share - policy share (pp). Reg. Comp. = raw - adjusted."/>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consolidated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 cancels the topic signal (</w:t>
      </w:r>
      <m:oMath>
        <m:r>
          <m:t>ρ</m:t>
        </m:r>
        <m:r>
          <m:rPr>
            <m:sty m:val="p"/>
          </m:rPr>
          <m:t>=</m:t>
        </m:r>
        <m:r>
          <m:t>0.544</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operates through the policy side: where policy heavily covers an SDG, topic divergence is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cancellation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props up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cancellation pattern holds: research share remains uncorrelated with the gap (</w:t>
      </w:r>
      <m:oMath>
        <m:r>
          <m:t>ρ</m:t>
        </m:r>
        <m:r>
          <m:rPr>
            <m:sty m:val="p"/>
          </m:rPr>
          <m:t>=</m:t>
        </m:r>
        <m:r>
          <m:rPr>
            <m:sty m:val="p"/>
          </m:rPr>
          <m:t>−</m:t>
        </m:r>
        <m:r>
          <m:t>0.06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one point per SDG; open grey markers are the raw baseline, solid blue the adjusted (canonical) gap. The raw and adjusted gaps share the same vertical scale across all four panels. Panel (a) is the H1a test (absolute coverage gap): large coverage gaps span the full range of adjusted semantic gaps, so no single SDG drives the weak H1a association. The directional panels show the asymmetry: H1b (signed dominance) and H1c (research coverage) show no consistent adjusted-direction trend, while H1d (policy coverage) rises with the adjusted gap, confirming that the coverage–framing linkage operates through the policy side.</w:t>
      </w:r>
    </w:p>
    <w:tbl>
      <w:tblPr>
        <w:tblStyle w:val="FigureTable"/>
        <w:tblW w:type="auto" w:w="0"/>
        <w:tblLook w:firstRow="0" w:lastRow="0" w:firstColumn="0" w:lastColumn="0"/>
        <w:jc w:val="center"/>
      </w:tblPr>
      <w:tblGrid>
        <w:gridCol w:w="1980"/>
        <w:gridCol w:w="1980"/>
        <w:gridCol w:w="1980"/>
        <w:gridCol w:w="1980"/>
      </w:tblGrid>
      <w:tr>
        <w:tc>
          <w:tcPr/>
          <w:p>
            <w:pPr>
              <w:pStyle w:val="CaptionedFigure"/>
              <w:jc w:val="center"/>
            </w:pPr>
            <w:r>
              <w:drawing>
                <wp:inline>
                  <wp:extent cx="1333500" cy="1073262"/>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333500" cy="1071157"/>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333500" cy="1071157"/>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333500" cy="1073262"/>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333500" cy="1072559"/>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333500" cy="1072559"/>
                          </a:xfrm>
                          <a:prstGeom prst="rect">
                            <a:avLst/>
                          </a:prstGeom>
                          <a:noFill/>
                          <a:ln w="9525">
                            <a:noFill/>
                            <a:headEnd/>
                            <a:tailEnd/>
                          </a:ln>
                        </pic:spPr>
                      </pic:pic>
                    </a:graphicData>
                  </a:graphic>
                </wp:inline>
              </w:drawing>
            </w:r>
          </w:p>
          <w:p>
            <w:pPr>
              <w:pStyle w:val="ImageCaption"/>
              <w:jc w:val="center"/>
            </w:pPr>
            <w:r>
              <w:t xml:space="preserve">H1d: policy coverage (%)</w:t>
            </w:r>
          </w:p>
        </w:tc>
      </w:tr>
    </w:tbl>
    <w:p>
      <w:pPr>
        <w:pStyle w:val="ImageCaption"/>
      </w:pPr>
      <w:r>
        <w:t xml:space="preserve">Coverage predictor vs within-SDG semantic gap, one point per SDG. Solid blue = adjusted gap (canonical, after INLP register removal); open grey = raw baseline. (a) absolute coverage gap; (b) signed dominance; (c) research coverage; (d) policy coverage.</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m:t>
        </m:r>
      </m:oMath>
      <w:r>
        <w:t xml:space="preserve">; vs. MiniLM–LR</w:t>
      </w:r>
      <w:r>
        <w:t xml:space="preserve"> </w:t>
      </w:r>
      <m:oMath>
        <m:r>
          <m:t>ρ</m:t>
        </m:r>
        <m:r>
          <m:rPr>
            <m:sty m:val="p"/>
          </m:rPr>
          <m:t>=</m:t>
        </m:r>
        <m:r>
          <m:t>0.89</m:t>
        </m:r>
      </m:oMath>
      <w:r>
        <w:t xml:space="preserve">; Table </w:t>
      </w:r>
      <w:hyperlink w:anchor="tab:encoder-sensitivity-coverage">
        <w:r>
          <w:rPr>
            <w:rStyle w:val="Hyperlink"/>
          </w:rPr>
          <w:t xml:space="preserve">24</w:t>
        </w:r>
      </w:hyperlink>
      <w:r>
        <w:t xml:space="preserve">). Semantic-gap magnitude is encoder-dependent (SciBERT: 0.04 vs. MPNet: 0.34)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cancellation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headline result is a cancellation: the raw correlation is null because register and topic offset (</w:t>
      </w:r>
      <m:oMath>
        <m:r>
          <m:t>ρ</m:t>
        </m:r>
        <m:r>
          <m:rPr>
            <m:sty m:val="p"/>
          </m:rPr>
          <m:t>=</m:t>
        </m:r>
        <m:r>
          <m:t>0.544</m:t>
        </m:r>
      </m:oMath>
      <w:r>
        <w:t xml:space="preserve"> </w:t>
      </w:r>
      <w:r>
        <w:t xml:space="preserve">vs. </w:t>
      </w:r>
      <m:oMath>
        <m:r>
          <m:t>ρ</m:t>
        </m:r>
        <m:r>
          <m:rPr>
            <m:sty m:val="p"/>
          </m:rPr>
          <m:t>=</m:t>
        </m:r>
        <m:r>
          <m:rPr>
            <m:sty m:val="p"/>
          </m:rPr>
          <m:t>−</m:t>
        </m:r>
        <m:r>
          <m:t>0.390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t xml:space="preserve">Three potential confounds could be ruled out before the cancellation can be interpreted substantively.</w:t>
      </w:r>
    </w:p>
    <w:p>
      <w:pPr>
        <w:pStyle w:val="BodyText"/>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This is structurally precluded, not merely mitigated, by the stratification design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Because the classifier that learns each removed direction never sees coverage-proportional samples, coverage cannot leak into which direction gets learned or removed.</w:t>
      </w:r>
    </w:p>
    <w:p>
      <w:pPr>
        <w:pStyle w:val="BodyText"/>
      </w:pPr>
      <w:r>
        <w:rPr>
          <w:bCs/>
          <w:b/>
        </w:rPr>
        <w:t xml:space="preserve">Cross-configuration replication.</w:t>
      </w:r>
      <w:r>
        <w:t xml:space="preserve"> </w:t>
      </w:r>
      <w:r>
        <w:t xml:space="preserve">The cancellation replicates across most configs (Table </w:t>
      </w:r>
      <w:hyperlink w:anchor="tab:interaction">
        <w:r>
          <w:rPr>
            <w:rStyle w:val="Hyperlink"/>
          </w:rPr>
          <w:t xml:space="preserve">5</w:t>
        </w:r>
      </w:hyperlink>
      <w:r>
        <w:t xml:space="preserve">): signs are stable for all encoder–classifier combinations under the primary keyword-retrieved corpus. The exception is the concept-retrieved track, where H1a’s raw-gap sign flips against all other configurations (Concept LR: +0.108, vs. negative or near-zero elsewhere) — consistent with the retrieval-related instability discussed in Section </w:t>
      </w:r>
      <w:hyperlink w:anchor="sec:limitations">
        <w:r>
          <w:rPr>
            <w:rStyle w:val="Hyperlink"/>
          </w:rPr>
          <w:t xml:space="preserve">5.5</w:t>
        </w:r>
      </w:hyperlink>
      <w:r>
        <w:t xml:space="preserve">. Excluding that track, the pattern does not appear to be a quirk of a specific encoder space, classifier, or methodological choice (segmentation, segment-capping for long documents).</w:t>
      </w:r>
    </w:p>
    <w:p>
      <w:pPr>
        <w:pStyle w:val="BodyText"/>
      </w:pPr>
      <w:r>
        <w:rPr>
          <w:bCs/>
          <w:b/>
        </w:rPr>
        <w:t xml:space="preserve">SciBERT compression validates the register interpretation.</w:t>
      </w:r>
      <w:r>
        <w:t xml:space="preserve"> </w:t>
      </w:r>
      <w:r>
        <w:t xml:space="preserve">SciBERT compresses the raw gap from 0.34 to 0.04 (88% reduction) while preserving coverage (</w:t>
      </w:r>
      <m:oMath>
        <m:r>
          <m:t>ρ</m:t>
        </m:r>
        <m:r>
          <m:rPr>
            <m:sty m:val="p"/>
          </m:rPr>
          <m:t>=</m:t>
        </m:r>
        <m:r>
          <m:t>0.93</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exactly what the decomposition predicts.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not puzzling: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The raw null is the expected result of two distinct knowledge cultures coexisting without deep integration.</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As shown in Results (Section </w:t>
      </w:r>
      <w:hyperlink w:anchor="sec:semantic-gap">
        <w:r>
          <w:rPr>
            <w:rStyle w:val="Hyperlink"/>
          </w:rPr>
          <w:t xml:space="preserve">4.3</w:t>
        </w:r>
      </w:hyperlink>
      <w:r>
        <w:t xml:space="preserve">), SDGs 9 and 17 illustrate this: SDG 9 has the second-largest coverage gap but a moderate semantic gap, while SDG 17 has moderate coverage but the widest adjusted gap.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the framing reflects academic norms of knowledge production:</w:t>
      </w:r>
      <w:r>
        <w:t xml:space="preserve"> </w:t>
      </w:r>
      <w:r>
        <w:t xml:space="preserve">“</w:t>
      </w:r>
      <w:r>
        <w:t xml:space="preserve">problems set and solved in a context governed by the, largely academic, interests of a specific community</w:t>
      </w:r>
      <w:r>
        <w:t xml:space="preserve">”</w:t>
      </w:r>
      <w:r>
        <w:t xml:space="preserve"> </w:t>
      </w:r>
      <w:r>
        <w:t xml:space="preserve">(Gibbons et al., 1994, p.3)</w:t>
      </w:r>
      <w:r>
        <w:t xml:space="preserve">. Where policy dominates (SDGs 13, 16, 17), the framing reflects institutional norms of coordination:</w:t>
      </w:r>
      <w:r>
        <w:t xml:space="preserve"> </w:t>
      </w:r>
      <w:r>
        <w:t xml:space="preserve">“</w:t>
      </w:r>
      <w:r>
        <w:t xml:space="preserve">knowledge carried out in a context of application</w:t>
      </w:r>
      <w:r>
        <w:t xml:space="preserve">”</w:t>
      </w:r>
      <w:r>
        <w:t xml:space="preserve"> </w:t>
      </w:r>
      <w:r>
        <w:t xml:space="preserve">(Gibbons et al., 1994, p.3)</w:t>
      </w:r>
      <w:r>
        <w:t xml:space="preserve">. The coverage-semantic linkage is the empirical manifestation of two communities framing the same goals differently when attention (measured as coverage) diverges between them.</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 of 9 configurations. The linkage operates through the policy side: where policy heavily covers an SDG, framing divergence is wider,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Where policy attention is concentrated (SDGs 13, 16, 17), the institutional framing that drives salience simultaneously distances the discourse from research norms of credibility, widening the adjusted gap. The mechanism is structural, not communicative: where policy dominates an SDG, the Mode 2 framing prevails and the gap widens.</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The implication is clear: any SDG-mapping study that uses raw embedding distances without register adjustment will overestimate semantic divergence. The raw gap is a composite of topic, register, and convention; only the adjusted gap isolates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is where framing power operates most invisibly: partnership language sounds like either community, but the coordination logic belongs exclusively to policy.</w:t>
      </w:r>
      <w:r>
        <w:t xml:space="preserve"> </w:t>
      </w:r>
      <w:r>
        <w:t xml:space="preserve">Le Blanc (2015)</w:t>
      </w:r>
      <w:r>
        <w:t xml:space="preserve"> </w:t>
      </w:r>
      <w:r>
        <w:t xml:space="preserve">and</w:t>
      </w:r>
      <w:r>
        <w:t xml:space="preserve"> </w:t>
      </w:r>
      <w:r>
        <w:t xml:space="preserve">Griggs et al. (2017)</w:t>
      </w:r>
      <w:r>
        <w:t xml:space="preserve"> </w:t>
      </w:r>
      <w:r>
        <w:t xml:space="preserve">describe SDG 17 as</w:t>
      </w:r>
      <w:r>
        <w:t xml:space="preserve"> </w:t>
      </w:r>
      <w:r>
        <w:t xml:space="preserve">“</w:t>
      </w:r>
      <w:r>
        <w:t xml:space="preserve">implementation infrastructure rather than substantive domains</w:t>
      </w:r>
      <w:r>
        <w:t xml:space="preserve">”</w:t>
      </w:r>
      <w:r>
        <w:t xml:space="preserve">; the register inversion confirms this empirically.</w:t>
      </w:r>
    </w:p>
    <w:p>
      <w:pPr>
        <w:pStyle w:val="BodyText"/>
      </w:pPr>
      <w:r>
        <w:t xml:space="preserve">The register decomposition also shows what the embedding instrument actually measures. Embedding distance is a composite signal of topic and register</w:t>
      </w:r>
      <w:r>
        <w:t xml:space="preserve"> </w:t>
      </w:r>
      <w:r>
        <w:t xml:space="preserve">(Harris, 1954)</w:t>
      </w:r>
      <w:r>
        <w:t xml:space="preserve">. 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(Section </w:t>
      </w:r>
      <w:hyperlink w:anchor="sec:alignment-framework">
        <w:r>
          <w:rPr>
            <w:rStyle w:val="Hyperlink"/>
          </w:rPr>
          <w:t xml:space="preserve">2.3</w:t>
        </w:r>
      </w:hyperlink>
      <w:r>
        <w:t xml:space="preserve">) assumes that research and policy discourse are already commensurable categories, comparable once retrieved and embedded. Constructing the corpora exposes a prior condition that framework does not capture. The research corpus is a tight intersection of AI and SDG content (2</w:t>
      </w:r>
      <w:r>
        <w:t xml:space="preserve">,</w:t>
      </w:r>
      <w:r>
        <w:t xml:space="preserve">536</w:t>
      </w:r>
      <w:r>
        <w:t xml:space="preserve">,</w:t>
      </w:r>
      <w:r>
        <w:t xml:space="preserve">771 abstracts); the curated AI-and-SDG policy family is 94 documents. This is not merely a sampling limitation to be corrected with more time (Section </w:t>
      </w:r>
      <w:hyperlink w:anchor="sec:limitations">
        <w:r>
          <w:rPr>
            <w:rStyle w:val="Hyperlink"/>
          </w:rPr>
          <w:t xml:space="preserve">5.5</w:t>
        </w:r>
      </w:hyperlink>
      <w:r>
        <w:t xml:space="preserve">). It is evidence that</w:t>
      </w:r>
      <w:r>
        <w:t xml:space="preserve"> </w:t>
      </w:r>
      <w:r>
        <w:t xml:space="preserve">“</w:t>
      </w:r>
      <w:r>
        <w:t xml:space="preserve">AI and the SDGs</w:t>
      </w:r>
      <w:r>
        <w:t xml:space="preserve">”</w:t>
      </w:r>
      <w:r>
        <w:t xml:space="preserve"> </w:t>
      </w:r>
      <w:r>
        <w:t xml:space="preserve">is not yet an established organising category in institutional policy discourse the way it already is in academic research. Policy documents overwhelmingly discuss AI governance and SDG implementation as separate agendas; the joint category the research corpus takes for granted barely exists on the policy side to be sampled.</w:t>
      </w:r>
    </w:p>
    <w:p>
      <w:pPr>
        <w:pStyle w:val="BodyText"/>
      </w:pPr>
      <w:r>
        <w:t xml:space="preserve">This claim should be read carefully:</w:t>
      </w:r>
      <w:r>
        <w:t xml:space="preserve"> </w:t>
      </w:r>
      <w:r>
        <w:t xml:space="preserve">“</w:t>
      </w:r>
      <w:r>
        <w:t xml:space="preserve">level</w:t>
      </w:r>
      <w:r>
        <w:t xml:space="preserve">”</w:t>
      </w:r>
      <w:r>
        <w:t xml:space="preserve"> </w:t>
      </w:r>
      <w:r>
        <w:t xml:space="preserve">in this framework is reference-relative, not absolute. The paper’s core Level 1/Level 2 analysis (Sections </w:t>
      </w:r>
      <w:hyperlink w:anchor="sec:alignment-framework">
        <w:r>
          <w:rPr>
            <w:rStyle w:val="Hyperlink"/>
          </w:rPr>
          <w:t xml:space="preserve">2.3</w:t>
        </w:r>
      </w:hyperlink>
      <w:r>
        <w:t xml:space="preserve"> </w:t>
      </w:r>
      <w:r>
        <w:t xml:space="preserve">and</w:t>
      </w:r>
      <w:r>
        <w:t xml:space="preserve"> </w:t>
      </w:r>
      <w:hyperlink w:anchor="sec:results">
        <w:r>
          <w:rPr>
            <w:rStyle w:val="Hyperlink"/>
          </w:rPr>
          <w:t xml:space="preserve">4</w:t>
        </w:r>
      </w:hyperlink>
      <w:r>
        <w:t xml:space="preserve">) takes</w:t>
      </w:r>
      <w:r>
        <w:t xml:space="preserve"> </w:t>
      </w:r>
      <w:r>
        <w:t xml:space="preserve">“</w:t>
      </w:r>
      <w:r>
        <w:t xml:space="preserve">AI-and-SDG</w:t>
      </w:r>
      <w:r>
        <w:t xml:space="preserve">”</w:t>
      </w:r>
      <w:r>
        <w:t xml:space="preserve"> </w:t>
      </w:r>
      <w:r>
        <w:t xml:space="preserve">as an already-commensurable category and measures coverage and framing within it. The observation above applies the identical logic one category outward — treating general SDG discourse as the commensurable category and asking whether AI coverage within it is itself established on the policy side. It is not, in the formal sense of this paper’s Level 1 analysis, a measurement: no general-SDG coverage statistic was collected for either corpus, and the argument is inferred from the difficulty of assembling a symmetric AI-and-SDG policy corpus rather than from a coverage figure analogous to Section </w:t>
      </w:r>
      <w:hyperlink w:anchor="sec:results">
        <w:r>
          <w:rPr>
            <w:rStyle w:val="Hyperlink"/>
          </w:rPr>
          <w:t xml:space="preserve">4</w:t>
        </w:r>
      </w:hyperlink>
      <w:r>
        <w:t xml:space="preserve">’s. What follows should therefore be read as a plausible extension of the framework’s logic, motivating future work, not as a Level-1-style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from where it is usually applied. Mode 1 knowledge production allows a research community to define and pursue a novel cross-cutting category —</w:t>
      </w:r>
      <w:r>
        <w:t xml:space="preserve"> </w:t>
      </w:r>
      <w:r>
        <w:t xml:space="preserve">“</w:t>
      </w:r>
      <w:r>
        <w:t xml:space="preserve">AI for the SDGs</w:t>
      </w:r>
      <w:r>
        <w:t xml:space="preserve">”</w:t>
      </w:r>
      <w:r>
        <w:t xml:space="preserve"> </w:t>
      </w:r>
      <w:r>
        <w:t xml:space="preserve">— as an internal disciplinary move, requiring no external validation. Institutional policy discourse, operating closer to Mode 2’s context of application, adopts new organising categories only once they are demanded by a concrete problem, negotiation, or mandate. Research can outrun policy in category formation before it outruns policy in content. The near-total absence of a comparably sized</w:t>
      </w:r>
      <w:r>
        <w:t xml:space="preserve"> </w:t>
      </w:r>
      <w:r>
        <w:t xml:space="preserve">“</w:t>
      </w:r>
      <w:r>
        <w:t xml:space="preserve">AI-and-SDG</w:t>
      </w:r>
      <w:r>
        <w:t xml:space="preserve">”</w:t>
      </w:r>
      <w:r>
        <w:t xml:space="preserve"> </w:t>
      </w:r>
      <w:r>
        <w:t xml:space="preserve">policy corpus is therefore not a gap this study failed to fill; it is the gap, observed one level before Level 1 coverage or Level 2 framing can even be measured.</w:t>
      </w:r>
    </w:p>
    <w:p>
      <w:pPr>
        <w:pStyle w:val="BodyText"/>
      </w:pPr>
      <w:r>
        <w:t xml:space="preserve">As noted in Section </w:t>
      </w:r>
      <w:hyperlink w:anchor="sec:prev-biblio">
        <w:r>
          <w:rPr>
            <w:rStyle w:val="Hyperlink"/>
          </w:rPr>
          <w:t xml:space="preserve">2.1</w:t>
        </w:r>
      </w:hyperlink>
      <w:r>
        <w:t xml:space="preserve">, SDG 17 is treated in the literature</w:t>
      </w:r>
      <w:r>
        <w:t xml:space="preserve"> </w:t>
      </w:r>
      <w:r>
        <w:t xml:space="preserve">(Le Blanc, 2015; Griggs et al., 2017)</w:t>
      </w:r>
      <w:r>
        <w:t xml:space="preserve"> </w:t>
      </w:r>
      <w:r>
        <w:t xml:space="preserve">as implementation infrastructure rather than a substantive domain in its own right, coordinating action across goals rather than constituting one. Applied here one category up (see previous paragraph), the same reading suggests</w:t>
      </w:r>
      <w:r>
        <w:t xml:space="preserve"> </w:t>
      </w:r>
      <w:r>
        <w:t xml:space="preserve">“</w:t>
      </w:r>
      <w:r>
        <w:t xml:space="preserve">AI and the SDGs</w:t>
      </w:r>
      <w:r>
        <w:t xml:space="preserve">”</w:t>
      </w:r>
      <w:r>
        <w:t xml:space="preserve"> </w:t>
      </w:r>
      <w:r>
        <w:t xml:space="preserve">may currently occupy an analogous pre-domain status in policy discourse — a research-side framing device that institutional discourse has not yet organised itself around. If so, the coverage and semantic gaps measured in this paper (Section </w:t>
      </w:r>
      <w:hyperlink w:anchor="sec:results">
        <w:r>
          <w:rPr>
            <w:rStyle w:val="Hyperlink"/>
          </w:rPr>
          <w:t xml:space="preserve">4</w:t>
        </w:r>
      </w:hyperlink>
      <w:r>
        <w:t xml:space="preserve">) describe divergence within a category that, on the policy side, barely exists as a category at all. A future Level 0 measurement — tracking when and whether</w:t>
      </w:r>
      <w:r>
        <w:t xml:space="preserve"> </w:t>
      </w:r>
      <w:r>
        <w:t xml:space="preserve">“</w:t>
      </w:r>
      <w:r>
        <w:t xml:space="preserve">AI-and-SDG</w:t>
      </w:r>
      <w:r>
        <w:t xml:space="preserve">”</w:t>
      </w:r>
      <w:r>
        <w:t xml:space="preserve"> </w:t>
      </w:r>
      <w:r>
        <w:t xml:space="preserve">stabilises as a policy-organising category, for instance through co-occurrence of AI and SDG terms in institutional agendas over time — would convert this inference into a Level-1-style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to rule out a sample-size or statistical-power concern, but it does not, on its own, establish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substantially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seven negatives elsewhere),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substantial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common sense, and the results confirm it: coverage and framing are separable, with only a modest, hedged correlation 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 Existing SDG-mapping studies report only coverage</w:t>
      </w:r>
      <w:r>
        <w:t xml:space="preserve"> </w:t>
      </w:r>
      <w:r>
        <w:t xml:space="preserve">(Armitage et al., 2020)</w:t>
      </w:r>
      <w:r>
        <w:t xml:space="preserve">; this paper shows coverage and framing are separable dimensions (Section </w:t>
      </w:r>
      <w:hyperlink w:anchor="sec:semantic-gap">
        <w:r>
          <w:rPr>
            <w:rStyle w:val="Hyperlink"/>
          </w:rPr>
          <w:t xml:space="preserve">4.3</w:t>
        </w:r>
      </w:hyperlink>
      <w:r>
        <w:t xml:space="preserve">).</w:t>
      </w:r>
    </w:p>
    <w:bookmarkEnd w:id="83"/>
    <w:bookmarkEnd w:id="84"/>
    <w:bookmarkStart w:id="85" w:name="sec:conclusion"/>
    <w:p>
      <w:pPr>
        <w:pStyle w:val="Heading1"/>
      </w:pPr>
      <w:r>
        <w:t xml:space="preserve">Conclusion</w:t>
      </w:r>
    </w:p>
    <w:p>
      <w:pPr>
        <w:pStyle w:val="FirstParagraph"/>
      </w:pPr>
      <w:r>
        <w:t xml:space="preserve">The Introduction asked whether shared SDG labels between academic AI research and institutional policy discourse indicate genuine alignment. Not without examining framing.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cancellation: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Mode 2 knowledge production</w:t>
      </w:r>
      <w:r>
        <w:t xml:space="preserve"> </w:t>
      </w:r>
      <w:r>
        <w:t xml:space="preserve">(Gibbons et al., 1994)</w:t>
      </w:r>
      <w:r>
        <w:t xml:space="preserve"> </w:t>
      </w:r>
      <w:r>
        <w:t xml:space="preserve">shapes the discourse in contexts of application, producing framings that are structurally further from research norms; this is the expected consequence of two distinct knowledge cultures producing different framings of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framework is the paper’s primary contribution, advancing AI–SDG mapping from Level 1 (lexical correspondence) to Level 2 (observed semantic proximity) with explicit marking of Level 3 boundaries (Section </w:t>
      </w:r>
      <w:hyperlink w:anchor="sec:limitations">
        <w:r>
          <w:rPr>
            <w:rStyle w:val="Hyperlink"/>
          </w:rPr>
          <w:t xml:space="preserve">5.5</w:t>
        </w:r>
      </w:hyperlink>
      <w:r>
        <w:t xml:space="preserve">), and portable to any research-policy interface that shares a category system (Section </w:t>
      </w:r>
      <w:hyperlink w:anchor="sec:limitations">
        <w:r>
          <w:rPr>
            <w:rStyle w:val="Hyperlink"/>
          </w:rPr>
          <w:t xml:space="preserve">5.5</w:t>
        </w:r>
      </w:hyperlink>
      <w:r>
        <w:t xml:space="preserve">). The asymmetric corpus construction itself is diagnostic: the difficulty of building a symmetric AI-SDG policy corpus reflects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simply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established in Appendix </w:t>
      </w:r>
      <w:hyperlink w:anchor="app:sample-stability">
        <w:r>
          <w:rPr>
            <w:rStyle w:val="Hyperlink"/>
          </w:rPr>
          <w:t xml:space="preserve">11</w:t>
        </w:r>
      </w:hyperlink>
      <w:r>
        <w:t xml:space="preserve"> </w:t>
      </w:r>
      <w:r>
        <w:t xml:space="preserve">(coverage-profile standard deviation 0.001 and mean within-SDG semantic gap 0.342, within 0.002 of the full-corpus estimate of 0.340 at 50</w:t>
      </w:r>
      <w:r>
        <w:t xml:space="preserve">,</w:t>
      </w:r>
      <w:r>
        <w:t xml:space="preserve">000 papers)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3</w:t>
      </w:r>
      <w:r>
        <w:t xml:space="preserve">,</w:t>
      </w:r>
      <w:r>
        <w:t xml:space="preserve">105</w:t>
      </w:r>
      <w:r>
        <w:t xml:space="preserve">,</w:t>
      </w:r>
      <w:r>
        <w:t xml:space="preserve">144-segment research corpus,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0.87</m:t>
        </m:r>
      </m:oMath>
      <w:r>
        <w:t xml:space="preserve">; semantic-gap rank</w:t>
      </w:r>
      <w:r>
        <w:t xml:space="preserve"> </w:t>
      </w:r>
      <m:oMath>
        <m:r>
          <m:t>ρ</m:t>
        </m:r>
        <m:r>
          <m:rPr>
            <m:sty m:val="p"/>
          </m:rPr>
          <m:t>=</m:t>
        </m:r>
        <m:r>
          <m:t>0.81</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so its third-place research share here is suspect on independent grounds. The audit does not relabel records; it tests whether the concern is empirically plausible. Table </w:t>
      </w:r>
      <w:hyperlink w:anchor="tab:sdg4-lexical-audit">
        <w:r>
          <w:rPr>
            <w:rStyle w:val="Hyperlink"/>
          </w:rPr>
          <w:t xml:space="preserve">8</w:t>
        </w:r>
      </w:hyperlink>
      <w:r>
        <w:t xml:space="preserve"> </w:t>
      </w:r>
      <w:r>
        <w:t xml:space="preserve">therefore compares the lexical composition of SDG 4-assigned research with a matched non-SDG4 sample and with SDG 9, using only two transparent keyword groups: ML-learning and education-specific vocabulary.</w:t>
      </w:r>
    </w:p>
    <w:p>
      <w:pPr>
        <w:pStyle w:val="BodyText"/>
      </w:pPr>
      <w:r>
        <w:t xml:space="preserve">The result (Table </w:t>
      </w:r>
      <w:hyperlink w:anchor="tab:sdg4-lexical-audit">
        <w:r>
          <w:rPr>
            <w:rStyle w:val="Hyperlink"/>
          </w:rPr>
          <w:t xml:space="preserve">8</w:t>
        </w:r>
      </w:hyperlink>
      <w:r>
        <w:t xml:space="preserve">) is a negative test of the false-positive hypothesis: education-specific vocabulary alone covers 44.4% of SDG 4-assigned records and overlaps ML vocabulary in a further 23.8%, while only 11.8% are ML-only. The comparison sets are inverted, with ML-only vocabulary dominating the non-SDG4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 SDG 13 and SDG 17 sit close together (cosine 0.821), as do SDGs 1, 8, and 10.</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clear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TF-IDF terms most distinctive of the research and policy sides for each SDG. Generic ML methodology vocabulary, such as</w:t>
      </w:r>
      <w:r>
        <w:t xml:space="preserve"> </w:t>
      </w:r>
      <w:r>
        <w:rPr>
          <w:iCs/>
          <w:i/>
        </w:rPr>
        <w:t xml:space="preserve">model</w:t>
      </w:r>
      <w:r>
        <w:t xml:space="preserve">,</w:t>
      </w:r>
      <w:r>
        <w:t xml:space="preserve"> </w:t>
      </w:r>
      <w:r>
        <w:rPr>
          <w:iCs/>
          <w:i/>
        </w:rPr>
        <w:t xml:space="preserve">learning</w:t>
      </w:r>
      <w:r>
        <w:t xml:space="preserve">, and</w:t>
      </w:r>
      <w:r>
        <w:t xml:space="preserve"> </w:t>
      </w:r>
      <w:r>
        <w:rPr>
          <w:iCs/>
          <w:i/>
        </w:rPr>
        <w:t xml:space="preserve">neural</w:t>
      </w:r>
      <w:r>
        <w:t xml:space="preserve">, is excluded because these terms reflect the search strategy rather than SDG-specific framing.</w:t>
      </w:r>
    </w:p>
    <w:p>
      <w:pPr>
        <w:pStyle w:val="BodyText"/>
      </w:pPr>
      <w:r>
        <w:t xml:space="preserve">The contrasts echo the embedding patterns. The widest-gap SDGs (3, 13, 11, 7, 1, 8, 14; raw gap</w:t>
      </w:r>
      <w:r>
        <w:t xml:space="preserve"> </w:t>
      </w:r>
      <m:oMath>
        <m:r>
          <m:rPr>
            <m:sty m:val="p"/>
          </m:rPr>
          <m:t>≥</m:t>
        </m:r>
        <m:r>
          <m:t>0.358</m:t>
        </m:r>
      </m:oMath>
      <w:r>
        <w:t xml:space="preserve">) consistently oppose technical measurement vocabulary,</w:t>
      </w:r>
      <w:r>
        <w:t xml:space="preserve"> </w:t>
      </w:r>
      <w:r>
        <w:rPr>
          <w:iCs/>
          <w:i/>
        </w:rPr>
        <w:t xml:space="preserve">detection</w:t>
      </w:r>
      <w:r>
        <w:t xml:space="preserve">,</w:t>
      </w:r>
      <w:r>
        <w:t xml:space="preserve"> </w:t>
      </w:r>
      <w:r>
        <w:rPr>
          <w:iCs/>
          <w:i/>
        </w:rPr>
        <w:t xml:space="preserve">images</w:t>
      </w:r>
      <w:r>
        <w:t xml:space="preserve">,</w:t>
      </w:r>
      <w:r>
        <w:t xml:space="preserve"> </w:t>
      </w:r>
      <w:r>
        <w:rPr>
          <w:iCs/>
          <w:i/>
        </w:rPr>
        <w:t xml:space="preserve">yield</w:t>
      </w:r>
      <w:r>
        <w:t xml:space="preserve">,</w:t>
      </w:r>
      <w:r>
        <w:t xml:space="preserve"> </w:t>
      </w:r>
      <w:r>
        <w:rPr>
          <w:iCs/>
          <w:i/>
        </w:rPr>
        <w:t xml:space="preserve">regression</w:t>
      </w:r>
      <w:r>
        <w:t xml:space="preserve">, against institutional or welfare terms,</w:t>
      </w:r>
      <w:r>
        <w:t xml:space="preserve"> </w:t>
      </w:r>
      <w:r>
        <w:rPr>
          <w:iCs/>
          <w:i/>
        </w:rPr>
        <w:t xml:space="preserve">climate</w:t>
      </w:r>
      <w:r>
        <w:t xml:space="preserve">,</w:t>
      </w:r>
      <w:r>
        <w:t xml:space="preserve"> </w:t>
      </w:r>
      <w:r>
        <w:rPr>
          <w:iCs/>
          <w:i/>
        </w:rPr>
        <w:t xml:space="preserve">emissions</w:t>
      </w:r>
      <w:r>
        <w:t xml:space="preserve">,</w:t>
      </w:r>
      <w:r>
        <w:t xml:space="preserve"> </w:t>
      </w:r>
      <w:r>
        <w:rPr>
          <w:iCs/>
          <w:i/>
        </w:rPr>
        <w:t xml:space="preserve">health</w:t>
      </w:r>
      <w:r>
        <w:t xml:space="preserve">,</w:t>
      </w:r>
      <w:r>
        <w:t xml:space="preserve"> </w:t>
      </w:r>
      <w:r>
        <w:rPr>
          <w:iCs/>
          <w:i/>
        </w:rPr>
        <w:t xml:space="preserve">employment</w:t>
      </w:r>
      <w:r>
        <w:t xml:space="preserve">. SDG 13 clarifies the pattern most sharply: research terms centre on crop monitoring and soil science while policy terms address national emissions commitments. Lower-gap SDGs (17, 15, 4, 10, 5, 6, 2; raw gap</w:t>
      </w:r>
      <w:r>
        <w:t xml:space="preserve"> </w:t>
      </w:r>
      <m:oMath>
        <m:r>
          <m:rPr>
            <m:sty m:val="p"/>
          </m:rPr>
          <m:t>≤</m:t>
        </m:r>
        <m:r>
          <m:t>0.299</m:t>
        </m:r>
      </m:oMath>
      <w:r>
        <w:t xml:space="preserve">) show narrower lexical divergence, such as the shared technology-infrastructure frame of SDG 9 or the social-media-partnership overlap of SDG 17. A further observation cuts across both groups: agricultural-AI vocabulary (</w:t>
      </w:r>
      <w:r>
        <w:rPr>
          <w:iCs/>
          <w:i/>
        </w:rPr>
        <w:t xml:space="preserve">crop</w:t>
      </w:r>
      <w:r>
        <w:t xml:space="preserve">,</w:t>
      </w:r>
      <w:r>
        <w:t xml:space="preserve"> </w:t>
      </w:r>
      <w:r>
        <w:rPr>
          <w:iCs/>
          <w:i/>
        </w:rPr>
        <w:t xml:space="preserve">soil</w:t>
      </w:r>
      <w:r>
        <w:t xml:space="preserve">,</w:t>
      </w:r>
      <w:r>
        <w:t xml:space="preserve"> </w:t>
      </w:r>
      <w:r>
        <w:rPr>
          <w:iCs/>
          <w:i/>
        </w:rPr>
        <w:t xml:space="preserve">agricultural</w:t>
      </w:r>
      <w:r>
        <w:t xml:space="preserve">) appears on the research side of nine unrelated SDGs, reflecting a strong agri-tech skew in the AI-for-SDG literature rather than alignment with each goal’s policy domain.</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with one exception: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mean within-SDG semantic gap was recalculated, and the policy-text calibration-bias summary was re-estimated.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980"/>
        <w:gridCol w:w="1980"/>
        <w:gridCol w:w="1980"/>
        <w:gridCol w:w="1980"/>
      </w:tblGrid>
      <w:tr>
        <w:tc>
          <w:tcPr/>
          <w:p>
            <w:pPr>
              <w:pStyle w:val="Compact"/>
              <w:jc w:val="left"/>
            </w:pPr>
            <w:r>
              <w:t xml:space="preserve">Sample Size</w:t>
            </w:r>
          </w:p>
        </w:tc>
        <w:tc>
          <w:tcPr/>
          <w:p>
            <w:pPr>
              <w:pStyle w:val="Compact"/>
            </w:pPr>
          </w:p>
        </w:tc>
        <w:tc>
          <w:tcPr/>
          <w:p>
            <w:pPr>
              <w:pStyle w:val="Compact"/>
            </w:pPr>
          </w:p>
        </w:tc>
        <w:tc>
          <w:tcPr/>
          <w:p>
            <w:pPr>
              <w:pStyle w:val="Compact"/>
            </w:pPr>
          </w:p>
        </w:tc>
      </w:tr>
      <w:tr>
        <w:tc>
          <w:tcPr/>
          <w:p>
            <w:pPr>
              <w:pStyle w:val="Compact"/>
              <w:jc w:val="left"/>
            </w:pPr>
            <w:r>
              <w:t xml:space="preserve">coverage shares</w:t>
            </w:r>
          </w:p>
        </w:tc>
        <w:tc>
          <w:tcPr/>
          <w:p>
            <w:pPr>
              <w:pStyle w:val="Compact"/>
            </w:pPr>
          </w:p>
        </w:tc>
        <w:tc>
          <w:tcPr/>
          <w:p>
            <w:pPr>
              <w:pStyle w:val="Compact"/>
            </w:pPr>
          </w:p>
        </w:tc>
        <w:tc>
          <w:tcPr/>
          <w:p>
            <w:pPr>
              <w:pStyle w:val="Compact"/>
            </w:pPr>
          </w:p>
        </w:tc>
      </w:tr>
      <w:tr>
        <w:tc>
          <w:tcPr/>
          <w:p>
            <w:pPr>
              <w:pStyle w:val="Compact"/>
              <w:jc w:val="left"/>
            </w:pPr>
            <w:r>
              <w:t xml:space="preserve">semantic gap</w:t>
            </w:r>
          </w:p>
        </w:tc>
        <w:tc>
          <w:tcPr/>
          <w:p>
            <w:pPr>
              <w:pStyle w:val="Compact"/>
            </w:pPr>
          </w:p>
        </w:tc>
        <w:tc>
          <w:tcPr/>
          <w:p>
            <w:pPr>
              <w:pStyle w:val="Compact"/>
            </w:pPr>
          </w:p>
        </w:tc>
        <w:tc>
          <w:tcPr/>
          <w:p>
            <w:pPr>
              <w:pStyle w:val="Compact"/>
            </w:pPr>
          </w:p>
        </w:tc>
      </w:tr>
      <w:tr>
        <w:tc>
          <w:tcPr/>
          <w:p>
            <w:pPr>
              <w:pStyle w:val="Compact"/>
              <w:jc w:val="left"/>
            </w:pPr>
            <w:r>
              <w:t xml:space="preserve">calibration bias</w:t>
            </w: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0.006</m:t>
              </m:r>
            </m:oMath>
          </w:p>
        </w:tc>
        <w:tc>
          <w:tcPr/>
          <w:p>
            <w:pPr>
              <w:pStyle w:val="Compact"/>
              <w:jc w:val="center"/>
            </w:pPr>
            <m:oMath>
              <m:r>
                <m:t>0.417</m:t>
              </m:r>
              <m:r>
                <m:rPr>
                  <m:sty m:val="p"/>
                </m:rPr>
                <m:t>±</m:t>
              </m:r>
              <m:r>
                <m:t>0.020</m:t>
              </m:r>
            </m:oMath>
          </w:p>
        </w:tc>
        <w:tc>
          <w:tcPr/>
          <w:p>
            <w:pPr>
              <w:pStyle w:val="Compact"/>
              <w:jc w:val="center"/>
            </w:pPr>
            <m:oMath>
              <m:r>
                <m:t>0.122</m:t>
              </m:r>
              <m:r>
                <m:rPr>
                  <m:sty m:val="p"/>
                </m:rPr>
                <m:t>±</m:t>
              </m:r>
              <m:r>
                <m:t>0.008</m:t>
              </m:r>
            </m:oMath>
          </w:p>
        </w:tc>
      </w:tr>
      <w:tr>
        <w:tc>
          <w:tcPr/>
          <w:p>
            <w:pPr>
              <w:pStyle w:val="Compact"/>
              <w:jc w:val="left"/>
            </w:pPr>
            <w:r>
              <w:t xml:space="preserve">2,000</w:t>
            </w:r>
          </w:p>
        </w:tc>
        <w:tc>
          <w:tcPr/>
          <w:p>
            <w:pPr>
              <w:pStyle w:val="Compact"/>
              <w:jc w:val="center"/>
            </w:pPr>
            <m:oMath>
              <m:r>
                <m:t>0.004</m:t>
              </m:r>
            </m:oMath>
          </w:p>
        </w:tc>
        <w:tc>
          <w:tcPr/>
          <w:p>
            <w:pPr>
              <w:pStyle w:val="Compact"/>
              <w:jc w:val="center"/>
            </w:pPr>
            <m:oMath>
              <m:r>
                <m:t>0.384</m:t>
              </m:r>
              <m:r>
                <m:rPr>
                  <m:sty m:val="p"/>
                </m:rPr>
                <m:t>±</m:t>
              </m:r>
              <m:r>
                <m:t>0.015</m:t>
              </m:r>
            </m:oMath>
          </w:p>
        </w:tc>
        <w:tc>
          <w:tcPr/>
          <w:p>
            <w:pPr>
              <w:pStyle w:val="Compact"/>
              <w:jc w:val="center"/>
            </w:pPr>
            <m:oMath>
              <m:r>
                <m:t>0.122</m:t>
              </m:r>
              <m:r>
                <m:rPr>
                  <m:sty m:val="p"/>
                </m:rPr>
                <m:t>±</m:t>
              </m:r>
              <m:r>
                <m:t>0.006</m:t>
              </m:r>
            </m:oMath>
          </w:p>
        </w:tc>
      </w:tr>
      <w:tr>
        <w:tc>
          <w:tcPr/>
          <w:p>
            <w:pPr>
              <w:pStyle w:val="Compact"/>
              <w:jc w:val="left"/>
            </w:pPr>
            <w:r>
              <w:t xml:space="preserve">5,000</w:t>
            </w:r>
          </w:p>
        </w:tc>
        <w:tc>
          <w:tcPr/>
          <w:p>
            <w:pPr>
              <w:pStyle w:val="Compact"/>
              <w:jc w:val="center"/>
            </w:pPr>
            <m:oMath>
              <m:r>
                <m:t>0.003</m:t>
              </m:r>
            </m:oMath>
          </w:p>
        </w:tc>
        <w:tc>
          <w:tcPr/>
          <w:p>
            <w:pPr>
              <w:pStyle w:val="Compact"/>
              <w:jc w:val="center"/>
            </w:pPr>
            <m:oMath>
              <m:r>
                <m:t>0.358</m:t>
              </m:r>
              <m:r>
                <m:rPr>
                  <m:sty m:val="p"/>
                </m:rPr>
                <m:t>±</m:t>
              </m:r>
              <m:r>
                <m:t>0.009</m:t>
              </m:r>
            </m:oMath>
          </w:p>
        </w:tc>
        <w:tc>
          <w:tcPr/>
          <w:p>
            <w:pPr>
              <w:pStyle w:val="Compact"/>
              <w:jc w:val="center"/>
            </w:pPr>
            <m:oMath>
              <m:r>
                <m:t>0.122</m:t>
              </m:r>
              <m:r>
                <m:rPr>
                  <m:sty m:val="p"/>
                </m:rPr>
                <m:t>±</m:t>
              </m:r>
              <m:r>
                <m:t>0.004</m:t>
              </m:r>
            </m:oMath>
          </w:p>
        </w:tc>
      </w:tr>
      <w:tr>
        <w:tc>
          <w:tcPr/>
          <w:p>
            <w:pPr>
              <w:pStyle w:val="Compact"/>
              <w:jc w:val="left"/>
            </w:pPr>
            <w:r>
              <w:t xml:space="preserve">10,000</w:t>
            </w:r>
          </w:p>
        </w:tc>
        <w:tc>
          <w:tcPr/>
          <w:p>
            <w:pPr>
              <w:pStyle w:val="Compact"/>
              <w:jc w:val="center"/>
            </w:pPr>
            <m:oMath>
              <m:r>
                <m:t>0.002</m:t>
              </m:r>
            </m:oMath>
          </w:p>
        </w:tc>
        <w:tc>
          <w:tcPr/>
          <w:p>
            <w:pPr>
              <w:pStyle w:val="Compact"/>
              <w:jc w:val="center"/>
            </w:pPr>
            <m:oMath>
              <m:r>
                <m:t>0.350</m:t>
              </m:r>
              <m:r>
                <m:rPr>
                  <m:sty m:val="p"/>
                </m:rPr>
                <m:t>±</m:t>
              </m:r>
              <m:r>
                <m:t>0.006</m:t>
              </m:r>
            </m:oMath>
          </w:p>
        </w:tc>
        <w:tc>
          <w:tcPr/>
          <w:p>
            <w:pPr>
              <w:pStyle w:val="Compact"/>
              <w:jc w:val="center"/>
            </w:pPr>
            <m:oMath>
              <m:r>
                <m:t>0.122</m:t>
              </m:r>
              <m:r>
                <m:rPr>
                  <m:sty m:val="p"/>
                </m:rPr>
                <m:t>±</m:t>
              </m:r>
              <m:r>
                <m:t>0.002</m:t>
              </m:r>
            </m:oMath>
          </w:p>
        </w:tc>
      </w:tr>
      <w:tr>
        <w:tc>
          <w:tcPr/>
          <w:p>
            <w:pPr>
              <w:pStyle w:val="Compact"/>
              <w:jc w:val="left"/>
            </w:pPr>
            <w:r>
              <w:t xml:space="preserve">20,000</w:t>
            </w:r>
          </w:p>
        </w:tc>
        <w:tc>
          <w:tcPr/>
          <w:p>
            <w:pPr>
              <w:pStyle w:val="Compact"/>
              <w:jc w:val="center"/>
            </w:pPr>
            <m:oMath>
              <m:r>
                <m:t>0.001</m:t>
              </m:r>
            </m:oMath>
          </w:p>
        </w:tc>
        <w:tc>
          <w:tcPr/>
          <w:p>
            <w:pPr>
              <w:pStyle w:val="Compact"/>
              <w:jc w:val="center"/>
            </w:pPr>
            <m:oMath>
              <m:r>
                <m:t>0.344</m:t>
              </m:r>
              <m:r>
                <m:rPr>
                  <m:sty m:val="p"/>
                </m:rPr>
                <m:t>±</m:t>
              </m:r>
              <m:r>
                <m:t>0.005</m:t>
              </m:r>
            </m:oMath>
          </w:p>
        </w:tc>
        <w:tc>
          <w:tcPr/>
          <w:p>
            <w:pPr>
              <w:pStyle w:val="Compact"/>
              <w:jc w:val="center"/>
            </w:pPr>
            <m:oMath>
              <m:r>
                <m:t>0.122</m:t>
              </m:r>
              <m:r>
                <m:rPr>
                  <m:sty m:val="p"/>
                </m:rPr>
                <m:t>±</m:t>
              </m:r>
              <m:r>
                <m:t>0.002</m:t>
              </m:r>
            </m:oMath>
          </w:p>
        </w:tc>
      </w:tr>
      <w:tr>
        <w:tc>
          <w:tcPr/>
          <w:p>
            <w:pPr>
              <w:pStyle w:val="Compact"/>
              <w:jc w:val="left"/>
            </w:pPr>
            <w:r>
              <w:t xml:space="preserve">50,000</w:t>
            </w:r>
          </w:p>
        </w:tc>
        <w:tc>
          <w:tcPr/>
          <w:p>
            <w:pPr>
              <w:pStyle w:val="Compact"/>
              <w:jc w:val="center"/>
            </w:pPr>
            <m:oMath>
              <m:r>
                <m:t>0.001</m:t>
              </m:r>
            </m:oMath>
          </w:p>
        </w:tc>
        <w:tc>
          <w:tcPr/>
          <w:p>
            <w:pPr>
              <w:pStyle w:val="Compact"/>
              <w:jc w:val="center"/>
            </w:pPr>
            <m:oMath>
              <m:r>
                <m:t>0.342</m:t>
              </m:r>
              <m:r>
                <m:rPr>
                  <m:sty m:val="p"/>
                </m:rPr>
                <m:t>±</m:t>
              </m:r>
              <m:r>
                <m:t>0.003</m:t>
              </m:r>
            </m:oMath>
          </w:p>
        </w:tc>
        <w:tc>
          <w:tcPr/>
          <w:p>
            <w:pPr>
              <w:pStyle w:val="Compact"/>
              <w:jc w:val="center"/>
            </w:pPr>
            <m:oMath>
              <m:r>
                <m:t>0.122</m:t>
              </m:r>
              <m:r>
                <m:rPr>
                  <m:sty m:val="p"/>
                </m:rPr>
                <m:t>±</m:t>
              </m:r>
              <m:r>
                <m:t>0.001</m:t>
              </m:r>
            </m:oMath>
          </w:p>
        </w:tc>
      </w:tr>
      <w:tr>
        <w:tc>
          <w:tcPr/>
          <w:p>
            <w:pPr>
              <w:pStyle w:val="Compact"/>
              <w:jc w:val="left"/>
            </w:pPr>
            <w:r>
              <w:t xml:space="preserve">100,000</w:t>
            </w:r>
          </w:p>
        </w:tc>
        <w:tc>
          <w:tcPr/>
          <w:p>
            <w:pPr>
              <w:pStyle w:val="Compact"/>
              <w:jc w:val="center"/>
            </w:pPr>
            <m:oMath>
              <m:r>
                <m:t>0.001</m:t>
              </m:r>
            </m:oMath>
          </w:p>
        </w:tc>
        <w:tc>
          <w:tcPr/>
          <w:p>
            <w:pPr>
              <w:pStyle w:val="Compact"/>
              <w:jc w:val="center"/>
            </w:pPr>
            <m:oMath>
              <m:r>
                <m:t>0.341</m:t>
              </m:r>
              <m:r>
                <m:rPr>
                  <m:sty m:val="p"/>
                </m:rPr>
                <m:t>±</m:t>
              </m:r>
              <m:r>
                <m:t>0.003</m:t>
              </m:r>
            </m:oMath>
          </w:p>
        </w:tc>
        <w:tc>
          <w:tcPr/>
          <w:p>
            <w:pPr>
              <w:pStyle w:val="Compact"/>
              <w:jc w:val="center"/>
            </w:pPr>
            <m:oMath>
              <m:r>
                <m:t>0.122</m:t>
              </m:r>
              <m:r>
                <m:rPr>
                  <m:sty m:val="p"/>
                </m:rPr>
                <m:t>±</m:t>
              </m:r>
              <m:r>
                <m:t>0.001</m:t>
              </m:r>
            </m:oMath>
          </w:p>
        </w:tc>
      </w:tr>
      <w:tr>
        <w:tc>
          <w:tcPr/>
          <w:p>
            <w:pPr>
              <w:pStyle w:val="Compact"/>
              <w:jc w:val="left"/>
            </w:pPr>
            <w:r>
              <w:t xml:space="preserve">200,000</w:t>
            </w:r>
          </w:p>
        </w:tc>
        <w:tc>
          <w:tcPr/>
          <w:p>
            <w:pPr>
              <w:pStyle w:val="Compact"/>
              <w:jc w:val="center"/>
            </w:pPr>
            <m:oMath>
              <m:r>
                <m:t>0.000</m:t>
              </m:r>
            </m:oMath>
          </w:p>
        </w:tc>
        <w:tc>
          <w:tcPr/>
          <w:p>
            <w:pPr>
              <w:pStyle w:val="Compact"/>
              <w:jc w:val="center"/>
            </w:pPr>
            <m:oMath>
              <m:r>
                <m:t>0.340</m:t>
              </m:r>
              <m:r>
                <m:rPr>
                  <m:sty m:val="p"/>
                </m:rPr>
                <m:t>±</m:t>
              </m:r>
              <m:r>
                <m:t>0.002</m:t>
              </m:r>
            </m:oMath>
          </w:p>
        </w:tc>
        <w:tc>
          <w:tcPr/>
          <w:p>
            <w:pPr>
              <w:pStyle w:val="Compact"/>
              <w:jc w:val="center"/>
            </w:pPr>
            <m:oMath>
              <m:r>
                <m:t>0.122</m:t>
              </m:r>
              <m:r>
                <m:rPr>
                  <m:sty m:val="p"/>
                </m:rPr>
                <m:t>±</m:t>
              </m:r>
              <m:r>
                <m:t>0.001</m:t>
              </m:r>
            </m:oMath>
          </w:p>
        </w:tc>
      </w:tr>
      <w:tr>
        <w:tc>
          <w:tcPr/>
          <w:p>
            <w:pPr>
              <w:pStyle w:val="Compact"/>
              <w:jc w:val="left"/>
            </w:pPr>
            <w:r>
              <w:t xml:space="preserve">500,000</w:t>
            </w:r>
          </w:p>
        </w:tc>
        <w:tc>
          <w:tcPr/>
          <w:p>
            <w:pPr>
              <w:pStyle w:val="Compact"/>
              <w:jc w:val="center"/>
            </w:pPr>
            <m:oMath>
              <m:r>
                <m:t>0.000</m:t>
              </m:r>
            </m:oMath>
          </w:p>
        </w:tc>
        <w:tc>
          <w:tcPr/>
          <w:p>
            <w:pPr>
              <w:pStyle w:val="Compact"/>
              <w:jc w:val="center"/>
            </w:pPr>
            <m:oMath>
              <m:r>
                <m:t>0.340</m:t>
              </m:r>
              <m:r>
                <m:rPr>
                  <m:sty m:val="p"/>
                </m:rPr>
                <m:t>±</m:t>
              </m:r>
              <m:r>
                <m:t>0.001</m:t>
              </m:r>
            </m:oMath>
          </w:p>
        </w:tc>
        <w:tc>
          <w:tcPr/>
          <w:p>
            <w:pPr>
              <w:pStyle w:val="Compact"/>
              <w:jc w:val="center"/>
            </w:pPr>
            <m:oMath>
              <m:r>
                <m:t>0.122</m:t>
              </m:r>
              <m:r>
                <m:rPr>
                  <m:sty m:val="p"/>
                </m:rPr>
                <m:t>±</m:t>
              </m:r>
              <m:r>
                <m:t>0.000</m:t>
              </m:r>
            </m:oMath>
          </w:p>
        </w:tc>
      </w:tr>
      <w:tr>
        <w:tc>
          <w:tcPr/>
          <w:p>
            <w:pPr>
              <w:pStyle w:val="Compact"/>
              <w:jc w:val="left"/>
            </w:pPr>
            <w:r>
              <w:t xml:space="preserve">1,000,000</w:t>
            </w:r>
          </w:p>
        </w:tc>
        <w:tc>
          <w:tcPr/>
          <w:p>
            <w:pPr>
              <w:pStyle w:val="Compact"/>
              <w:jc w:val="center"/>
            </w:pPr>
            <m:oMath>
              <m:r>
                <m:t>0.000</m:t>
              </m:r>
            </m:oMath>
          </w:p>
        </w:tc>
        <w:tc>
          <w:tcPr/>
          <w:p>
            <w:pPr>
              <w:pStyle w:val="Compact"/>
              <w:jc w:val="center"/>
            </w:pPr>
            <m:oMath>
              <m:r>
                <m:t>0.340</m:t>
              </m:r>
              <m:r>
                <m:rPr>
                  <m:sty m:val="p"/>
                </m:rPr>
                <m:t>±</m:t>
              </m:r>
              <m:r>
                <m:t>0.001</m:t>
              </m:r>
            </m:oMath>
          </w:p>
        </w:tc>
        <w:tc>
          <w:tcPr/>
          <w:p>
            <w:pPr>
              <w:pStyle w:val="Compact"/>
              <w:jc w:val="center"/>
            </w:pPr>
            <m:oMath>
              <m:r>
                <m:t>0.122</m:t>
              </m:r>
              <m:r>
                <m:rPr>
                  <m:sty m:val="p"/>
                </m:rPr>
                <m:t>±</m:t>
              </m:r>
              <m:r>
                <m:t>0.000</m:t>
              </m:r>
            </m:oMath>
          </w:p>
        </w:tc>
      </w:tr>
      <w:tr>
        <w:tc>
          <w:tcPr/>
          <w:p>
            <w:pPr>
              <w:pStyle w:val="Compact"/>
              <w:jc w:val="left"/>
            </w:pPr>
            <w:r>
              <w:t xml:space="preserve">2,000,000</w:t>
            </w:r>
          </w:p>
        </w:tc>
        <w:tc>
          <w:tcPr/>
          <w:p>
            <w:pPr>
              <w:pStyle w:val="Compact"/>
              <w:jc w:val="center"/>
            </w:pPr>
            <m:oMath>
              <m:r>
                <m:t>0.000</m:t>
              </m:r>
            </m:oMath>
          </w:p>
        </w:tc>
        <w:tc>
          <w:tcPr/>
          <w:p>
            <w:pPr>
              <w:pStyle w:val="Compact"/>
              <w:jc w:val="center"/>
            </w:pPr>
            <m:oMath>
              <m:r>
                <m:t>0.340</m:t>
              </m:r>
              <m:r>
                <m:rPr>
                  <m:sty m:val="p"/>
                </m:rPr>
                <m:t>±</m:t>
              </m:r>
              <m:r>
                <m:t>0.000</m:t>
              </m:r>
            </m:oMath>
          </w:p>
        </w:tc>
        <w:tc>
          <w:tcPr/>
          <w:p>
            <w:pPr>
              <w:pStyle w:val="Compact"/>
              <w:jc w:val="center"/>
            </w:pPr>
            <m:oMath>
              <m:r>
                <m:t>0.122</m:t>
              </m:r>
              <m:r>
                <m:rPr>
                  <m:sty m:val="p"/>
                </m:rPr>
                <m:t>±</m:t>
              </m:r>
              <m:r>
                <m:t>0.000</m:t>
              </m:r>
            </m:oMath>
          </w:p>
        </w:tc>
      </w:tr>
      <w:tr>
        <w:tc>
          <w:tcPr/>
          <w:p>
            <w:pPr>
              <w:pStyle w:val="Compact"/>
              <w:jc w:val="left"/>
            </w:pPr>
            <w:r>
              <w:t xml:space="preserve">Full corpus</w:t>
            </w:r>
          </w:p>
        </w:tc>
        <w:tc>
          <w:tcPr/>
          <w:p>
            <w:pPr>
              <w:pStyle w:val="Compact"/>
              <w:jc w:val="center"/>
            </w:pPr>
            <w:r>
              <w:t xml:space="preserve">–</w:t>
            </w:r>
          </w:p>
        </w:tc>
        <w:tc>
          <w:tcPr/>
          <w:p>
            <w:pPr>
              <w:pStyle w:val="Compact"/>
              <w:jc w:val="center"/>
            </w:pPr>
            <m:oMath>
              <m:r>
                <m:t>0.340</m:t>
              </m:r>
            </m:oMath>
          </w:p>
        </w:tc>
        <w:tc>
          <w:tcPr/>
          <w:p>
            <w:pPr>
              <w:pStyle w:val="Compact"/>
              <w:jc w:val="center"/>
            </w:pPr>
            <m:oMath>
              <m:r>
                <m:t>0.122</m:t>
              </m:r>
            </m:oMath>
          </w:p>
        </w:tc>
      </w:tr>
    </w:tbl>
    <w:bookmarkEnd w:id="102"/>
    <w:p>
      <w:pPr>
        <w:pStyle w:val="BodyText"/>
      </w:pPr>
      <w:r>
        <w:rPr>
          <w:iCs/>
          <w:i/>
        </w:rPr>
        <w:t xml:space="preserve">Notes:</w:t>
      </w:r>
      <w:r>
        <w:t xml:space="preserve"> </w:t>
      </w:r>
      <w:r>
        <w:t xml:space="preserve">Mean SD of SDG coverage shares is the unweighted mean of the per-SDG standard deviations in research coverage share across the 100 random draws at each sampled tier. The remaining columns report the mean and draw-to-draw standard deviation of the headline downstream metrics. The full-corpus row is deterministic and therefore has no variance term.</w:t>
      </w:r>
    </w:p>
    <w:p>
      <w:pPr>
        <w:pStyle w:val="BodyText"/>
      </w:pPr>
      <w:r>
        <w:rPr>
          <w:iCs/>
          <w:i/>
        </w:rPr>
        <w:t xml:space="preserve">Plain-language guide.</w:t>
      </w:r>
      <w:r>
        <w:t xml:space="preserve"> </w:t>
      </w:r>
      <w:r>
        <w:t xml:space="preserve">The stability ladder tracks three metrics: (1) mean SD of SDG coverage shares, how much the topic balance moves across repeated samples; (2) mean semantic gap, how different research and policy language are within the same SDG; (3) policy–research score gap, how much the scoring instrument favours policy text over research text regardless of content. The clearest practical plateau appears by roughly 200</w:t>
      </w:r>
      <w:r>
        <w:t xml:space="preserve">,</w:t>
      </w:r>
      <w:r>
        <w:t xml:space="preserve">000 papers, where the mean semantic gap (</w:t>
      </w:r>
      <m:oMath>
        <m:r>
          <m:rPr>
            <m:sty m:val="p"/>
          </m:rPr>
          <m:t>∼</m:t>
        </m:r>
      </m:oMath>
      <w:r>
        <w:t xml:space="preserve">0.340) and policy-text calibration bias (</w:t>
      </w:r>
      <m:oMath>
        <m:r>
          <m:rPr>
            <m:sty m:val="p"/>
          </m:rPr>
          <m:t>∼</m:t>
        </m:r>
      </m:oMath>
      <w:r>
        <w:t xml:space="preserve">0.122) already stabilise to within 0.001 of their full-corpus values.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Three model families were considered under 5-fold GroupKFold cross-validation (document-level grouping, not random splits) on the pooled training data (n=52</w:t>
      </w:r>
      <w:r>
        <w:t xml:space="preserve">,</w:t>
      </w:r>
      <w:r>
        <w:t xml:space="preserve">835); the held-out test set (n=9</w:t>
      </w:r>
      <w:r>
        <w:t xml:space="preserve">,</w:t>
      </w:r>
      <w:r>
        <w:t xml:space="preserve">338) was never touched during any grid search.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 C</w:t>
      </w:r>
      <w:r>
        <w:t xml:space="preserve"> </w:t>
      </w:r>
      <m:oMath>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 class_weight</w:t>
      </w:r>
      <w:r>
        <w:t xml:space="preserve"> </w:t>
      </w:r>
      <m:oMath>
        <m:r>
          <m:rPr>
            <m:sty m:val="p"/>
          </m:rPr>
          <m:t>∈</m:t>
        </m:r>
        <m:r>
          <m:rPr>
            <m:sty m:val="p"/>
          </m:rPr>
          <m:t>{</m:t>
        </m:r>
        <m:r>
          <m:rPr>
            <m:nor/>
            <m:sty m:val="p"/>
          </m:rPr>
          <m:t>None</m:t>
        </m:r>
        <m:r>
          <m:rPr>
            <m:sty m:val="p"/>
          </m:rPr>
          <m:t>,</m:t>
        </m:r>
        <m:r>
          <m:rPr>
            <m:nor/>
            <m:sty m:val="p"/>
          </m:rPr>
          <m:t>balanced</m:t>
        </m:r>
        <m:r>
          <m:rPr>
            <m:sty m:val="p"/>
          </m:rPr>
          <m:t>}</m:t>
        </m:r>
      </m:oMath>
      <w:r>
        <w:t xml:space="preserve">; the MLP grid swept n_layers</w:t>
      </w:r>
      <w:r>
        <w:t xml:space="preserve"> </w:t>
      </w:r>
      <m:oMath>
        <m:r>
          <m:rPr>
            <m:sty m:val="p"/>
          </m:rPr>
          <m:t>∈</m:t>
        </m:r>
        <m:r>
          <m:rPr>
            <m:sty m:val="p"/>
          </m:rPr>
          <m:t>{</m:t>
        </m:r>
        <m:r>
          <m:t>2</m:t>
        </m:r>
        <m:r>
          <m:rPr>
            <m:sty m:val="p"/>
          </m:rPr>
          <m:t>,</m:t>
        </m:r>
        <m:r>
          <m:t>3</m:t>
        </m:r>
        <m:r>
          <m:rPr>
            <m:sty m:val="p"/>
          </m:rPr>
          <m:t>,</m:t>
        </m:r>
        <m:r>
          <m:t>4</m:t>
        </m:r>
        <m:r>
          <m:rPr>
            <m:sty m:val="p"/>
          </m:rPr>
          <m:t>,</m:t>
        </m:r>
        <m:r>
          <m:t>6</m:t>
        </m:r>
        <m:r>
          <m:rPr>
            <m:sty m:val="p"/>
          </m:rPr>
          <m:t>}</m:t>
        </m:r>
      </m:oMath>
      <w:r>
        <w:t xml:space="preserve"> </w:t>
      </w:r>
      <m:oMath>
        <m:r>
          <m:rPr>
            <m:sty m:val="p"/>
          </m:rPr>
          <m:t>×</m:t>
        </m:r>
      </m:oMath>
      <w:r>
        <w:t xml:space="preserve"> </w:t>
      </w:r>
      <w:r>
        <w:t xml:space="preserve">hidden_size</w:t>
      </w:r>
      <w:r>
        <w:t xml:space="preserve"> </w:t>
      </w:r>
      <m:oMath>
        <m:r>
          <m:rPr>
            <m:sty m:val="p"/>
          </m:rPr>
          <m:t>∈</m:t>
        </m:r>
        <m:r>
          <m:rPr>
            <m:sty m:val="p"/>
          </m:rPr>
          <m:t>{</m:t>
        </m:r>
        <m:r>
          <m:t>256</m:t>
        </m:r>
        <m:r>
          <m:rPr>
            <m:sty m:val="p"/>
          </m:rPr>
          <m:t>,</m:t>
        </m:r>
        <m:r>
          <m:t>384</m:t>
        </m:r>
        <m:r>
          <m:rPr>
            <m:sty m:val="p"/>
          </m:rPr>
          <m:t>}</m:t>
        </m:r>
      </m:oMath>
      <w:r>
        <w:t xml:space="preserve"> </w:t>
      </w:r>
      <m:oMath>
        <m:r>
          <m:rPr>
            <m:sty m:val="p"/>
          </m:rPr>
          <m:t>×</m:t>
        </m:r>
      </m:oMath>
      <w:r>
        <w:t xml:space="preserve"> </w:t>
      </w:r>
      <w:r>
        <w:t xml:space="preserve">lr</w:t>
      </w:r>
      <w:r>
        <w:t xml:space="preserve"> </w:t>
      </w:r>
      <m:oMath>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 weight_decay=0, dropout=0.3, AdamW, and early stopping. Grid search over architecture depth, hidden size, and learning rate showed negligible performance variance across the MLP configurations (CV macro-</w:t>
      </w:r>
      <m:oMath>
        <m:sSub>
          <m:e>
            <m:r>
              <m:t>F</m:t>
            </m:r>
          </m:e>
          <m:sub>
            <m:r>
              <m:t>1</m:t>
            </m:r>
          </m:sub>
        </m:sSub>
      </m:oMath>
      <w:r>
        <w:t xml:space="preserve"> </w:t>
      </w:r>
      <w:r>
        <w:t xml:space="preserve">=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confirming that architecture is not a binding constraint (Table </w:t>
      </w:r>
      <w:hyperlink w:anchor="tab:model-selection-ranking">
        <w:r>
          <w:rPr>
            <w:rStyle w:val="Hyperlink"/>
          </w:rPr>
          <w:t xml:space="preserve">2</w:t>
        </w:r>
      </w:hyperlink>
      <w:r>
        <w:t xml:space="preserve">).</w:t>
      </w:r>
    </w:p>
    <w:p>
      <w:pPr>
        <w:pStyle w:val="BodyText"/>
      </w:pPr>
      <w:r>
        <w:rPr>
          <w:bCs/>
          <w:b/>
        </w:rPr>
        <w:t xml:space="preserve">Champion: LR (C=3.0, L2).</w:t>
      </w:r>
      <w:r>
        <w:t xml:space="preserve"> </w:t>
      </w:r>
      <w:r>
        <w:t xml:space="preserve">LR (C=3.0, L2, class_weight=None) was chosen over the highest-scoring MLP despite a 0.0091 macro-</w:t>
      </w:r>
      <m:oMath>
        <m:sSub>
          <m:e>
            <m:r>
              <m:t>F</m:t>
            </m:r>
          </m:e>
          <m:sub>
            <m:r>
              <m:t>1</m:t>
            </m:r>
          </m:sub>
        </m:sSub>
      </m:oMath>
      <w:r>
        <w:t xml:space="preserve"> </w:t>
      </w:r>
      <w:r>
        <w:t xml:space="preserve">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 The MLP test macro-</w:t>
      </w:r>
      <m:oMath>
        <m:sSub>
          <m:e>
            <m:r>
              <m:t>F</m:t>
            </m:r>
          </m:e>
          <m:sub>
            <m:r>
              <m:t>1</m:t>
            </m:r>
          </m:sub>
        </m:sSub>
      </m:oMath>
      <w:r>
        <w:t xml:space="preserve"> </w:t>
      </w:r>
      <w:r>
        <w:t xml:space="preserve">(0.826) cited in Section </w:t>
      </w:r>
      <w:hyperlink w:anchor="sec:validation">
        <w:r>
          <w:rPr>
            <w:rStyle w:val="Hyperlink"/>
          </w:rPr>
          <w:t xml:space="preserve">4.1</w:t>
        </w:r>
      </w:hyperlink>
      <w:r>
        <w:t xml:space="preserve"> </w:t>
      </w:r>
      <w:r>
        <w:t xml:space="preserve">is a single held-out evaluation of the champion MLP retrained on the full training pool (n=52</w:t>
      </w:r>
      <w:r>
        <w:t xml:space="preserve">,</w:t>
      </w:r>
      <w:r>
        <w:t xml:space="preserve">835), distinct from the CV mean of 0.8192 </w:t>
      </w:r>
      <m:oMath>
        <m:r>
          <m:rPr>
            <m:sty m:val="p"/>
          </m:rPr>
          <m:t>±</m:t>
        </m:r>
      </m:oMath>
      <w:r>
        <w:t xml:space="preserve"> 0.0032 above. The full candidate ranking is reproduced in Table </w:t>
      </w:r>
      <w:hyperlink w:anchor="tab:model-selection-appendix">
        <w:r>
          <w:rPr>
            <w:rStyle w:val="Hyperlink"/>
          </w:rPr>
          <w:t xml:space="preserve">14</w:t>
        </w:r>
      </w:hyperlink>
      <w:r>
        <w:t xml:space="preserve">.</w:t>
      </w:r>
    </w:p>
    <w:p>
      <w:pPr>
        <w:pStyle w:val="BodyText"/>
      </w:pPr>
      <w:r>
        <w:t xml:space="preserve">Held-out test performance (Table </w:t>
      </w:r>
      <w:hyperlink w:anchor="tab:validation">
        <w:r>
          <w:rPr>
            <w:rStyle w:val="Hyperlink"/>
          </w:rPr>
          <w:t xml:space="preserve">3</w:t>
        </w:r>
      </w:hyperlink>
      <w:r>
        <w:t xml:space="preserve">) quantifies the cost of each simplification. The champion MLP reaches macro-F1 0.826 and micro-F1 0.8396, only  1.0 and  0.9 points above LR (0.816 / 0.831) with a near-identical per-SDG ordering (Spearman</w:t>
      </w:r>
      <w:r>
        <w:t xml:space="preserve"> </w:t>
      </w:r>
      <m:oMath>
        <m:r>
          <m:t>ρ</m:t>
        </m:r>
        <m:r>
          <m:rPr>
            <m:sty m:val="p"/>
          </m:rPr>
          <m:t>=</m:t>
        </m:r>
        <m:r>
          <m:t>0.98</m:t>
        </m:r>
      </m:oMath>
      <w:r>
        <w:t xml:space="preserve">), so its extra capacity yields negligible accuracy and the interpretability-first choice of LR is justified. The zero-shot nearest-centroid baseline is weaker – macro-F1 0.760 and micro-F1 0.7743,  5.6 points below LR – because it has no trained decision boundary, only the unweighted mean of reference embeddings, and the penalty is concentrated on the goals hardest to separate for all methods (SDG 10: 0.485 vs 0.610; SDG 17: 0.671). ZS still recovers the same broad ranking (</w:t>
      </w:r>
      <m:oMath>
        <m:r>
          <m:t>ρ</m:t>
        </m:r>
        <m:r>
          <m:rPr>
            <m:sty m:val="p"/>
          </m:rPr>
          <m:t>=</m:t>
        </m:r>
        <m:r>
          <m:t>0.93</m:t>
        </m:r>
      </m:oMath>
      <w:r>
        <w:t xml:space="preserve"> </w:t>
      </w:r>
      <w:r>
        <w:t xml:space="preserve">vs LR) and far exceeds the 1/17 random baseline, so it remains a usable 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3" w:name="app:register-removal"/>
    <w:p>
      <w:pPr>
        <w:pStyle w:val="Heading1"/>
      </w:pPr>
      <w:r>
        <w:t xml:space="preserve">Register Removal: Convergence and Validation</w:t>
      </w:r>
    </w:p>
    <w:bookmarkStart w:id="110"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7"/>
    <w:bookmarkStart w:id="109"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a rapid early drop followed by a plateau, is identical, confirming that the stopping behaviour reported above is a property of the INLP procedure rather than of the MPNet embedding space.</w:t>
      </w:r>
    </w:p>
    <w:bookmarkStart w:id="108"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8"/>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09"/>
    <w:bookmarkEnd w:id="110"/>
    <w:bookmarkStart w:id="122" w:name="app:register-validation"/>
    <w:p>
      <w:pPr>
        <w:pStyle w:val="Heading2"/>
      </w:pPr>
      <w:r>
        <w:t xml:space="preserve">Construct Validation</w:t>
      </w:r>
    </w:p>
    <w:bookmarkStart w:id="111"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establishes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establish three things: whether the adjustment removes a large corpus-separable component; whether the removal is accompanied by evidence that SDG (topic) structure is being destroyed; and whether apparent residual register signals survive controlled samples. It cannot establish that the removed subspace is identical to the measured linguistic register features, and the register score used here is a small set of surface indicators; the validation is single-encoder and sample-limited.</w:t>
      </w:r>
    </w:p>
    <w:bookmarkEnd w:id="111"/>
    <w:bookmarkStart w:id="114"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2"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2"/>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There it emerges that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3"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3"/>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4"/>
    <w:bookmarkStart w:id="115"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clearly above chance.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5"/>
    <w:bookmarkStart w:id="116"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6"/>
    <w:bookmarkStart w:id="117"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7"/>
    <w:bookmarkStart w:id="118"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substantial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established, and residual corpus-linear signal remains.</w:t>
      </w:r>
    </w:p>
    <w:p>
      <w:pPr>
        <w:pStyle w:val="FirstParagraph"/>
      </w:pPr>
      <w:r>
        <w:t xml:space="preserve">The register interpretation is therefore consistent with the validation evidence rather than confirmed by it; the main text describes it as resting on partial, not complete, empirical support.</w:t>
      </w:r>
    </w:p>
    <w:bookmarkEnd w:id="118"/>
    <w:bookmarkStart w:id="121"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partial rather than complete.</w:t>
      </w:r>
    </w:p>
    <w:bookmarkStart w:id="119"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19"/>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0"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0"/>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1"/>
    <w:bookmarkEnd w:id="122"/>
    <w:bookmarkEnd w:id="123"/>
    <w:bookmarkStart w:id="145" w:name="app:cross-method-section"/>
    <w:p>
      <w:pPr>
        <w:pStyle w:val="Heading1"/>
      </w:pPr>
      <w:r>
        <w:t xml:space="preserve">Supplementary Cross-Method Data</w:t>
      </w:r>
    </w:p>
    <w:bookmarkStart w:id="124"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4"/>
    <w:bookmarkStart w:id="127"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5"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0.75</w:t>
            </w:r>
          </w:p>
        </w:tc>
        <w:tc>
          <w:tcPr/>
          <w:p>
            <w:pPr>
              <w:pStyle w:val="Compact"/>
              <w:jc w:val="center"/>
            </w:pPr>
            <w:r>
              <w:t xml:space="preserve">0.68</w:t>
            </w:r>
          </w:p>
        </w:tc>
      </w:tr>
    </w:tbl>
    <w:bookmarkEnd w:id="125"/>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6"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0.81</w:t>
            </w:r>
          </w:p>
        </w:tc>
        <w:tc>
          <w:tcPr/>
          <w:p>
            <w:pPr>
              <w:pStyle w:val="Compact"/>
              <w:jc w:val="center"/>
            </w:pPr>
            <w:r>
              <w:t xml:space="preserve">0.68</w:t>
            </w:r>
          </w:p>
        </w:tc>
      </w:tr>
    </w:tbl>
    <w:bookmarkEnd w:id="126"/>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7"/>
    <w:bookmarkStart w:id="132"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0.54</m:t>
        </m:r>
      </m:oMath>
      <w:r>
        <w:t xml:space="preserve">; MPNet–LR vs. MiniLM–LR</w:t>
      </w:r>
      <w:r>
        <w:t xml:space="preserve"> </w:t>
      </w:r>
      <m:oMath>
        <m:r>
          <m:t>ρ</m:t>
        </m:r>
        <m:r>
          <m:rPr>
            <m:sty m:val="p"/>
          </m:rPr>
          <m:t>≈</m:t>
        </m:r>
        <m:r>
          <m:t>0.63</m:t>
        </m:r>
      </m:oMath>
      <w:r>
        <w:t xml:space="preserve">), and the coverage-gap ranking is highly stable (MPNet–LR vs. SciBERT–LR</w:t>
      </w:r>
      <w:r>
        <w:t xml:space="preserve"> </w:t>
      </w:r>
      <m:oMath>
        <m:r>
          <m:t>ρ</m:t>
        </m:r>
        <m:r>
          <m:rPr>
            <m:sty m:val="p"/>
          </m:rPr>
          <m:t>=</m:t>
        </m:r>
        <m:r>
          <m:t>0.93</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m:t>
        </m:r>
      </m:oMath>
      <w:r>
        <w:t xml:space="preserve">, LR vs. zero-shot</w:t>
      </w:r>
      <w:r>
        <w:t xml:space="preserve"> </w:t>
      </w:r>
      <m:oMath>
        <m:r>
          <m:t>ρ</m:t>
        </m:r>
        <m:r>
          <m:rPr>
            <m:sty m:val="p"/>
          </m:rPr>
          <m:t>=</m:t>
        </m:r>
        <m:r>
          <m:t>0.60</m:t>
        </m:r>
      </m:oMath>
      <w:r>
        <w:t xml:space="preserve">); under the raw gap, SDG 17 is the most classifier-sensitive goal, sitting at rank 17 under LR but rank 8 under zero-shot. The LR baseline is the canonical reference, with MLP and zero-shot as uncertainty bounds.</w:t>
      </w:r>
    </w:p>
    <w:bookmarkStart w:id="128"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0.60</w:t>
            </w:r>
          </w:p>
        </w:tc>
        <w:tc>
          <w:tcPr/>
          <w:p>
            <w:pPr>
              <w:pStyle w:val="Compact"/>
              <w:jc w:val="center"/>
            </w:pPr>
            <w:r>
              <w:t xml:space="preserve">0.63</w:t>
            </w:r>
          </w:p>
        </w:tc>
        <w:tc>
          <w:tcPr/>
          <w:p>
            <w:pPr>
              <w:pStyle w:val="Compact"/>
              <w:jc w:val="center"/>
            </w:pPr>
            <w:r>
              <w:t xml:space="preserve">0.71</w:t>
            </w:r>
          </w:p>
        </w:tc>
        <w:tc>
          <w:tcPr/>
          <w:p>
            <w:pPr>
              <w:pStyle w:val="Compact"/>
              <w:jc w:val="center"/>
            </w:pPr>
            <w:r>
              <w:t xml:space="preserve">0.54</w:t>
            </w:r>
          </w:p>
        </w:tc>
        <w:tc>
          <w:tcPr/>
          <w:p>
            <w:pPr>
              <w:pStyle w:val="Compact"/>
              <w:jc w:val="center"/>
            </w:pPr>
            <w:r>
              <w:t xml:space="preserve">0.36</w:t>
            </w:r>
          </w:p>
        </w:tc>
      </w:tr>
    </w:tbl>
    <w:bookmarkEnd w:id="128"/>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29"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0.86</w:t>
            </w:r>
          </w:p>
        </w:tc>
        <w:tc>
          <w:tcPr/>
          <w:p>
            <w:pPr>
              <w:pStyle w:val="Compact"/>
              <w:jc w:val="center"/>
            </w:pPr>
            <w:r>
              <w:t xml:space="preserve">0.53</w:t>
            </w:r>
          </w:p>
        </w:tc>
        <w:tc>
          <w:tcPr/>
          <w:p>
            <w:pPr>
              <w:pStyle w:val="Compact"/>
              <w:jc w:val="center"/>
            </w:pPr>
            <w:r>
              <w:t xml:space="preserve">0.40</w:t>
            </w:r>
          </w:p>
        </w:tc>
        <w:tc>
          <w:tcPr/>
          <w:p>
            <w:pPr>
              <w:pStyle w:val="Compact"/>
              <w:jc w:val="center"/>
            </w:pPr>
            <w:r>
              <w:t xml:space="preserve">0.37</w:t>
            </w:r>
          </w:p>
        </w:tc>
        <w:tc>
          <w:tcPr/>
          <w:p>
            <w:pPr>
              <w:pStyle w:val="Compact"/>
              <w:jc w:val="center"/>
            </w:pPr>
            <w:r>
              <w:t xml:space="preserve">0.46</w:t>
            </w:r>
          </w:p>
        </w:tc>
        <w:tc>
          <w:tcPr/>
          <w:p>
            <w:pPr>
              <w:pStyle w:val="Compact"/>
              <w:jc w:val="center"/>
            </w:pPr>
            <w:r>
              <w:t xml:space="preserve">0.62</w:t>
            </w:r>
          </w:p>
        </w:tc>
      </w:tr>
    </w:tbl>
    <w:bookmarkEnd w:id="129"/>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0"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0.92</w:t>
            </w:r>
          </w:p>
        </w:tc>
        <w:tc>
          <w:tcPr/>
          <w:p>
            <w:pPr>
              <w:pStyle w:val="Compact"/>
              <w:jc w:val="center"/>
            </w:pPr>
            <w:r>
              <w:t xml:space="preserve">0.75</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0.90</w:t>
            </w:r>
          </w:p>
        </w:tc>
      </w:tr>
    </w:tbl>
    <w:bookmarkEnd w:id="130"/>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1"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0.77</w:t>
            </w:r>
          </w:p>
        </w:tc>
        <w:tc>
          <w:tcPr/>
          <w:p>
            <w:pPr>
              <w:pStyle w:val="Compact"/>
              <w:jc w:val="center"/>
            </w:pPr>
            <w:r>
              <w:t xml:space="preserve">0.54</w:t>
            </w:r>
          </w:p>
        </w:tc>
        <w:tc>
          <w:tcPr/>
          <w:p>
            <w:pPr>
              <w:pStyle w:val="Compact"/>
              <w:jc w:val="center"/>
            </w:pPr>
            <w:r>
              <w:t xml:space="preserve">0.87</w:t>
            </w:r>
          </w:p>
        </w:tc>
        <w:tc>
          <w:tcPr/>
          <w:p>
            <w:pPr>
              <w:pStyle w:val="Compact"/>
              <w:jc w:val="center"/>
            </w:pPr>
            <w:r>
              <w:t xml:space="preserve">0.66</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2"/>
    <w:bookmarkStart w:id="137" w:name="app:reference-tables"/>
    <w:p>
      <w:pPr>
        <w:pStyle w:val="Heading2"/>
      </w:pPr>
      <w:r>
        <w:t xml:space="preserve">Per-Track Reference Value Tables</w:t>
      </w:r>
    </w:p>
    <w:p>
      <w:pPr>
        <w:pStyle w:val="FirstParagraph"/>
      </w:pPr>
      <w:r>
        <w:t xml:space="preserve">The consolidated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3"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3"/>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4"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5"/>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6"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6"/>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7"/>
    <w:bookmarkStart w:id="139"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8"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8"/>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39"/>
    <w:bookmarkStart w:id="141"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m:t>
        </m:r>
        <m:r>
          <m:t>​</m:t>
        </m:r>
      </m:oMath>
      <w:r>
        <w:t xml:space="preserve"> </w:t>
      </w:r>
      <w:r>
        <w:t xml:space="preserve">against</w:t>
      </w:r>
      <w:r>
        <w:t xml:space="preserve"> </w:t>
      </w:r>
      <m:oMath>
        <m:r>
          <m:t>0.34</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established, and the divergence does not threaten the conclusion, which rests on the supervised tracks where the signal is large (</w:t>
      </w:r>
      <m:oMath>
        <m:r>
          <m:rPr>
            <m:sty m:val="p"/>
          </m:rPr>
          <m:t>+</m:t>
        </m:r>
        <m:r>
          <m:t>0.70</m:t>
        </m:r>
      </m:oMath>
      <w:r>
        <w:t xml:space="preserve">) and stable across metrics. The raw-value specification therefore confirms, rather than threatens, the rank-based result.</w:t>
      </w:r>
    </w:p>
    <w:bookmarkStart w:id="140"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0"/>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1"/>
    <w:bookmarkStart w:id="144"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broad international-institutional profile is clearly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flat,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2"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0.42 (1,689)</w:t>
            </w:r>
          </w:p>
        </w:tc>
        <w:tc>
          <w:tcPr/>
          <w:p>
            <w:pPr>
              <w:pStyle w:val="Compact"/>
              <w:jc w:val="center"/>
            </w:pPr>
            <w:r>
              <w:t xml:space="preserve">1.1 (1)</w:t>
            </w:r>
          </w:p>
        </w:tc>
        <w:tc>
          <w:tcPr/>
          <w:p>
            <w:pPr>
              <w:pStyle w:val="Compact"/>
              <w:jc w:val="center"/>
            </w:pPr>
            <w:r>
              <w:t xml:space="preserve">0.44 (357)</w:t>
            </w:r>
          </w:p>
        </w:tc>
        <w:tc>
          <w:tcPr/>
          <w:p>
            <w:pPr>
              <w:pStyle w:val="Compact"/>
              <w:jc w:val="center"/>
            </w:pPr>
            <w:r>
              <w:t xml:space="preserve">5.9 (250)</w:t>
            </w:r>
          </w:p>
        </w:tc>
        <w:tc>
          <w:tcPr/>
          <w:p>
            <w:pPr>
              <w:pStyle w:val="Compact"/>
              <w:jc w:val="center"/>
            </w:pPr>
            <w:r>
              <w:t xml:space="preserve">0.42 (1,191)</w:t>
            </w:r>
          </w:p>
        </w:tc>
        <w:tc>
          <w:tcPr/>
          <w:p>
            <w:pPr>
              <w:pStyle w:val="Compact"/>
              <w:jc w:val="center"/>
            </w:pPr>
            <w:r>
              <w:t xml:space="preserve">1.8 (37)</w:t>
            </w:r>
          </w:p>
        </w:tc>
        <w:tc>
          <w:tcPr/>
          <w:p>
            <w:pPr>
              <w:pStyle w:val="Compact"/>
              <w:jc w:val="center"/>
            </w:pPr>
            <w:r>
              <w:t xml:space="preserve">0.56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0.30 (1,508)</w:t>
            </w:r>
          </w:p>
        </w:tc>
        <w:tc>
          <w:tcPr/>
          <w:p>
            <w:pPr>
              <w:pStyle w:val="Compact"/>
              <w:jc w:val="center"/>
            </w:pPr>
            <w:r>
              <w:t xml:space="preserve">0.0 (0)</w:t>
            </w:r>
          </w:p>
        </w:tc>
        <w:tc>
          <w:tcPr/>
          <w:p>
            <w:pPr>
              <w:pStyle w:val="Compact"/>
              <w:jc w:val="center"/>
            </w:pPr>
            <w:r>
              <w:t xml:space="preserve">0.35 (240)</w:t>
            </w:r>
          </w:p>
        </w:tc>
        <w:tc>
          <w:tcPr/>
          <w:p>
            <w:pPr>
              <w:pStyle w:val="Compact"/>
              <w:jc w:val="center"/>
            </w:pPr>
            <w:r>
              <w:t xml:space="preserve">5.8 (246)</w:t>
            </w:r>
          </w:p>
        </w:tc>
        <w:tc>
          <w:tcPr/>
          <w:p>
            <w:pPr>
              <w:pStyle w:val="Compact"/>
              <w:jc w:val="center"/>
            </w:pPr>
            <w:r>
              <w:t xml:space="preserve">0.29 (1,196)</w:t>
            </w:r>
          </w:p>
        </w:tc>
        <w:tc>
          <w:tcPr/>
          <w:p>
            <w:pPr>
              <w:pStyle w:val="Compact"/>
              <w:jc w:val="center"/>
            </w:pPr>
            <w:r>
              <w:t xml:space="preserve">1.4 (28)</w:t>
            </w:r>
          </w:p>
        </w:tc>
        <w:tc>
          <w:tcPr/>
          <w:p>
            <w:pPr>
              <w:pStyle w:val="Compact"/>
              <w:jc w:val="center"/>
            </w:pPr>
            <w:r>
              <w:t xml:space="preserve">0.45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 (2,408)</w:t>
            </w:r>
          </w:p>
        </w:tc>
        <w:tc>
          <w:tcPr/>
          <w:p>
            <w:pPr>
              <w:pStyle w:val="Compact"/>
              <w:jc w:val="center"/>
            </w:pPr>
            <w:r>
              <w:t xml:space="preserve">6.4 (6)</w:t>
            </w:r>
          </w:p>
        </w:tc>
        <w:tc>
          <w:tcPr/>
          <w:p>
            <w:pPr>
              <w:pStyle w:val="Compact"/>
              <w:jc w:val="center"/>
            </w:pPr>
            <w:r>
              <w:t xml:space="preserve">0.36 (643)</w:t>
            </w:r>
          </w:p>
        </w:tc>
        <w:tc>
          <w:tcPr/>
          <w:p>
            <w:pPr>
              <w:pStyle w:val="Compact"/>
              <w:jc w:val="center"/>
            </w:pPr>
            <w:r>
              <w:t xml:space="preserve">6.7 (284)</w:t>
            </w:r>
          </w:p>
        </w:tc>
        <w:tc>
          <w:tcPr/>
          <w:p>
            <w:pPr>
              <w:pStyle w:val="Compact"/>
              <w:jc w:val="center"/>
            </w:pPr>
            <w:r>
              <w:t xml:space="preserve">0.55 (1,707)</w:t>
            </w:r>
          </w:p>
        </w:tc>
        <w:tc>
          <w:tcPr/>
          <w:p>
            <w:pPr>
              <w:pStyle w:val="Compact"/>
              <w:jc w:val="center"/>
            </w:pPr>
            <w:r>
              <w:t xml:space="preserve">0.4 (8)</w:t>
            </w:r>
          </w:p>
        </w:tc>
        <w:tc>
          <w:tcPr/>
          <w:p>
            <w:pPr>
              <w:pStyle w:val="Compact"/>
              <w:jc w:val="center"/>
            </w:pPr>
            <w:r>
              <w:t xml:space="preserve">0.70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0.27 (2,055)</w:t>
            </w:r>
          </w:p>
        </w:tc>
        <w:tc>
          <w:tcPr/>
          <w:p>
            <w:pPr>
              <w:pStyle w:val="Compact"/>
              <w:jc w:val="center"/>
            </w:pPr>
            <w:r>
              <w:t xml:space="preserve">0.0 (0)</w:t>
            </w:r>
          </w:p>
        </w:tc>
        <w:tc>
          <w:tcPr/>
          <w:p>
            <w:pPr>
              <w:pStyle w:val="Compact"/>
              <w:jc w:val="center"/>
            </w:pPr>
            <w:r>
              <w:t xml:space="preserve">0.21 (274)</w:t>
            </w:r>
          </w:p>
        </w:tc>
        <w:tc>
          <w:tcPr/>
          <w:p>
            <w:pPr>
              <w:pStyle w:val="Compact"/>
              <w:jc w:val="center"/>
            </w:pPr>
            <w:r>
              <w:t xml:space="preserve">7.0 (296)</w:t>
            </w:r>
          </w:p>
        </w:tc>
        <w:tc>
          <w:tcPr/>
          <w:p>
            <w:pPr>
              <w:pStyle w:val="Compact"/>
              <w:jc w:val="center"/>
            </w:pPr>
            <w:r>
              <w:t xml:space="preserve">0.29 (1,718)</w:t>
            </w:r>
          </w:p>
        </w:tc>
        <w:tc>
          <w:tcPr/>
          <w:p>
            <w:pPr>
              <w:pStyle w:val="Compact"/>
              <w:jc w:val="center"/>
            </w:pPr>
            <w:r>
              <w:t xml:space="preserve">0.4 (9)</w:t>
            </w:r>
          </w:p>
        </w:tc>
        <w:tc>
          <w:tcPr/>
          <w:p>
            <w:pPr>
              <w:pStyle w:val="Compact"/>
              <w:jc w:val="center"/>
            </w:pPr>
            <w:r>
              <w:t xml:space="preserve">0.40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0.28 (2,005)</w:t>
            </w:r>
          </w:p>
        </w:tc>
        <w:tc>
          <w:tcPr/>
          <w:p>
            <w:pPr>
              <w:pStyle w:val="Compact"/>
              <w:jc w:val="center"/>
            </w:pPr>
            <w:r>
              <w:t xml:space="preserve">0.0 (0)</w:t>
            </w:r>
          </w:p>
        </w:tc>
        <w:tc>
          <w:tcPr/>
          <w:p>
            <w:pPr>
              <w:pStyle w:val="Compact"/>
              <w:jc w:val="center"/>
            </w:pPr>
            <w:r>
              <w:t xml:space="preserve">0.28 (272)</w:t>
            </w:r>
          </w:p>
        </w:tc>
        <w:tc>
          <w:tcPr/>
          <w:p>
            <w:pPr>
              <w:pStyle w:val="Compact"/>
              <w:jc w:val="center"/>
            </w:pPr>
            <w:r>
              <w:t xml:space="preserve">6.6 (278)</w:t>
            </w:r>
          </w:p>
        </w:tc>
        <w:tc>
          <w:tcPr/>
          <w:p>
            <w:pPr>
              <w:pStyle w:val="Compact"/>
              <w:jc w:val="center"/>
            </w:pPr>
            <w:r>
              <w:t xml:space="preserve">0.28 (1,531)</w:t>
            </w:r>
          </w:p>
        </w:tc>
        <w:tc>
          <w:tcPr/>
          <w:p>
            <w:pPr>
              <w:pStyle w:val="Compact"/>
              <w:jc w:val="center"/>
            </w:pPr>
            <w:r>
              <w:t xml:space="preserve">2.2 (46)</w:t>
            </w:r>
          </w:p>
        </w:tc>
        <w:tc>
          <w:tcPr/>
          <w:p>
            <w:pPr>
              <w:pStyle w:val="Compact"/>
              <w:jc w:val="center"/>
            </w:pPr>
            <w:r>
              <w:t xml:space="preserve">0.41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 (1,206)</w:t>
            </w:r>
          </w:p>
        </w:tc>
        <w:tc>
          <w:tcPr/>
          <w:p>
            <w:pPr>
              <w:pStyle w:val="Compact"/>
              <w:jc w:val="center"/>
            </w:pPr>
            <w:r>
              <w:t xml:space="preserve">0.0 (0)</w:t>
            </w:r>
          </w:p>
        </w:tc>
        <w:tc>
          <w:tcPr/>
          <w:p>
            <w:pPr>
              <w:pStyle w:val="Compact"/>
              <w:jc w:val="center"/>
            </w:pPr>
            <w:r>
              <w:t xml:space="preserve">0.35 (137)</w:t>
            </w:r>
          </w:p>
        </w:tc>
        <w:tc>
          <w:tcPr/>
          <w:p>
            <w:pPr>
              <w:pStyle w:val="Compact"/>
              <w:jc w:val="center"/>
            </w:pPr>
            <w:r>
              <w:t xml:space="preserve">5.3 (226)</w:t>
            </w:r>
          </w:p>
        </w:tc>
        <w:tc>
          <w:tcPr/>
          <w:p>
            <w:pPr>
              <w:pStyle w:val="Compact"/>
              <w:jc w:val="center"/>
            </w:pPr>
            <w:r>
              <w:t xml:space="preserve">0.29 (1,038)</w:t>
            </w:r>
          </w:p>
        </w:tc>
        <w:tc>
          <w:tcPr/>
          <w:p>
            <w:pPr>
              <w:pStyle w:val="Compact"/>
              <w:jc w:val="center"/>
            </w:pPr>
            <w:r>
              <w:t xml:space="preserve">0.6 (12)</w:t>
            </w:r>
          </w:p>
        </w:tc>
        <w:tc>
          <w:tcPr/>
          <w:p>
            <w:pPr>
              <w:pStyle w:val="Compact"/>
              <w:jc w:val="center"/>
            </w:pPr>
            <w:r>
              <w:t xml:space="preserve">0.42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0.43 (1,578)</w:t>
            </w:r>
          </w:p>
        </w:tc>
        <w:tc>
          <w:tcPr/>
          <w:p>
            <w:pPr>
              <w:pStyle w:val="Compact"/>
              <w:jc w:val="center"/>
            </w:pPr>
            <w:r>
              <w:t xml:space="preserve">1.1 (1)</w:t>
            </w:r>
          </w:p>
        </w:tc>
        <w:tc>
          <w:tcPr/>
          <w:p>
            <w:pPr>
              <w:pStyle w:val="Compact"/>
              <w:jc w:val="center"/>
            </w:pPr>
            <w:r>
              <w:t xml:space="preserve">0.51 (358)</w:t>
            </w:r>
          </w:p>
        </w:tc>
        <w:tc>
          <w:tcPr/>
          <w:p>
            <w:pPr>
              <w:pStyle w:val="Compact"/>
              <w:jc w:val="center"/>
            </w:pPr>
            <w:r>
              <w:t xml:space="preserve">6.0 (253)</w:t>
            </w:r>
          </w:p>
        </w:tc>
        <w:tc>
          <w:tcPr/>
          <w:p>
            <w:pPr>
              <w:pStyle w:val="Compact"/>
              <w:jc w:val="center"/>
            </w:pPr>
            <w:r>
              <w:t xml:space="preserve">0.41 (1,147)</w:t>
            </w:r>
          </w:p>
        </w:tc>
        <w:tc>
          <w:tcPr/>
          <w:p>
            <w:pPr>
              <w:pStyle w:val="Compact"/>
              <w:jc w:val="center"/>
            </w:pPr>
            <w:r>
              <w:t xml:space="preserve">0.9 (19)</w:t>
            </w:r>
          </w:p>
        </w:tc>
        <w:tc>
          <w:tcPr/>
          <w:p>
            <w:pPr>
              <w:pStyle w:val="Compact"/>
              <w:jc w:val="center"/>
            </w:pPr>
            <w:r>
              <w:t xml:space="preserve">0.59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0.39 (1,886)</w:t>
            </w:r>
          </w:p>
        </w:tc>
        <w:tc>
          <w:tcPr/>
          <w:p>
            <w:pPr>
              <w:pStyle w:val="Compact"/>
              <w:jc w:val="center"/>
            </w:pPr>
            <w:r>
              <w:t xml:space="preserve">0.0 (0)</w:t>
            </w:r>
          </w:p>
        </w:tc>
        <w:tc>
          <w:tcPr/>
          <w:p>
            <w:pPr>
              <w:pStyle w:val="Compact"/>
              <w:jc w:val="center"/>
            </w:pPr>
            <w:r>
              <w:t xml:space="preserve">0.40 (309)</w:t>
            </w:r>
          </w:p>
        </w:tc>
        <w:tc>
          <w:tcPr/>
          <w:p>
            <w:pPr>
              <w:pStyle w:val="Compact"/>
              <w:jc w:val="center"/>
            </w:pPr>
            <w:r>
              <w:t xml:space="preserve">6.5 (275)</w:t>
            </w:r>
          </w:p>
        </w:tc>
        <w:tc>
          <w:tcPr/>
          <w:p>
            <w:pPr>
              <w:pStyle w:val="Compact"/>
              <w:jc w:val="center"/>
            </w:pPr>
            <w:r>
              <w:t xml:space="preserve">0.40 (1,558)</w:t>
            </w:r>
          </w:p>
        </w:tc>
        <w:tc>
          <w:tcPr/>
          <w:p>
            <w:pPr>
              <w:pStyle w:val="Compact"/>
              <w:jc w:val="center"/>
            </w:pPr>
            <w:r>
              <w:t xml:space="preserve">0.0 (1)</w:t>
            </w:r>
          </w:p>
        </w:tc>
        <w:tc>
          <w:tcPr/>
          <w:p>
            <w:pPr>
              <w:pStyle w:val="Compact"/>
              <w:jc w:val="center"/>
            </w:pPr>
            <w:r>
              <w:t xml:space="preserve">0.54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 (2,986)</w:t>
            </w:r>
          </w:p>
        </w:tc>
        <w:tc>
          <w:tcPr/>
          <w:p>
            <w:pPr>
              <w:pStyle w:val="Compact"/>
              <w:jc w:val="center"/>
            </w:pPr>
            <w:r>
              <w:t xml:space="preserve">50.0 (47)</w:t>
            </w:r>
          </w:p>
        </w:tc>
        <w:tc>
          <w:tcPr/>
          <w:p>
            <w:pPr>
              <w:pStyle w:val="Compact"/>
              <w:jc w:val="center"/>
            </w:pPr>
            <w:r>
              <w:t xml:space="preserve">0.27 (1,838)</w:t>
            </w:r>
          </w:p>
        </w:tc>
        <w:tc>
          <w:tcPr/>
          <w:p>
            <w:pPr>
              <w:pStyle w:val="Compact"/>
              <w:jc w:val="center"/>
            </w:pPr>
            <w:r>
              <w:t xml:space="preserve">5.1 (215)</w:t>
            </w:r>
          </w:p>
        </w:tc>
        <w:tc>
          <w:tcPr/>
          <w:p>
            <w:pPr>
              <w:pStyle w:val="Compact"/>
              <w:jc w:val="center"/>
            </w:pPr>
            <w:r>
              <w:t xml:space="preserve">0.54 (1,116)</w:t>
            </w:r>
          </w:p>
        </w:tc>
        <w:tc>
          <w:tcPr/>
          <w:p>
            <w:pPr>
              <w:pStyle w:val="Compact"/>
              <w:jc w:val="center"/>
            </w:pPr>
            <w:r>
              <w:t xml:space="preserve">0.6 (12)</w:t>
            </w:r>
          </w:p>
        </w:tc>
        <w:tc>
          <w:tcPr/>
          <w:p>
            <w:pPr>
              <w:pStyle w:val="Compact"/>
              <w:jc w:val="center"/>
            </w:pPr>
            <w:r>
              <w:t xml:space="preserve">0.46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 (1,085)</w:t>
            </w:r>
          </w:p>
        </w:tc>
        <w:tc>
          <w:tcPr/>
          <w:p>
            <w:pPr>
              <w:pStyle w:val="Compact"/>
              <w:jc w:val="center"/>
            </w:pPr>
            <w:r>
              <w:t xml:space="preserve">0.0 (0)</w:t>
            </w:r>
          </w:p>
        </w:tc>
        <w:tc>
          <w:tcPr/>
          <w:p>
            <w:pPr>
              <w:pStyle w:val="Compact"/>
              <w:jc w:val="center"/>
            </w:pPr>
            <w:r>
              <w:t xml:space="preserve">0.33 (258)</w:t>
            </w:r>
          </w:p>
        </w:tc>
        <w:tc>
          <w:tcPr/>
          <w:p>
            <w:pPr>
              <w:pStyle w:val="Compact"/>
              <w:jc w:val="center"/>
            </w:pPr>
            <w:r>
              <w:t xml:space="preserve">4.2 (176)</w:t>
            </w:r>
          </w:p>
        </w:tc>
        <w:tc>
          <w:tcPr/>
          <w:p>
            <w:pPr>
              <w:pStyle w:val="Compact"/>
              <w:jc w:val="center"/>
            </w:pPr>
            <w:r>
              <w:t xml:space="preserve">0.28 (774)</w:t>
            </w:r>
          </w:p>
        </w:tc>
        <w:tc>
          <w:tcPr/>
          <w:p>
            <w:pPr>
              <w:pStyle w:val="Compact"/>
              <w:jc w:val="center"/>
            </w:pPr>
            <w:r>
              <w:t xml:space="preserve">0.3 (6)</w:t>
            </w:r>
          </w:p>
        </w:tc>
        <w:tc>
          <w:tcPr/>
          <w:p>
            <w:pPr>
              <w:pStyle w:val="Compact"/>
              <w:jc w:val="center"/>
            </w:pPr>
            <w:r>
              <w:t xml:space="preserve">0.40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0.45 (1,658)</w:t>
            </w:r>
          </w:p>
        </w:tc>
        <w:tc>
          <w:tcPr/>
          <w:p>
            <w:pPr>
              <w:pStyle w:val="Compact"/>
              <w:jc w:val="center"/>
            </w:pPr>
            <w:r>
              <w:t xml:space="preserve">0.0 (0)</w:t>
            </w:r>
          </w:p>
        </w:tc>
        <w:tc>
          <w:tcPr/>
          <w:p>
            <w:pPr>
              <w:pStyle w:val="Compact"/>
              <w:jc w:val="center"/>
            </w:pPr>
            <w:r>
              <w:t xml:space="preserve">0.43 (175)</w:t>
            </w:r>
          </w:p>
        </w:tc>
        <w:tc>
          <w:tcPr/>
          <w:p>
            <w:pPr>
              <w:pStyle w:val="Compact"/>
              <w:jc w:val="center"/>
            </w:pPr>
            <w:r>
              <w:t xml:space="preserve">8.0 (336)</w:t>
            </w:r>
          </w:p>
        </w:tc>
        <w:tc>
          <w:tcPr/>
          <w:p>
            <w:pPr>
              <w:pStyle w:val="Compact"/>
              <w:jc w:val="center"/>
            </w:pPr>
            <w:r>
              <w:t xml:space="preserve">0.46 (1,474)</w:t>
            </w:r>
          </w:p>
        </w:tc>
        <w:tc>
          <w:tcPr/>
          <w:p>
            <w:pPr>
              <w:pStyle w:val="Compact"/>
              <w:jc w:val="center"/>
            </w:pPr>
            <w:r>
              <w:t xml:space="preserve">0.1 (2)</w:t>
            </w:r>
          </w:p>
        </w:tc>
        <w:tc>
          <w:tcPr/>
          <w:p>
            <w:pPr>
              <w:pStyle w:val="Compact"/>
              <w:jc w:val="center"/>
            </w:pPr>
            <w:r>
              <w:t xml:space="preserve">0.57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0.30 (1,132)</w:t>
            </w:r>
          </w:p>
        </w:tc>
        <w:tc>
          <w:tcPr/>
          <w:p>
            <w:pPr>
              <w:pStyle w:val="Compact"/>
              <w:jc w:val="center"/>
            </w:pPr>
            <w:r>
              <w:t xml:space="preserve">0.0 (0)</w:t>
            </w:r>
          </w:p>
        </w:tc>
        <w:tc>
          <w:tcPr/>
          <w:p>
            <w:pPr>
              <w:pStyle w:val="Compact"/>
              <w:jc w:val="center"/>
            </w:pPr>
            <w:r>
              <w:t xml:space="preserve">0.38 (178)</w:t>
            </w:r>
          </w:p>
        </w:tc>
        <w:tc>
          <w:tcPr/>
          <w:p>
            <w:pPr>
              <w:pStyle w:val="Compact"/>
              <w:jc w:val="center"/>
            </w:pPr>
            <w:r>
              <w:t xml:space="preserve">5.3 (225)</w:t>
            </w:r>
          </w:p>
        </w:tc>
        <w:tc>
          <w:tcPr/>
          <w:p>
            <w:pPr>
              <w:pStyle w:val="Compact"/>
              <w:jc w:val="center"/>
            </w:pPr>
            <w:r>
              <w:t xml:space="preserve">0.30 (947)</w:t>
            </w:r>
          </w:p>
        </w:tc>
        <w:tc>
          <w:tcPr/>
          <w:p>
            <w:pPr>
              <w:pStyle w:val="Compact"/>
              <w:jc w:val="center"/>
            </w:pPr>
            <w:r>
              <w:t xml:space="preserve">0.0 (1)</w:t>
            </w:r>
          </w:p>
        </w:tc>
        <w:tc>
          <w:tcPr/>
          <w:p>
            <w:pPr>
              <w:pStyle w:val="Compact"/>
              <w:jc w:val="center"/>
            </w:pPr>
            <w:r>
              <w:t xml:space="preserve">0.49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 (3,084)</w:t>
            </w:r>
          </w:p>
        </w:tc>
        <w:tc>
          <w:tcPr/>
          <w:p>
            <w:pPr>
              <w:pStyle w:val="Compact"/>
              <w:jc w:val="center"/>
            </w:pPr>
            <w:r>
              <w:t xml:space="preserve">7.4 (7)</w:t>
            </w:r>
          </w:p>
        </w:tc>
        <w:tc>
          <w:tcPr/>
          <w:p>
            <w:pPr>
              <w:pStyle w:val="Compact"/>
              <w:jc w:val="center"/>
            </w:pPr>
            <w:r>
              <w:t xml:space="preserve">0.44 (613)</w:t>
            </w:r>
          </w:p>
        </w:tc>
        <w:tc>
          <w:tcPr/>
          <w:p>
            <w:pPr>
              <w:pStyle w:val="Compact"/>
              <w:jc w:val="center"/>
            </w:pPr>
            <w:r>
              <w:t xml:space="preserve">6.0 (252)</w:t>
            </w:r>
          </w:p>
        </w:tc>
        <w:tc>
          <w:tcPr/>
          <w:p>
            <w:pPr>
              <w:pStyle w:val="Compact"/>
              <w:jc w:val="center"/>
            </w:pPr>
            <w:r>
              <w:t xml:space="preserve">0.44 (1,268)</w:t>
            </w:r>
          </w:p>
        </w:tc>
        <w:tc>
          <w:tcPr/>
          <w:p>
            <w:pPr>
              <w:pStyle w:val="Compact"/>
              <w:jc w:val="center"/>
            </w:pPr>
            <w:r>
              <w:t xml:space="preserve">22.4 (459)</w:t>
            </w:r>
          </w:p>
        </w:tc>
        <w:tc>
          <w:tcPr/>
          <w:p>
            <w:pPr>
              <w:pStyle w:val="Compact"/>
              <w:jc w:val="center"/>
            </w:pPr>
            <w:r>
              <w:t xml:space="preserve">0.58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 (1,293)</w:t>
            </w:r>
          </w:p>
        </w:tc>
        <w:tc>
          <w:tcPr/>
          <w:p>
            <w:pPr>
              <w:pStyle w:val="Compact"/>
              <w:jc w:val="center"/>
            </w:pPr>
            <w:r>
              <w:t xml:space="preserve">0.0 (0)</w:t>
            </w:r>
          </w:p>
        </w:tc>
        <w:tc>
          <w:tcPr/>
          <w:p>
            <w:pPr>
              <w:pStyle w:val="Compact"/>
              <w:jc w:val="center"/>
            </w:pPr>
            <w:r>
              <w:t xml:space="preserve">0.37 (216)</w:t>
            </w:r>
          </w:p>
        </w:tc>
        <w:tc>
          <w:tcPr/>
          <w:p>
            <w:pPr>
              <w:pStyle w:val="Compact"/>
              <w:jc w:val="center"/>
            </w:pPr>
            <w:r>
              <w:t xml:space="preserve">4.5 (189)</w:t>
            </w:r>
          </w:p>
        </w:tc>
        <w:tc>
          <w:tcPr/>
          <w:p>
            <w:pPr>
              <w:pStyle w:val="Compact"/>
              <w:jc w:val="center"/>
            </w:pPr>
            <w:r>
              <w:t xml:space="preserve">0.35 (856)</w:t>
            </w:r>
          </w:p>
        </w:tc>
        <w:tc>
          <w:tcPr/>
          <w:p>
            <w:pPr>
              <w:pStyle w:val="Compact"/>
              <w:jc w:val="center"/>
            </w:pPr>
            <w:r>
              <w:t xml:space="preserve">2.5 (52)</w:t>
            </w:r>
          </w:p>
        </w:tc>
        <w:tc>
          <w:tcPr/>
          <w:p>
            <w:pPr>
              <w:pStyle w:val="Compact"/>
              <w:jc w:val="center"/>
            </w:pPr>
            <w:r>
              <w:t xml:space="preserve">0.49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0.24 (1,484)</w:t>
            </w:r>
          </w:p>
        </w:tc>
        <w:tc>
          <w:tcPr/>
          <w:p>
            <w:pPr>
              <w:pStyle w:val="Compact"/>
              <w:jc w:val="center"/>
            </w:pPr>
            <w:r>
              <w:t xml:space="preserve">0.0 (0)</w:t>
            </w:r>
          </w:p>
        </w:tc>
        <w:tc>
          <w:tcPr/>
          <w:p>
            <w:pPr>
              <w:pStyle w:val="Compact"/>
              <w:jc w:val="center"/>
            </w:pPr>
            <w:r>
              <w:t xml:space="preserve">0.29 (299)</w:t>
            </w:r>
          </w:p>
        </w:tc>
        <w:tc>
          <w:tcPr/>
          <w:p>
            <w:pPr>
              <w:pStyle w:val="Compact"/>
              <w:jc w:val="center"/>
            </w:pPr>
            <w:r>
              <w:t xml:space="preserve">5.7 (239)</w:t>
            </w:r>
          </w:p>
        </w:tc>
        <w:tc>
          <w:tcPr/>
          <w:p>
            <w:pPr>
              <w:pStyle w:val="Compact"/>
              <w:jc w:val="center"/>
            </w:pPr>
            <w:r>
              <w:t xml:space="preserve">0.24 (1,108)</w:t>
            </w:r>
          </w:p>
        </w:tc>
        <w:tc>
          <w:tcPr/>
          <w:p>
            <w:pPr>
              <w:pStyle w:val="Compact"/>
              <w:jc w:val="center"/>
            </w:pPr>
            <w:r>
              <w:t xml:space="preserve">1.3 (27)</w:t>
            </w:r>
          </w:p>
        </w:tc>
        <w:tc>
          <w:tcPr/>
          <w:p>
            <w:pPr>
              <w:pStyle w:val="Compact"/>
              <w:jc w:val="center"/>
            </w:pPr>
            <w:r>
              <w:t xml:space="preserve">0.41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0.33 (4,890)</w:t>
            </w:r>
          </w:p>
        </w:tc>
        <w:tc>
          <w:tcPr/>
          <w:p>
            <w:pPr>
              <w:pStyle w:val="Compact"/>
              <w:jc w:val="center"/>
            </w:pPr>
            <w:r>
              <w:t xml:space="preserve">12.8 (12)</w:t>
            </w:r>
          </w:p>
        </w:tc>
        <w:tc>
          <w:tcPr/>
          <w:p>
            <w:pPr>
              <w:pStyle w:val="Compact"/>
              <w:jc w:val="center"/>
            </w:pPr>
            <w:r>
              <w:t xml:space="preserve">0.20 (1,092)</w:t>
            </w:r>
          </w:p>
        </w:tc>
        <w:tc>
          <w:tcPr/>
          <w:p>
            <w:pPr>
              <w:pStyle w:val="Compact"/>
              <w:jc w:val="center"/>
            </w:pPr>
            <w:r>
              <w:t xml:space="preserve">5.9 (250)</w:t>
            </w:r>
          </w:p>
        </w:tc>
        <w:tc>
          <w:tcPr/>
          <w:p>
            <w:pPr>
              <w:pStyle w:val="Compact"/>
              <w:jc w:val="center"/>
            </w:pPr>
            <w:r>
              <w:t xml:space="preserve">0.38 (1,395)</w:t>
            </w:r>
          </w:p>
        </w:tc>
        <w:tc>
          <w:tcPr/>
          <w:p>
            <w:pPr>
              <w:pStyle w:val="Compact"/>
              <w:jc w:val="center"/>
            </w:pPr>
            <w:r>
              <w:t xml:space="preserve">40.9 (838)</w:t>
            </w:r>
          </w:p>
        </w:tc>
        <w:tc>
          <w:tcPr/>
          <w:p>
            <w:pPr>
              <w:pStyle w:val="Compact"/>
              <w:jc w:val="center"/>
            </w:pPr>
            <w:r>
              <w:t xml:space="preserve">0.51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0.18 (3,645)</w:t>
            </w:r>
          </w:p>
        </w:tc>
        <w:tc>
          <w:tcPr/>
          <w:p>
            <w:pPr>
              <w:pStyle w:val="Compact"/>
              <w:jc w:val="center"/>
            </w:pPr>
            <w:r>
              <w:t xml:space="preserve">21.3 (20)</w:t>
            </w:r>
          </w:p>
        </w:tc>
        <w:tc>
          <w:tcPr/>
          <w:p>
            <w:pPr>
              <w:pStyle w:val="Compact"/>
              <w:jc w:val="center"/>
            </w:pPr>
            <w:r>
              <w:t xml:space="preserve">0.18 (859)</w:t>
            </w:r>
          </w:p>
        </w:tc>
        <w:tc>
          <w:tcPr/>
          <w:p>
            <w:pPr>
              <w:pStyle w:val="Compact"/>
              <w:jc w:val="center"/>
            </w:pPr>
            <w:r>
              <w:t xml:space="preserve">5.6 (235)</w:t>
            </w:r>
          </w:p>
        </w:tc>
        <w:tc>
          <w:tcPr/>
          <w:p>
            <w:pPr>
              <w:pStyle w:val="Compact"/>
              <w:jc w:val="center"/>
            </w:pPr>
            <w:r>
              <w:t xml:space="preserve">0.16 (1,322)</w:t>
            </w:r>
          </w:p>
        </w:tc>
        <w:tc>
          <w:tcPr/>
          <w:p>
            <w:pPr>
              <w:pStyle w:val="Compact"/>
              <w:jc w:val="center"/>
            </w:pPr>
            <w:r>
              <w:t xml:space="preserve">24.0 (491)</w:t>
            </w:r>
          </w:p>
        </w:tc>
        <w:tc>
          <w:tcPr/>
          <w:p>
            <w:pPr>
              <w:pStyle w:val="Compact"/>
              <w:jc w:val="center"/>
            </w:pPr>
            <w:r>
              <w:t xml:space="preserve">0.26 (1,464)</w:t>
            </w:r>
          </w:p>
        </w:tc>
      </w:tr>
      <w:tr>
        <w:tc>
          <w:tcPr/>
          <w:p>
            <w:pPr>
              <w:pStyle w:val="Compact"/>
              <w:jc w:val="left"/>
            </w:pPr>
            <m:oMath>
              <m:r>
                <m:t>ρ</m:t>
              </m:r>
            </m:oMath>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0.36</w:t>
            </w:r>
          </w:p>
        </w:tc>
        <w:tc>
          <w:tcPr/>
          <w:p>
            <w:pPr>
              <w:pStyle w:val="Compact"/>
              <w:jc w:val="center"/>
            </w:pPr>
            <w:r>
              <w:t xml:space="preserve">0.73</w:t>
            </w:r>
          </w:p>
        </w:tc>
        <w:tc>
          <w:tcPr/>
          <w:p>
            <w:pPr>
              <w:pStyle w:val="Compact"/>
              <w:jc w:val="center"/>
            </w:pPr>
            <w:r>
              <w:t xml:space="preserve">0.61</w:t>
            </w:r>
          </w:p>
        </w:tc>
        <w:tc>
          <w:tcPr/>
          <w:p>
            <w:pPr>
              <w:pStyle w:val="Compact"/>
              <w:jc w:val="center"/>
            </w:pPr>
            <w:r>
              <w:t xml:space="preserve">0.91</w:t>
            </w:r>
          </w:p>
        </w:tc>
        <w:tc>
          <w:tcPr/>
          <w:p>
            <w:pPr>
              <w:pStyle w:val="Compact"/>
              <w:jc w:val="center"/>
            </w:pPr>
            <w:r>
              <w:t xml:space="preserve">0.45</w:t>
            </w:r>
          </w:p>
        </w:tc>
        <w:tc>
          <w:tcPr/>
          <w:p>
            <w:pPr>
              <w:pStyle w:val="Compact"/>
              <w:jc w:val="center"/>
            </w:pPr>
            <w:r>
              <w:t xml:space="preserve">0.97</w:t>
            </w:r>
          </w:p>
        </w:tc>
      </w:tr>
    </w:tbl>
    <w:bookmarkEnd w:id="142"/>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confirms the null is not an artefact of comparing an AI-specific research intersection with a broader policy union: the curated AI/SDG construction reproduces the full-corpus cancellation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m:t>
        </m:r>
      </m:oMath>
      <w:r>
        <w:t xml:space="preserve">,</w:t>
      </w:r>
      <w:r>
        <w:t xml:space="preserve"> </w:t>
      </w:r>
      <m:oMath>
        <m:r>
          <m:t>p</m:t>
        </m:r>
        <m:r>
          <m:rPr>
            <m:sty m:val="p"/>
          </m:rPr>
          <m:t>=</m:t>
        </m:r>
        <m:r>
          <m:t>0.014</m:t>
        </m:r>
      </m:oMath>
      <w:r>
        <w:t xml:space="preserve">;</w:t>
      </w:r>
      <w:r>
        <w:t xml:space="preserve"> </w:t>
      </w:r>
      <m:oMath>
        <m:r>
          <m:t>ρ</m:t>
        </m:r>
        <m:r>
          <m:rPr>
            <m:sty m:val="p"/>
          </m:rPr>
          <m:t>=</m:t>
        </m:r>
        <m:r>
          <m:t>0.42</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bookmarkStart w:id="143" w:name="tab:policy-source-family-h25"/>
    <w:p>
      <w:pPr>
        <w:pStyle w:val="TableCaption"/>
      </w:pPr>
      <w:r>
        <w:t xml:space="preserve">Per-family interaction test: coverage predictors vs the within-SDG semantic gap.</w:t>
      </w:r>
    </w:p>
    <w:tbl>
      <w:tblPr>
        <w:tblStyle w:val="Table"/>
        <w:tblW w:type="auto" w:w="0"/>
        <w:tblLook w:firstRow="1" w:lastRow="0" w:firstColumn="0" w:lastColumn="0" w:noHBand="0" w:noVBand="0" w:val="0020"/>
        <w:jc w:val="start"/>
        <w:tblCaption w:val="Per-family interaction test: coverage predictors vs the within-SDG semantic gap."/>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0.45 (0.071)</w:t>
            </w:r>
          </w:p>
        </w:tc>
        <w:tc>
          <w:tcPr/>
          <w:p>
            <w:pPr>
              <w:pStyle w:val="Compact"/>
              <w:jc w:val="center"/>
            </w:pPr>
            <w:r>
              <w:t xml:space="preserve">-0.01 (0.959)</w:t>
            </w:r>
          </w:p>
        </w:tc>
        <w:tc>
          <w:tcPr/>
          <w:p>
            <w:pPr>
              <w:pStyle w:val="Compact"/>
              <w:jc w:val="center"/>
            </w:pPr>
            <w:r>
              <w:t xml:space="preserve">0.61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-0.06 (0.833)</w:t>
            </w:r>
          </w:p>
        </w:tc>
        <w:tc>
          <w:tcPr/>
          <w:p>
            <w:pPr>
              <w:pStyle w:val="Compact"/>
              <w:jc w:val="center"/>
            </w:pPr>
            <w:r>
              <w:t xml:space="preserve">-0.22 (0.386)</w:t>
            </w:r>
          </w:p>
        </w:tc>
        <w:tc>
          <w:tcPr/>
          <w:p>
            <w:pPr>
              <w:pStyle w:val="Compact"/>
              <w:jc w:val="center"/>
            </w:pPr>
            <w:r>
              <w:t xml:space="preserve">0.05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0.60 (0.014)</w:t>
            </w:r>
          </w:p>
        </w:tc>
        <w:tc>
          <w:tcPr/>
          <w:p>
            <w:pPr>
              <w:pStyle w:val="Compact"/>
              <w:jc w:val="center"/>
            </w:pPr>
            <w:r>
              <w:t xml:space="preserve">0.04 (0.873)</w:t>
            </w:r>
          </w:p>
        </w:tc>
        <w:tc>
          <w:tcPr/>
          <w:p>
            <w:pPr>
              <w:pStyle w:val="Compact"/>
              <w:jc w:val="center"/>
            </w:pPr>
            <w:r>
              <w:t xml:space="preserve">0.70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 (0.115)</w:t>
            </w:r>
          </w:p>
        </w:tc>
        <w:tc>
          <w:tcPr/>
          <w:p>
            <w:pPr>
              <w:pStyle w:val="Compact"/>
              <w:jc w:val="center"/>
            </w:pPr>
            <w:r>
              <w:t xml:space="preserve">0.35 (0.195)</w:t>
            </w:r>
          </w:p>
        </w:tc>
        <w:tc>
          <w:tcPr/>
          <w:p>
            <w:pPr>
              <w:pStyle w:val="Compact"/>
              <w:jc w:val="center"/>
            </w:pPr>
            <w:r>
              <w:t xml:space="preserve">0.61 (0.024)</w:t>
            </w:r>
          </w:p>
        </w:tc>
      </w:tr>
    </w:tbl>
    <w:bookmarkEnd w:id="143"/>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curated AI/SDG family is the symmetric AI/SDG-vs-AI/SDG control matching the research corpus’s AI</w:t>
      </w:r>
      <w:r>
        <w:t xml:space="preserve"> </w:t>
      </w:r>
      <m:oMath>
        <m:r>
          <m:rPr>
            <m:sty m:val="p"/>
          </m:rPr>
          <m:t>∩</m:t>
        </m:r>
      </m:oMath>
      <w:r>
        <w:t xml:space="preserve"> </w:t>
      </w:r>
      <w:r>
        <w:t xml:space="preserve">SDG scope.</w:t>
      </w:r>
    </w:p>
    <w:bookmarkEnd w:id="144"/>
    <w:bookmarkEnd w:id="145"/>
    <w:bookmarkStart w:id="147"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cancellation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6"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+0.2</w:t>
            </w:r>
            <m:oMath>
              <m:sSup>
                <m:e>
                  <m:r>
                    <m:t>​</m:t>
                  </m:r>
                </m:e>
                <m:sup>
                  <m:r>
                    <m:rPr>
                      <m:sty m:val="p"/>
                    </m:rPr>
                    <m:t>†</m:t>
                  </m:r>
                </m:sup>
              </m:sSup>
            </m:oMath>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w:t>
            </w:r>
            <m:oMath>
              <m:sSup>
                <m:e>
                  <m:r>
                    <m:t>​</m:t>
                  </m:r>
                </m:e>
                <m:sup>
                  <m:r>
                    <m:rPr>
                      <m:sty m:val="p"/>
                    </m:rPr>
                    <m:t>†</m:t>
                  </m:r>
                </m:sup>
              </m:sSup>
            </m:oMath>
          </w:p>
        </w:tc>
        <w:tc>
          <w:tcPr/>
          <w:p>
            <w:pPr>
              <w:pStyle w:val="Compact"/>
              <w:jc w:val="center"/>
            </w:pPr>
            <w:r>
              <w:t xml:space="preserve">-0.0</w:t>
            </w:r>
          </w:p>
        </w:tc>
        <w:tc>
          <w:tcPr/>
          <w:p>
            <w:pPr>
              <w:pStyle w:val="Compact"/>
              <w:jc w:val="center"/>
            </w:pPr>
            <w:r>
              <w:t xml:space="preserve">+0.2</w:t>
            </w:r>
            <m:oMath>
              <m:sSup>
                <m:e>
                  <m:r>
                    <m:t>​</m:t>
                  </m:r>
                </m:e>
                <m:sup>
                  <m:r>
                    <m:rPr>
                      <m:sty m:val="p"/>
                    </m:rPr>
                    <m:t>*</m:t>
                  </m:r>
                </m:sup>
              </m:sSup>
            </m:oMath>
          </w:p>
        </w:tc>
        <w:tc>
          <w:tcPr/>
          <w:p>
            <w:pPr>
              <w:pStyle w:val="Compact"/>
              <w:jc w:val="center"/>
            </w:pPr>
            <w:r>
              <w:t xml:space="preserve">+0.2</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-0.0</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+0.2</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+0.2</w:t>
            </w:r>
            <m:oMath>
              <m:sSup>
                <m:e>
                  <m:r>
                    <m:t>​</m:t>
                  </m:r>
                </m:e>
                <m:sup>
                  <m:r>
                    <m:rPr>
                      <m:sty m:val="p"/>
                    </m:rPr>
                    <m:t>†</m:t>
                  </m:r>
                </m:sup>
              </m:sSup>
            </m:oMath>
          </w:p>
        </w:tc>
      </w:tr>
      <w:tr>
        <w:tc>
          <w:tcPr/>
          <w:p>
            <w:pPr>
              <w:pStyle w:val="Compact"/>
            </w:pPr>
          </w:p>
        </w:tc>
        <w:tc>
          <w:tcPr/>
          <w:p>
            <w:pPr>
              <w:pStyle w:val="Compact"/>
              <w:jc w:val="center"/>
            </w:pPr>
            <w:r>
              <w:t xml:space="preserve">(0.1)</w:t>
            </w:r>
          </w:p>
        </w:tc>
        <w:tc>
          <w:tcPr/>
          <w:p>
            <w:pPr>
              <w:pStyle w:val="Compact"/>
            </w:pPr>
          </w:p>
        </w:tc>
        <w:tc>
          <w:tcPr/>
          <w:p>
            <w:pPr>
              <w:pStyle w:val="Compact"/>
              <w:jc w:val="center"/>
            </w:pPr>
            <w:r>
              <w:t xml:space="preserve">(0.2)</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Policy coverage</w:t>
            </w:r>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-0.3</w:t>
            </w:r>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r>
      <w:tr>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MiniLM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+0.1</w:t>
            </w:r>
          </w:p>
        </w:tc>
      </w:tr>
      <w:tr>
        <w:tc>
          <w:tcPr/>
          <w:p>
            <w:pPr>
              <w:pStyle w:val="Compact"/>
            </w:pP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(0.9)</w:t>
            </w:r>
          </w:p>
        </w:tc>
        <w:tc>
          <w:tcPr/>
          <w:p>
            <w:pPr>
              <w:pStyle w:val="Compact"/>
              <w:jc w:val="center"/>
            </w:pPr>
            <w:r>
              <w:t xml:space="preserve">(0.8)</w:t>
            </w:r>
          </w:p>
        </w:tc>
        <w:tc>
          <w:tcPr/>
          <w:p>
            <w:pPr>
              <w:pStyle w:val="Compact"/>
            </w:pP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(0.8)</w:t>
            </w:r>
          </w:p>
        </w:tc>
      </w:tr>
      <w:tr>
        <w:tc>
          <w:tcPr/>
          <w:p>
            <w:pPr>
              <w:pStyle w:val="Compact"/>
              <w:jc w:val="left"/>
            </w:pPr>
            <w:r>
              <w:t xml:space="preserve">SciBERT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+2.6</w:t>
            </w:r>
            <m:oMath>
              <m:sSup>
                <m:e>
                  <m:r>
                    <m:t>​</m:t>
                  </m:r>
                </m:e>
                <m:sup>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+2.8</w:t>
            </w:r>
            <m:oMath>
              <m:sSup>
                <m:e>
                  <m:r>
                    <m:t>​</m:t>
                  </m:r>
                </m:e>
                <m:sup>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-3.4</w:t>
            </w:r>
          </w:p>
        </w:tc>
        <w:tc>
          <w:tcPr/>
          <w:p>
            <w:pPr>
              <w:pStyle w:val="Compact"/>
              <w:jc w:val="center"/>
            </w:pPr>
            <w:r>
              <w:t xml:space="preserve">-0.1</w:t>
            </w:r>
          </w:p>
        </w:tc>
      </w:tr>
      <w:tr>
        <w:tc>
          <w:tcPr/>
          <w:p>
            <w:pPr>
              <w:pStyle w:val="Compact"/>
            </w:pP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(1.1)</w:t>
            </w:r>
          </w:p>
        </w:tc>
        <w:tc>
          <w:tcPr/>
          <w:p>
            <w:pPr>
              <w:pStyle w:val="Compact"/>
            </w:pP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(2.1)</w:t>
            </w:r>
          </w:p>
        </w:tc>
        <w:tc>
          <w:tcPr/>
          <w:p>
            <w:pPr>
              <w:pStyle w:val="Compact"/>
              <w:jc w:val="center"/>
            </w:pPr>
            <w:r>
              <w:t xml:space="preserve">(1.1)</w:t>
            </w:r>
          </w:p>
        </w:tc>
      </w:tr>
      <w:tr>
        <w:tc>
          <w:tcPr/>
          <w:p>
            <w:pPr>
              <w:pStyle w:val="Compact"/>
              <w:jc w:val="left"/>
            </w:pPr>
            <w:r>
              <w:t xml:space="preserve">Concept (vs. keyword)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-0.6</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-1.0</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(0.6)</w:t>
            </w:r>
          </w:p>
        </w:tc>
        <w:tc>
          <w:tcPr/>
          <w:p>
            <w:pPr>
              <w:pStyle w:val="Compact"/>
              <w:jc w:val="center"/>
            </w:pPr>
            <w:r>
              <w:t xml:space="preserve">(0.7)</w:t>
            </w:r>
          </w:p>
        </w:tc>
        <w:tc>
          <w:tcPr/>
          <w:p>
            <w:pPr>
              <w:pStyle w:val="Compact"/>
              <w:jc w:val="center"/>
            </w:pPr>
            <w:r>
              <w:t xml:space="preserve">(0.7)</w:t>
            </w:r>
          </w:p>
        </w:tc>
        <w:tc>
          <w:tcPr/>
          <w:p>
            <w:pPr>
              <w:pStyle w:val="Compact"/>
            </w:pP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(1.2)</w:t>
            </w:r>
          </w:p>
        </w:tc>
        <w:tc>
          <w:tcPr/>
          <w:p>
            <w:pPr>
              <w:pStyle w:val="Compact"/>
              <w:jc w:val="center"/>
            </w:pPr>
            <w:r>
              <w:t xml:space="preserve">(0.7)</w:t>
            </w:r>
          </w:p>
        </w:tc>
      </w:tr>
      <w:tr>
        <w:tc>
          <w:tcPr/>
          <w:p>
            <w:pPr>
              <w:pStyle w:val="Compact"/>
              <w:jc w:val="left"/>
            </w:pPr>
            <w:r>
              <w:t xml:space="preserve">Cap 20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-0.1</w:t>
            </w:r>
          </w:p>
        </w:tc>
        <w:tc>
          <w:tcPr/>
          <w:p>
            <w:pPr>
              <w:pStyle w:val="Compact"/>
              <w:jc w:val="center"/>
            </w:pPr>
            <w:r>
              <w:t xml:space="preserve">-0.0</w:t>
            </w:r>
          </w:p>
        </w:tc>
      </w:tr>
      <w:tr>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(0.3)</w:t>
            </w:r>
          </w:p>
        </w:tc>
        <w:tc>
          <w:tcPr/>
          <w:p>
            <w:pPr>
              <w:pStyle w:val="Compact"/>
              <w:jc w:val="center"/>
            </w:pPr>
            <w:r>
              <w:t xml:space="preserve">(0.1)</w:t>
            </w:r>
          </w:p>
        </w:tc>
      </w:tr>
      <w:tr>
        <w:tc>
          <w:tcPr/>
          <w:p>
            <w:pPr>
              <w:pStyle w:val="Compact"/>
              <w:jc w:val="left"/>
            </w:pPr>
            <w:r>
              <w:t xml:space="preserve">No cap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-0.2</w:t>
            </w:r>
          </w:p>
        </w:tc>
        <w:tc>
          <w:tcPr/>
          <w:p>
            <w:pPr>
              <w:pStyle w:val="Compact"/>
              <w:jc w:val="center"/>
            </w:pPr>
            <w:r>
              <w:t xml:space="preserve">-0.0</w:t>
            </w:r>
          </w:p>
        </w:tc>
      </w:tr>
      <w:tr>
        <w:tc>
          <w:tcPr/>
          <w:p>
            <w:pPr>
              <w:pStyle w:val="Compact"/>
            </w:pP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(0.2)</w:t>
            </w:r>
          </w:p>
        </w:tc>
      </w:tr>
      <w:tr>
        <w:tc>
          <w:tcPr/>
          <w:p>
            <w:pPr>
              <w:pStyle w:val="Compact"/>
              <w:jc w:val="left"/>
            </w:pPr>
            <w:r>
              <w:t xml:space="preserve">MLP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+0.6</w:t>
            </w:r>
          </w:p>
        </w:tc>
        <w:tc>
          <w:tcPr/>
          <w:p>
            <w:pPr>
              <w:pStyle w:val="Compact"/>
              <w:jc w:val="center"/>
            </w:pPr>
            <w:r>
              <w:t xml:space="preserve">+0.5</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(0.3)</w:t>
            </w:r>
          </w:p>
        </w:tc>
        <w:tc>
          <w:tcPr/>
          <w:p>
            <w:pPr>
              <w:pStyle w:val="Compact"/>
              <w:jc w:val="center"/>
            </w:pPr>
            <w:r>
              <w:t xml:space="preserve">(0.3)</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(0.3)</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(0.6)</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(0.4)</w:t>
            </w:r>
          </w:p>
        </w:tc>
      </w:tr>
      <w:tr>
        <w:tc>
          <w:tcPr/>
          <w:p>
            <w:pPr>
              <w:pStyle w:val="Compact"/>
              <w:jc w:val="left"/>
            </w:pPr>
            <w:r>
              <w:t xml:space="preserve">ZS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(0.8)</w:t>
            </w:r>
          </w:p>
        </w:tc>
        <w:tc>
          <w:tcPr/>
          <w:p>
            <w:pPr>
              <w:pStyle w:val="Compact"/>
            </w:pPr>
          </w:p>
        </w:tc>
        <w:tc>
          <w:tcPr/>
          <w:p>
            <w:pPr>
              <w:pStyle w:val="Compact"/>
              <w:jc w:val="center"/>
            </w:pPr>
            <w:r>
              <w:t xml:space="preserve">(0.7)</w:t>
            </w:r>
          </w:p>
        </w:tc>
        <w:tc>
          <w:tcPr/>
          <w:p>
            <w:pPr>
              <w:pStyle w:val="Compact"/>
            </w:pPr>
          </w:p>
        </w:tc>
        <w:tc>
          <w:tcPr/>
          <w:p>
            <w:pPr>
              <w:pStyle w:val="Compact"/>
              <w:jc w:val="center"/>
            </w:pPr>
            <w:r>
              <w:t xml:space="preserve">(0.7)</w:t>
            </w:r>
          </w:p>
        </w:tc>
        <w:tc>
          <w:tcPr/>
          <w:p>
            <w:pPr>
              <w:pStyle w:val="Compact"/>
              <w:jc w:val="center"/>
            </w:pPr>
            <w:r>
              <w:t xml:space="preserve">(1.0)</w:t>
            </w:r>
          </w:p>
        </w:tc>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(1.3)</w:t>
            </w:r>
          </w:p>
        </w:tc>
        <w:tc>
          <w:tcPr/>
          <w:p>
            <w:pPr>
              <w:pStyle w:val="Compact"/>
              <w:jc w:val="center"/>
            </w:pPr>
            <w:r>
              <w:t xml:space="preserve">(0.7)</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w:t>
            </w:r>
          </w:p>
        </w:tc>
        <w:tc>
          <w:tcPr/>
          <w:p>
            <w:pPr>
              <w:pStyle w:val="Compact"/>
              <w:jc w:val="center"/>
            </w:pPr>
            <w:r>
              <w:t xml:space="preserve">(0.0)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6"/>
    <w:bookmarkEnd w:id="147"/>
    <w:bookmarkStart w:id="270"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2024–25</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8"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8"/>
    <w:bookmarkStart w:id="269" w:name="refs"/>
    <w:bookmarkStart w:id="150"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49">
        <w:r>
          <w:rPr>
            <w:rStyle w:val="Hyperlink"/>
          </w:rPr>
          <w:t xml:space="preserve">10.3982/ECTA12675</w:t>
        </w:r>
      </w:hyperlink>
      <w:r>
        <w:t xml:space="preserve">.</w:t>
      </w:r>
    </w:p>
    <w:bookmarkEnd w:id="150"/>
    <w:bookmarkStart w:id="152"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1">
        <w:r>
          <w:rPr>
            <w:rStyle w:val="Hyperlink"/>
          </w:rPr>
          <w:t xml:space="preserve">https://arxiv.org/abs/1610.01644</w:t>
        </w:r>
      </w:hyperlink>
      <w:r>
        <w:t xml:space="preserve">.</w:t>
      </w:r>
    </w:p>
    <w:bookmarkEnd w:id="152"/>
    <w:bookmarkStart w:id="154"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3">
        <w:r>
          <w:rPr>
            <w:rStyle w:val="Hyperlink"/>
          </w:rPr>
          <w:t xml:space="preserve">10.1162/qss_a_00071</w:t>
        </w:r>
      </w:hyperlink>
      <w:r>
        <w:t xml:space="preserve">.</w:t>
      </w:r>
    </w:p>
    <w:bookmarkEnd w:id="154"/>
    <w:bookmarkStart w:id="156"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5">
        <w:r>
          <w:rPr>
            <w:rStyle w:val="Hyperlink"/>
          </w:rPr>
          <w:t xml:space="preserve">10.31341/jios.44.2.2</w:t>
        </w:r>
      </w:hyperlink>
      <w:r>
        <w:t xml:space="preserve">.</w:t>
      </w:r>
    </w:p>
    <w:bookmarkEnd w:id="156"/>
    <w:bookmarkStart w:id="158"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7">
        <w:r>
          <w:rPr>
            <w:rStyle w:val="Hyperlink"/>
          </w:rPr>
          <w:t xml:space="preserve">10.3389/frsus.2021.620743</w:t>
        </w:r>
      </w:hyperlink>
      <w:r>
        <w:t xml:space="preserve">.</w:t>
      </w:r>
    </w:p>
    <w:bookmarkEnd w:id="158"/>
    <w:bookmarkStart w:id="160"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59">
        <w:r>
          <w:rPr>
            <w:rStyle w:val="Hyperlink"/>
          </w:rPr>
          <w:t xml:space="preserve">10.48550/arXiv.1903.10676</w:t>
        </w:r>
      </w:hyperlink>
      <w:r>
        <w:t xml:space="preserve">.</w:t>
      </w:r>
    </w:p>
    <w:bookmarkEnd w:id="160"/>
    <w:bookmarkStart w:id="162"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1">
        <w:r>
          <w:rPr>
            <w:rStyle w:val="Hyperlink"/>
          </w:rPr>
          <w:t xml:space="preserve">10.2307/271073</w:t>
        </w:r>
      </w:hyperlink>
      <w:r>
        <w:t xml:space="preserve">.</w:t>
      </w:r>
    </w:p>
    <w:bookmarkEnd w:id="162"/>
    <w:bookmarkStart w:id="164"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3">
        <w:r>
          <w:rPr>
            <w:rStyle w:val="Hyperlink"/>
          </w:rPr>
          <w:t xml:space="preserve">10.1080/08039410.2016.1252424</w:t>
        </w:r>
      </w:hyperlink>
      <w:r>
        <w:t xml:space="preserve">.</w:t>
      </w:r>
    </w:p>
    <w:bookmarkEnd w:id="164"/>
    <w:bookmarkStart w:id="165"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5"/>
    <w:bookmarkStart w:id="166"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6"/>
    <w:bookmarkStart w:id="168"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7">
        <w:r>
          <w:rPr>
            <w:rStyle w:val="Hyperlink"/>
          </w:rPr>
          <w:t xml:space="preserve">10.1007/s11192-016-2115-y</w:t>
        </w:r>
      </w:hyperlink>
      <w:r>
        <w:t xml:space="preserve">.</w:t>
      </w:r>
    </w:p>
    <w:bookmarkEnd w:id="168"/>
    <w:bookmarkStart w:id="170"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69">
        <w:r>
          <w:rPr>
            <w:rStyle w:val="Hyperlink"/>
          </w:rPr>
          <w:t xml:space="preserve">10.18653/v1/N19-1181</w:t>
        </w:r>
      </w:hyperlink>
      <w:r>
        <w:t xml:space="preserve">.</w:t>
      </w:r>
    </w:p>
    <w:bookmarkEnd w:id="170"/>
    <w:bookmarkStart w:id="172"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1">
        <w:r>
          <w:rPr>
            <w:rStyle w:val="Hyperlink"/>
          </w:rPr>
          <w:t xml:space="preserve">10.1177/000276427902200308</w:t>
        </w:r>
      </w:hyperlink>
      <w:r>
        <w:t xml:space="preserve">.</w:t>
      </w:r>
    </w:p>
    <w:bookmarkEnd w:id="172"/>
    <w:bookmarkStart w:id="174"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3">
        <w:r>
          <w:rPr>
            <w:rStyle w:val="Hyperlink"/>
          </w:rPr>
          <w:t xml:space="preserve">10.1073/pnas.1231332100</w:t>
        </w:r>
      </w:hyperlink>
      <w:r>
        <w:t xml:space="preserve">.</w:t>
      </w:r>
    </w:p>
    <w:bookmarkEnd w:id="174"/>
    <w:bookmarkStart w:id="176"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5">
        <w:r>
          <w:rPr>
            <w:rStyle w:val="Hyperlink"/>
          </w:rPr>
          <w:t xml:space="preserve">https://arxiv.org/abs/1805.01070</w:t>
        </w:r>
      </w:hyperlink>
      <w:r>
        <w:t xml:space="preserve">.</w:t>
      </w:r>
    </w:p>
    <w:bookmarkEnd w:id="176"/>
    <w:bookmarkStart w:id="178"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7">
        <w:r>
          <w:rPr>
            <w:rStyle w:val="Hyperlink"/>
          </w:rPr>
          <w:t xml:space="preserve">10.1109/TIT.1967.1053964</w:t>
        </w:r>
      </w:hyperlink>
      <w:r>
        <w:t xml:space="preserve">.</w:t>
      </w:r>
    </w:p>
    <w:bookmarkEnd w:id="178"/>
    <w:bookmarkStart w:id="180"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79">
        <w:r>
          <w:rPr>
            <w:rStyle w:val="Hyperlink"/>
          </w:rPr>
          <w:t xml:space="preserve">10.1038/s42256-021-00296-0</w:t>
        </w:r>
      </w:hyperlink>
      <w:r>
        <w:t xml:space="preserve">.</w:t>
      </w:r>
    </w:p>
    <w:bookmarkEnd w:id="180"/>
    <w:bookmarkStart w:id="182" w:name="ref-Cross2013"/>
    <w:p>
      <w:pPr>
        <w:pStyle w:val="Bibliography"/>
      </w:pPr>
      <w:r>
        <w:t xml:space="preserve">Cross, M.K.D. (2013) Rethinking epistemic communities twenty years later.</w:t>
      </w:r>
      <w:r>
        <w:t xml:space="preserve"> </w:t>
      </w:r>
      <w:r>
        <w:rPr>
          <w:iCs/>
          <w:i/>
        </w:rPr>
        <w:t xml:space="preserve">Review of International Studies</w:t>
      </w:r>
      <w:r>
        <w:t xml:space="preserve">, 39 (1): 137–160. doi:</w:t>
      </w:r>
      <w:hyperlink r:id="rId181">
        <w:r>
          <w:rPr>
            <w:rStyle w:val="Hyperlink"/>
          </w:rPr>
          <w:t xml:space="preserve">10.1017/S0260210512000034</w:t>
        </w:r>
      </w:hyperlink>
      <w:r>
        <w:t xml:space="preserve">.</w:t>
      </w:r>
    </w:p>
    <w:bookmarkEnd w:id="182"/>
    <w:bookmarkStart w:id="184"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3">
        <w:r>
          <w:rPr>
            <w:rStyle w:val="Hyperlink"/>
          </w:rPr>
          <w:t xml:space="preserve">https://eur-lex.europa.eu/legal-content/EN/TXT/?uri=CELEX:32024R1689</w:t>
        </w:r>
      </w:hyperlink>
      <w:r>
        <w:t xml:space="preserve">.</w:t>
      </w:r>
    </w:p>
    <w:bookmarkEnd w:id="184"/>
    <w:bookmarkStart w:id="186"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5">
        <w:r>
          <w:rPr>
            <w:rStyle w:val="Hyperlink"/>
          </w:rPr>
          <w:t xml:space="preserve">10.1080/13552074.2016.1145895</w:t>
        </w:r>
      </w:hyperlink>
      <w:r>
        <w:t xml:space="preserve">.</w:t>
      </w:r>
    </w:p>
    <w:bookmarkEnd w:id="186"/>
    <w:bookmarkStart w:id="187"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7"/>
    <w:bookmarkStart w:id="189"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8">
        <w:r>
          <w:rPr>
            <w:rStyle w:val="Hyperlink"/>
          </w:rPr>
          <w:t xml:space="preserve">10.1109/ACCESS.2025.3595894</w:t>
        </w:r>
      </w:hyperlink>
      <w:r>
        <w:t xml:space="preserve">.</w:t>
      </w:r>
    </w:p>
    <w:bookmarkEnd w:id="189"/>
    <w:bookmarkStart w:id="191"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90">
        <w:r>
          <w:rPr>
            <w:rStyle w:val="Hyperlink"/>
          </w:rPr>
          <w:t xml:space="preserve">10.1038/s41893-025-01598-6</w:t>
        </w:r>
      </w:hyperlink>
      <w:r>
        <w:t xml:space="preserve">.</w:t>
      </w:r>
    </w:p>
    <w:bookmarkEnd w:id="191"/>
    <w:bookmarkStart w:id="193"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2">
        <w:r>
          <w:rPr>
            <w:rStyle w:val="Hyperlink"/>
          </w:rPr>
          <w:t xml:space="preserve">10.3389/frai.2024.1472411</w:t>
        </w:r>
      </w:hyperlink>
      <w:r>
        <w:t xml:space="preserve">.</w:t>
      </w:r>
    </w:p>
    <w:bookmarkEnd w:id="193"/>
    <w:bookmarkStart w:id="195"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4">
        <w:r>
          <w:rPr>
            <w:rStyle w:val="Hyperlink"/>
          </w:rPr>
          <w:t xml:space="preserve">10.24948/2017.01</w:t>
        </w:r>
      </w:hyperlink>
      <w:r>
        <w:t xml:space="preserve">.</w:t>
      </w:r>
    </w:p>
    <w:bookmarkEnd w:id="195"/>
    <w:bookmarkStart w:id="197"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6">
        <w:r>
          <w:rPr>
            <w:rStyle w:val="Hyperlink"/>
          </w:rPr>
          <w:t xml:space="preserve">10.1177/016224390102600401</w:t>
        </w:r>
      </w:hyperlink>
      <w:r>
        <w:t xml:space="preserve">.</w:t>
      </w:r>
    </w:p>
    <w:bookmarkEnd w:id="197"/>
    <w:bookmarkStart w:id="199"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8">
        <w:r>
          <w:rPr>
            <w:rStyle w:val="Hyperlink"/>
          </w:rPr>
          <w:t xml:space="preserve">10.1017/S0020818300001442</w:t>
        </w:r>
      </w:hyperlink>
      <w:r>
        <w:t xml:space="preserve">.</w:t>
      </w:r>
    </w:p>
    <w:bookmarkEnd w:id="199"/>
    <w:bookmarkStart w:id="201" w:name="ref-Harris1954"/>
    <w:p>
      <w:pPr>
        <w:pStyle w:val="Bibliography"/>
      </w:pPr>
      <w:r>
        <w:t xml:space="preserve">Harris, Z.S. (1954) Distributional structure.</w:t>
      </w:r>
      <w:r>
        <w:t xml:space="preserve"> </w:t>
      </w:r>
      <w:r>
        <w:rPr>
          <w:iCs/>
          <w:i/>
        </w:rPr>
        <w:t xml:space="preserve">WORD</w:t>
      </w:r>
      <w:r>
        <w:t xml:space="preserve">, 10 (2–3): 146–162. doi:</w:t>
      </w:r>
      <w:hyperlink r:id="rId200">
        <w:r>
          <w:rPr>
            <w:rStyle w:val="Hyperlink"/>
          </w:rPr>
          <w:t xml:space="preserve">10.1080/00437956.1954.11659520</w:t>
        </w:r>
      </w:hyperlink>
      <w:r>
        <w:t xml:space="preserve">.</w:t>
      </w:r>
    </w:p>
    <w:bookmarkEnd w:id="201"/>
    <w:bookmarkStart w:id="203"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2">
        <w:r>
          <w:rPr>
            <w:rStyle w:val="Hyperlink"/>
          </w:rPr>
          <w:t xml:space="preserve">10.1007/978-0-387-84858-7</w:t>
        </w:r>
      </w:hyperlink>
      <w:r>
        <w:t xml:space="preserve">.</w:t>
      </w:r>
    </w:p>
    <w:bookmarkEnd w:id="203"/>
    <w:bookmarkStart w:id="205"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4">
        <w:r>
          <w:rPr>
            <w:rStyle w:val="Hyperlink"/>
          </w:rPr>
          <w:t xml:space="preserve">10.1007/s43681-023-00259-8</w:t>
        </w:r>
      </w:hyperlink>
      <w:r>
        <w:t xml:space="preserve">.</w:t>
      </w:r>
    </w:p>
    <w:bookmarkEnd w:id="205"/>
    <w:bookmarkStart w:id="206"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6"/>
    <w:bookmarkStart w:id="208"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7">
        <w:r>
          <w:rPr>
            <w:rStyle w:val="Hyperlink"/>
          </w:rPr>
          <w:t xml:space="preserve">10.1002/csr.2202</w:t>
        </w:r>
      </w:hyperlink>
      <w:r>
        <w:t xml:space="preserve">.</w:t>
      </w:r>
    </w:p>
    <w:bookmarkEnd w:id="208"/>
    <w:bookmarkStart w:id="210" w:name="ref-Hickel2019"/>
    <w:p>
      <w:pPr>
        <w:pStyle w:val="Bibliography"/>
      </w:pPr>
      <w:r>
        <w:t xml:space="preserve">Hickel, J. (2019) The contradiction of the sustainable development goals: Growth versus ecology on a finite planet.</w:t>
      </w:r>
      <w:r>
        <w:t xml:space="preserve"> </w:t>
      </w:r>
      <w:r>
        <w:rPr>
          <w:iCs/>
          <w:i/>
        </w:rPr>
        <w:t xml:space="preserve">Sustainable Development</w:t>
      </w:r>
      <w:r>
        <w:t xml:space="preserve">, 27 (5): 873–884. doi:</w:t>
      </w:r>
      <w:hyperlink r:id="rId209">
        <w:r>
          <w:rPr>
            <w:rStyle w:val="Hyperlink"/>
          </w:rPr>
          <w:t xml:space="preserve">10.1002/sd.1947</w:t>
        </w:r>
      </w:hyperlink>
      <w:r>
        <w:t xml:space="preserve">.</w:t>
      </w:r>
    </w:p>
    <w:bookmarkEnd w:id="210"/>
    <w:bookmarkStart w:id="212"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1">
        <w:r>
          <w:rPr>
            <w:rStyle w:val="Hyperlink"/>
          </w:rPr>
          <w:t xml:space="preserve">https://www.ipcc.ch/report/ar6/wg2/</w:t>
        </w:r>
      </w:hyperlink>
      <w:r>
        <w:t xml:space="preserve">.</w:t>
      </w:r>
    </w:p>
    <w:bookmarkEnd w:id="212"/>
    <w:bookmarkStart w:id="214"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3">
        <w:r>
          <w:rPr>
            <w:rStyle w:val="Hyperlink"/>
          </w:rPr>
          <w:t xml:space="preserve">10.1177/00223433241275335</w:t>
        </w:r>
      </w:hyperlink>
      <w:r>
        <w:t xml:space="preserve">.</w:t>
      </w:r>
    </w:p>
    <w:bookmarkEnd w:id="214"/>
    <w:bookmarkStart w:id="216"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5">
        <w:r>
          <w:rPr>
            <w:rStyle w:val="Hyperlink"/>
          </w:rPr>
          <w:t xml:space="preserve">10.1162/qss_a_00304</w:t>
        </w:r>
      </w:hyperlink>
      <w:r>
        <w:t xml:space="preserve">.</w:t>
      </w:r>
    </w:p>
    <w:bookmarkEnd w:id="216"/>
    <w:bookmarkStart w:id="218" w:name="ref-NIPS2012_c399862d"/>
    <w:p>
      <w:pPr>
        <w:pStyle w:val="Bibliography"/>
      </w:pPr>
      <w:r>
        <w:t xml:space="preserve">Krizhevsky, A., Sutskever, I. and Hinton, G.E. (2012)</w:t>
      </w:r>
      <w:r>
        <w:t xml:space="preserve"> </w:t>
      </w:r>
      <w:r>
        <w:t xml:space="preserve">“ImageNet classification with deep convolutional neural networks.”</w:t>
      </w:r>
      <w:r>
        <w:t xml:space="preserve"> </w:t>
      </w:r>
      <w:r>
        <w:rPr>
          <w:u w:val="single"/>
        </w:rPr>
        <w:t xml:space="preserve">In</w:t>
      </w:r>
      <w:r>
        <w:t xml:space="preserve"> Pereira, F., Burges, C.J., Bottou, L., et al. (eds.).</w:t>
      </w:r>
      <w:r>
        <w:t xml:space="preserve"> </w:t>
      </w:r>
      <w:r>
        <w:rPr>
          <w:iCs/>
          <w:i/>
        </w:rPr>
        <w:t xml:space="preserve">Advances in neural information processing systems</w:t>
      </w:r>
      <w:r>
        <w:t xml:space="preserve">. 2012. Curran Associates, Inc. Available at:</w:t>
      </w:r>
      <w:r>
        <w:t xml:space="preserve"> </w:t>
      </w:r>
      <w:hyperlink r:id="rId217">
        <w:r>
          <w:rPr>
            <w:rStyle w:val="Hyperlink"/>
          </w:rPr>
          <w:t xml:space="preserve">https://proceedings.neurips.cc/paper_files/paper/2012/file/c399862d3b9d6b76c8436e924a68c45b-Paper.pdf</w:t>
        </w:r>
      </w:hyperlink>
      <w:r>
        <w:t xml:space="preserve">.</w:t>
      </w:r>
    </w:p>
    <w:bookmarkEnd w:id="218"/>
    <w:bookmarkStart w:id="220"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9">
        <w:r>
          <w:rPr>
            <w:rStyle w:val="Hyperlink"/>
          </w:rPr>
          <w:t xml:space="preserve">10.1002/sd.1582</w:t>
        </w:r>
      </w:hyperlink>
      <w:r>
        <w:t xml:space="preserve">.</w:t>
      </w:r>
    </w:p>
    <w:bookmarkEnd w:id="220"/>
    <w:bookmarkStart w:id="222"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1">
        <w:r>
          <w:rPr>
            <w:rStyle w:val="Hyperlink"/>
          </w:rPr>
          <w:t xml:space="preserve">https://nlp.stanford.edu/IR-book/</w:t>
        </w:r>
      </w:hyperlink>
      <w:r>
        <w:t xml:space="preserve">.</w:t>
      </w:r>
    </w:p>
    <w:bookmarkEnd w:id="222"/>
    <w:bookmarkStart w:id="224"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3">
        <w:r>
          <w:rPr>
            <w:rStyle w:val="Hyperlink"/>
          </w:rPr>
          <w:t xml:space="preserve">10.1016/j.ecoinf.2026.103669</w:t>
        </w:r>
      </w:hyperlink>
      <w:r>
        <w:t xml:space="preserve">.</w:t>
      </w:r>
    </w:p>
    <w:bookmarkEnd w:id="224"/>
    <w:bookmarkStart w:id="226"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5">
        <w:r>
          <w:rPr>
            <w:rStyle w:val="Hyperlink"/>
          </w:rPr>
          <w:t xml:space="preserve">10.1109/ACCESS.2024.3516500</w:t>
        </w:r>
      </w:hyperlink>
      <w:r>
        <w:t xml:space="preserve">.</w:t>
      </w:r>
    </w:p>
    <w:bookmarkEnd w:id="226"/>
    <w:bookmarkStart w:id="228"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7">
        <w:r>
          <w:rPr>
            <w:rStyle w:val="Hyperlink"/>
          </w:rPr>
          <w:t xml:space="preserve">10.1038/534320a</w:t>
        </w:r>
      </w:hyperlink>
      <w:r>
        <w:t xml:space="preserve">.</w:t>
      </w:r>
    </w:p>
    <w:bookmarkEnd w:id="228"/>
    <w:bookmarkStart w:id="230"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29">
        <w:r>
          <w:rPr>
            <w:rStyle w:val="Hyperlink"/>
          </w:rPr>
          <w:t xml:space="preserve">10.18653/v1/W17-4903</w:t>
        </w:r>
      </w:hyperlink>
      <w:r>
        <w:t xml:space="preserve">.</w:t>
      </w:r>
    </w:p>
    <w:bookmarkEnd w:id="230"/>
    <w:bookmarkStart w:id="232"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1">
        <w:r>
          <w:rPr>
            <w:rStyle w:val="Hyperlink"/>
          </w:rPr>
          <w:t xml:space="preserve">https://oecd.ai/en/partner-data-methodological-note</w:t>
        </w:r>
      </w:hyperlink>
      <w:r>
        <w:t xml:space="preserve">.</w:t>
      </w:r>
    </w:p>
    <w:bookmarkEnd w:id="232"/>
    <w:bookmarkStart w:id="234"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3">
        <w:r>
          <w:rPr>
            <w:rStyle w:val="Hyperlink"/>
          </w:rPr>
          <w:t xml:space="preserve">10.48550/arXiv.2205.01833</w:t>
        </w:r>
      </w:hyperlink>
      <w:r>
        <w:t xml:space="preserve">.</w:t>
      </w:r>
    </w:p>
    <w:bookmarkEnd w:id="234"/>
    <w:bookmarkStart w:id="236"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5">
        <w:r>
          <w:rPr>
            <w:rStyle w:val="Hyperlink"/>
          </w:rPr>
          <w:t xml:space="preserve">10.48550/arXiv.2211.11252</w:t>
        </w:r>
      </w:hyperlink>
      <w:r>
        <w:t xml:space="preserve">.</w:t>
      </w:r>
    </w:p>
    <w:bookmarkEnd w:id="236"/>
    <w:bookmarkStart w:id="238"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7">
        <w:r>
          <w:rPr>
            <w:rStyle w:val="Hyperlink"/>
          </w:rPr>
          <w:t xml:space="preserve">10.18653/v1/2020.acl-main.647</w:t>
        </w:r>
      </w:hyperlink>
      <w:r>
        <w:t xml:space="preserve">.</w:t>
      </w:r>
    </w:p>
    <w:bookmarkEnd w:id="238"/>
    <w:bookmarkStart w:id="240"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9">
        <w:r>
          <w:rPr>
            <w:rStyle w:val="Hyperlink"/>
          </w:rPr>
          <w:t xml:space="preserve">10.18653/v1/D19-1410</w:t>
        </w:r>
      </w:hyperlink>
      <w:r>
        <w:t xml:space="preserve">.</w:t>
      </w:r>
    </w:p>
    <w:bookmarkEnd w:id="240"/>
    <w:bookmarkStart w:id="242"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1">
        <w:r>
          <w:rPr>
            <w:rStyle w:val="Hyperlink"/>
          </w:rPr>
          <w:t xml:space="preserve">10.1017/S0003055422001228</w:t>
        </w:r>
      </w:hyperlink>
      <w:r>
        <w:t xml:space="preserve">.</w:t>
      </w:r>
    </w:p>
    <w:bookmarkEnd w:id="242"/>
    <w:bookmarkStart w:id="244"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3">
        <w:r>
          <w:rPr>
            <w:rStyle w:val="Hyperlink"/>
          </w:rPr>
          <w:t xml:space="preserve">10.51593/20230</w:t>
        </w:r>
      </w:hyperlink>
      <w:r>
        <w:t xml:space="preserve">.</w:t>
      </w:r>
    </w:p>
    <w:bookmarkEnd w:id="244"/>
    <w:bookmarkStart w:id="246"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5">
        <w:r>
          <w:rPr>
            <w:rStyle w:val="Hyperlink"/>
          </w:rPr>
          <w:t xml:space="preserve">https://github.com/SDGClassification/benchmark</w:t>
        </w:r>
      </w:hyperlink>
      <w:r>
        <w:t xml:space="preserve">.</w:t>
      </w:r>
    </w:p>
    <w:bookmarkEnd w:id="246"/>
    <w:bookmarkStart w:id="248"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7">
        <w:r>
          <w:rPr>
            <w:rStyle w:val="Hyperlink"/>
          </w:rPr>
          <w:t xml:space="preserve">https://huggingface.co/datasets/UNDP/sdgi-corpus</w:t>
        </w:r>
      </w:hyperlink>
      <w:r>
        <w:t xml:space="preserve">.</w:t>
      </w:r>
    </w:p>
    <w:bookmarkEnd w:id="248"/>
    <w:bookmarkStart w:id="249"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9"/>
    <w:bookmarkStart w:id="250"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50"/>
    <w:bookmarkStart w:id="252"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1">
        <w:r>
          <w:rPr>
            <w:rStyle w:val="Hyperlink"/>
          </w:rPr>
          <w:t xml:space="preserve">10.1002/sd.2706</w:t>
        </w:r>
      </w:hyperlink>
      <w:r>
        <w:t xml:space="preserve">.</w:t>
      </w:r>
    </w:p>
    <w:bookmarkEnd w:id="252"/>
    <w:bookmarkStart w:id="254"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3">
        <w:r>
          <w:rPr>
            <w:rStyle w:val="Hyperlink"/>
          </w:rPr>
          <w:t xml:space="preserve">10.1007/s00146-025-02181-5</w:t>
        </w:r>
      </w:hyperlink>
      <w:r>
        <w:t xml:space="preserve">.</w:t>
      </w:r>
    </w:p>
    <w:bookmarkEnd w:id="254"/>
    <w:bookmarkStart w:id="256"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5">
        <w:r>
          <w:rPr>
            <w:rStyle w:val="Hyperlink"/>
          </w:rPr>
          <w:t xml:space="preserve">10.48550/arXiv.2505.00174</w:t>
        </w:r>
      </w:hyperlink>
      <w:r>
        <w:t xml:space="preserve">.</w:t>
      </w:r>
    </w:p>
    <w:bookmarkEnd w:id="256"/>
    <w:bookmarkStart w:id="258"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7">
        <w:r>
          <w:rPr>
            <w:rStyle w:val="Hyperlink"/>
          </w:rPr>
          <w:t xml:space="preserve">10.1145/3630106.3659035</w:t>
        </w:r>
      </w:hyperlink>
      <w:r>
        <w:t xml:space="preserve">.</w:t>
      </w:r>
    </w:p>
    <w:bookmarkEnd w:id="258"/>
    <w:bookmarkStart w:id="260"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9">
        <w:r>
          <w:rPr>
            <w:rStyle w:val="Hyperlink"/>
          </w:rPr>
          <w:t xml:space="preserve">10.5281/zenodo.3798385</w:t>
        </w:r>
      </w:hyperlink>
      <w:r>
        <w:t xml:space="preserve">.</w:t>
      </w:r>
    </w:p>
    <w:bookmarkEnd w:id="260"/>
    <w:bookmarkStart w:id="262"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1">
        <w:r>
          <w:rPr>
            <w:rStyle w:val="Hyperlink"/>
          </w:rPr>
          <w:t xml:space="preserve">10.1038/s41467-019-14108-y</w:t>
        </w:r>
      </w:hyperlink>
      <w:r>
        <w:t xml:space="preserve">.</w:t>
      </w:r>
    </w:p>
    <w:bookmarkEnd w:id="262"/>
    <w:bookmarkStart w:id="264" w:name="ref-Wang2020"/>
    <w:p>
      <w:pPr>
        <w:pStyle w:val="Bibliography"/>
      </w:pPr>
      <w:r>
        <w:t xml:space="preserve">Wang, K., Shen, Z., Huang, C., et al. (2020) Microsoft academic graph: When experts are not enough.</w:t>
      </w:r>
      <w:r>
        <w:t xml:space="preserve"> </w:t>
      </w:r>
      <w:r>
        <w:rPr>
          <w:iCs/>
          <w:i/>
        </w:rPr>
        <w:t xml:space="preserve">Quantitative Science Studies</w:t>
      </w:r>
      <w:r>
        <w:t xml:space="preserve">, 1 (1): 396–413. doi:</w:t>
      </w:r>
      <w:hyperlink r:id="rId263">
        <w:r>
          <w:rPr>
            <w:rStyle w:val="Hyperlink"/>
          </w:rPr>
          <w:t xml:space="preserve">10.1162/qss_a_00021</w:t>
        </w:r>
      </w:hyperlink>
      <w:r>
        <w:t xml:space="preserve">.</w:t>
      </w:r>
    </w:p>
    <w:bookmarkEnd w:id="264"/>
    <w:bookmarkStart w:id="266"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5">
        <w:r>
          <w:rPr>
            <w:rStyle w:val="Hyperlink"/>
          </w:rPr>
          <w:t xml:space="preserve">10.5281/zenodo.7523032</w:t>
        </w:r>
      </w:hyperlink>
      <w:r>
        <w:t xml:space="preserve">.</w:t>
      </w:r>
    </w:p>
    <w:bookmarkEnd w:id="266"/>
    <w:bookmarkStart w:id="268"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7">
        <w:r>
          <w:rPr>
            <w:rStyle w:val="Hyperlink"/>
          </w:rPr>
          <w:t xml:space="preserve">10.1016/j.array.2025.100419</w:t>
        </w:r>
      </w:hyperlink>
      <w:r>
        <w:t xml:space="preserve">.</w:t>
      </w:r>
    </w:p>
    <w:bookmarkEnd w:id="268"/>
    <w:bookmarkEnd w:id="269"/>
    <w:bookmarkEnd w:id="270"/>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1" Target="https://arxiv.org/abs/1610.01644" TargetMode="External" /><Relationship Type="http://schemas.openxmlformats.org/officeDocument/2006/relationships/hyperlink" Id="rId175" Target="https://arxiv.org/abs/1805.01070" TargetMode="External" /><Relationship Type="http://schemas.openxmlformats.org/officeDocument/2006/relationships/hyperlink" Id="rId207" Target="https://doi.org/10.1002/csr.2202" TargetMode="External" /><Relationship Type="http://schemas.openxmlformats.org/officeDocument/2006/relationships/hyperlink" Id="rId219" Target="https://doi.org/10.1002/sd.1582" TargetMode="External" /><Relationship Type="http://schemas.openxmlformats.org/officeDocument/2006/relationships/hyperlink" Id="rId209" Target="https://doi.org/10.1002/sd.1947" TargetMode="External" /><Relationship Type="http://schemas.openxmlformats.org/officeDocument/2006/relationships/hyperlink" Id="rId251" Target="https://doi.org/10.1002/sd.2706" TargetMode="External" /><Relationship Type="http://schemas.openxmlformats.org/officeDocument/2006/relationships/hyperlink" Id="rId202" Target="https://doi.org/10.1007/978-0-387-84858-7" TargetMode="External" /><Relationship Type="http://schemas.openxmlformats.org/officeDocument/2006/relationships/hyperlink" Id="rId253" Target="https://doi.org/10.1007/s00146-025-02181-5" TargetMode="External" /><Relationship Type="http://schemas.openxmlformats.org/officeDocument/2006/relationships/hyperlink" Id="rId167" Target="https://doi.org/10.1007/s11192-016-2115-y" TargetMode="External" /><Relationship Type="http://schemas.openxmlformats.org/officeDocument/2006/relationships/hyperlink" Id="rId204" Target="https://doi.org/10.1007/s43681-023-00259-8" TargetMode="External" /><Relationship Type="http://schemas.openxmlformats.org/officeDocument/2006/relationships/hyperlink" Id="rId267" Target="https://doi.org/10.1016/j.array.2025.100419" TargetMode="External" /><Relationship Type="http://schemas.openxmlformats.org/officeDocument/2006/relationships/hyperlink" Id="rId223" Target="https://doi.org/10.1016/j.ecoinf.2026.103669" TargetMode="External" /><Relationship Type="http://schemas.openxmlformats.org/officeDocument/2006/relationships/hyperlink" Id="rId241" Target="https://doi.org/10.1017/S0003055422001228" TargetMode="External" /><Relationship Type="http://schemas.openxmlformats.org/officeDocument/2006/relationships/hyperlink" Id="rId198" Target="https://doi.org/10.1017/S0020818300001442" TargetMode="External" /><Relationship Type="http://schemas.openxmlformats.org/officeDocument/2006/relationships/hyperlink" Id="rId181" Target="https://doi.org/10.1017/S0260210512000034" TargetMode="External" /><Relationship Type="http://schemas.openxmlformats.org/officeDocument/2006/relationships/hyperlink" Id="rId227" Target="https://doi.org/10.1038/534320a" TargetMode="External" /><Relationship Type="http://schemas.openxmlformats.org/officeDocument/2006/relationships/hyperlink" Id="rId261" Target="https://doi.org/10.1038/s41467-019-14108-y" TargetMode="External" /><Relationship Type="http://schemas.openxmlformats.org/officeDocument/2006/relationships/hyperlink" Id="rId190" Target="https://doi.org/10.1038/s41893-025-01598-6" TargetMode="External" /><Relationship Type="http://schemas.openxmlformats.org/officeDocument/2006/relationships/hyperlink" Id="rId179" Target="https://doi.org/10.1038/s42256-021-00296-0" TargetMode="External" /><Relationship Type="http://schemas.openxmlformats.org/officeDocument/2006/relationships/hyperlink" Id="rId173" Target="https://doi.org/10.1073/pnas.1231332100" TargetMode="External" /><Relationship Type="http://schemas.openxmlformats.org/officeDocument/2006/relationships/hyperlink" Id="rId200" Target="https://doi.org/10.1080/00437956.1954.11659520" TargetMode="External" /><Relationship Type="http://schemas.openxmlformats.org/officeDocument/2006/relationships/hyperlink" Id="rId163" Target="https://doi.org/10.1080/08039410.2016.1252424" TargetMode="External" /><Relationship Type="http://schemas.openxmlformats.org/officeDocument/2006/relationships/hyperlink" Id="rId185" Target="https://doi.org/10.1080/13552074.2016.1145895" TargetMode="External" /><Relationship Type="http://schemas.openxmlformats.org/officeDocument/2006/relationships/hyperlink" Id="rId225" Target="https://doi.org/10.1109/ACCESS.2024.3516500" TargetMode="External" /><Relationship Type="http://schemas.openxmlformats.org/officeDocument/2006/relationships/hyperlink" Id="rId188" Target="https://doi.org/10.1109/ACCESS.2025.3595894" TargetMode="External" /><Relationship Type="http://schemas.openxmlformats.org/officeDocument/2006/relationships/hyperlink" Id="rId177" Target="https://doi.org/10.1109/TIT.1967.1053964" TargetMode="External" /><Relationship Type="http://schemas.openxmlformats.org/officeDocument/2006/relationships/hyperlink" Id="rId257" Target="https://doi.org/10.1145/3630106.3659035" TargetMode="External" /><Relationship Type="http://schemas.openxmlformats.org/officeDocument/2006/relationships/hyperlink" Id="rId263" Target="https://doi.org/10.1162/qss_a_00021" TargetMode="External" /><Relationship Type="http://schemas.openxmlformats.org/officeDocument/2006/relationships/hyperlink" Id="rId153" Target="https://doi.org/10.1162/qss_a_00071" TargetMode="External" /><Relationship Type="http://schemas.openxmlformats.org/officeDocument/2006/relationships/hyperlink" Id="rId215" Target="https://doi.org/10.1162/qss_a_00304" TargetMode="External" /><Relationship Type="http://schemas.openxmlformats.org/officeDocument/2006/relationships/hyperlink" Id="rId171" Target="https://doi.org/10.1177/000276427902200308" TargetMode="External" /><Relationship Type="http://schemas.openxmlformats.org/officeDocument/2006/relationships/hyperlink" Id="rId213" Target="https://doi.org/10.1177/00223433241275335" TargetMode="External" /><Relationship Type="http://schemas.openxmlformats.org/officeDocument/2006/relationships/hyperlink" Id="rId196" Target="https://doi.org/10.1177/016224390102600401" TargetMode="External" /><Relationship Type="http://schemas.openxmlformats.org/officeDocument/2006/relationships/hyperlink" Id="rId237" Target="https://doi.org/10.18653/v1/2020.acl-main.647" TargetMode="External" /><Relationship Type="http://schemas.openxmlformats.org/officeDocument/2006/relationships/hyperlink" Id="rId239" Target="https://doi.org/10.18653/v1/D19-1410" TargetMode="External" /><Relationship Type="http://schemas.openxmlformats.org/officeDocument/2006/relationships/hyperlink" Id="rId169" Target="https://doi.org/10.18653/v1/N19-1181" TargetMode="External" /><Relationship Type="http://schemas.openxmlformats.org/officeDocument/2006/relationships/hyperlink" Id="rId229" Target="https://doi.org/10.18653/v1/W17-4903" TargetMode="External" /><Relationship Type="http://schemas.openxmlformats.org/officeDocument/2006/relationships/hyperlink" Id="rId161" Target="https://doi.org/10.2307/271073" TargetMode="External" /><Relationship Type="http://schemas.openxmlformats.org/officeDocument/2006/relationships/hyperlink" Id="rId194" Target="https://doi.org/10.24948/2017.01" TargetMode="External" /><Relationship Type="http://schemas.openxmlformats.org/officeDocument/2006/relationships/hyperlink" Id="rId155" Target="https://doi.org/10.31341/jios.44.2.2" TargetMode="External" /><Relationship Type="http://schemas.openxmlformats.org/officeDocument/2006/relationships/hyperlink" Id="rId192" Target="https://doi.org/10.3389/frai.2024.1472411" TargetMode="External" /><Relationship Type="http://schemas.openxmlformats.org/officeDocument/2006/relationships/hyperlink" Id="rId157" Target="https://doi.org/10.3389/frsus.2021.620743" TargetMode="External" /><Relationship Type="http://schemas.openxmlformats.org/officeDocument/2006/relationships/hyperlink" Id="rId149" Target="https://doi.org/10.3982/ECTA12675" TargetMode="External" /><Relationship Type="http://schemas.openxmlformats.org/officeDocument/2006/relationships/hyperlink" Id="rId159" Target="https://doi.org/10.48550/arXiv.1903.10676" TargetMode="External" /><Relationship Type="http://schemas.openxmlformats.org/officeDocument/2006/relationships/hyperlink" Id="rId233" Target="https://doi.org/10.48550/arXiv.2205.01833" TargetMode="External" /><Relationship Type="http://schemas.openxmlformats.org/officeDocument/2006/relationships/hyperlink" Id="rId235" Target="https://doi.org/10.48550/arXiv.2211.11252" TargetMode="External" /><Relationship Type="http://schemas.openxmlformats.org/officeDocument/2006/relationships/hyperlink" Id="rId255" Target="https://doi.org/10.48550/arXiv.2505.00174" TargetMode="External" /><Relationship Type="http://schemas.openxmlformats.org/officeDocument/2006/relationships/hyperlink" Id="rId243" Target="https://doi.org/10.51593/20230" TargetMode="External" /><Relationship Type="http://schemas.openxmlformats.org/officeDocument/2006/relationships/hyperlink" Id="rId259" Target="https://doi.org/10.5281/zenodo.3798385" TargetMode="External" /><Relationship Type="http://schemas.openxmlformats.org/officeDocument/2006/relationships/hyperlink" Id="rId265" Target="https://doi.org/10.5281/zenodo.7523032" TargetMode="External" /><Relationship Type="http://schemas.openxmlformats.org/officeDocument/2006/relationships/hyperlink" Id="rId183" Target="https://eur-lex.europa.eu/legal-content/EN/TXT/?uri=CELEX:32024R1689" TargetMode="External" /><Relationship Type="http://schemas.openxmlformats.org/officeDocument/2006/relationships/hyperlink" Id="rId245"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7" Target="https://huggingface.co/datasets/UNDP/sdgi-corpus" TargetMode="External" /><Relationship Type="http://schemas.openxmlformats.org/officeDocument/2006/relationships/hyperlink" Id="rId221" Target="https://nlp.stanford.edu/IR-book/" TargetMode="External" /><Relationship Type="http://schemas.openxmlformats.org/officeDocument/2006/relationships/hyperlink" Id="rId231" Target="https://oecd.ai/en/partner-data-methodological-note" TargetMode="External" /><Relationship Type="http://schemas.openxmlformats.org/officeDocument/2006/relationships/hyperlink" Id="rId217" Target="https://proceedings.neurips.cc/paper_files/paper/2012/file/c399862d3b9d6b76c8436e924a68c45b-Paper.pdf" TargetMode="External" /><Relationship Type="http://schemas.openxmlformats.org/officeDocument/2006/relationships/hyperlink" Id="rId211"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1" Target="https://arxiv.org/abs/1610.01644" TargetMode="External" /><Relationship Type="http://schemas.openxmlformats.org/officeDocument/2006/relationships/hyperlink" Id="rId175" Target="https://arxiv.org/abs/1805.01070" TargetMode="External" /><Relationship Type="http://schemas.openxmlformats.org/officeDocument/2006/relationships/hyperlink" Id="rId207" Target="https://doi.org/10.1002/csr.2202" TargetMode="External" /><Relationship Type="http://schemas.openxmlformats.org/officeDocument/2006/relationships/hyperlink" Id="rId219" Target="https://doi.org/10.1002/sd.1582" TargetMode="External" /><Relationship Type="http://schemas.openxmlformats.org/officeDocument/2006/relationships/hyperlink" Id="rId209" Target="https://doi.org/10.1002/sd.1947" TargetMode="External" /><Relationship Type="http://schemas.openxmlformats.org/officeDocument/2006/relationships/hyperlink" Id="rId251" Target="https://doi.org/10.1002/sd.2706" TargetMode="External" /><Relationship Type="http://schemas.openxmlformats.org/officeDocument/2006/relationships/hyperlink" Id="rId202" Target="https://doi.org/10.1007/978-0-387-84858-7" TargetMode="External" /><Relationship Type="http://schemas.openxmlformats.org/officeDocument/2006/relationships/hyperlink" Id="rId253" Target="https://doi.org/10.1007/s00146-025-02181-5" TargetMode="External" /><Relationship Type="http://schemas.openxmlformats.org/officeDocument/2006/relationships/hyperlink" Id="rId167" Target="https://doi.org/10.1007/s11192-016-2115-y" TargetMode="External" /><Relationship Type="http://schemas.openxmlformats.org/officeDocument/2006/relationships/hyperlink" Id="rId204" Target="https://doi.org/10.1007/s43681-023-00259-8" TargetMode="External" /><Relationship Type="http://schemas.openxmlformats.org/officeDocument/2006/relationships/hyperlink" Id="rId267" Target="https://doi.org/10.1016/j.array.2025.100419" TargetMode="External" /><Relationship Type="http://schemas.openxmlformats.org/officeDocument/2006/relationships/hyperlink" Id="rId223" Target="https://doi.org/10.1016/j.ecoinf.2026.103669" TargetMode="External" /><Relationship Type="http://schemas.openxmlformats.org/officeDocument/2006/relationships/hyperlink" Id="rId241" Target="https://doi.org/10.1017/S0003055422001228" TargetMode="External" /><Relationship Type="http://schemas.openxmlformats.org/officeDocument/2006/relationships/hyperlink" Id="rId198" Target="https://doi.org/10.1017/S0020818300001442" TargetMode="External" /><Relationship Type="http://schemas.openxmlformats.org/officeDocument/2006/relationships/hyperlink" Id="rId181" Target="https://doi.org/10.1017/S0260210512000034" TargetMode="External" /><Relationship Type="http://schemas.openxmlformats.org/officeDocument/2006/relationships/hyperlink" Id="rId227" Target="https://doi.org/10.1038/534320a" TargetMode="External" /><Relationship Type="http://schemas.openxmlformats.org/officeDocument/2006/relationships/hyperlink" Id="rId261" Target="https://doi.org/10.1038/s41467-019-14108-y" TargetMode="External" /><Relationship Type="http://schemas.openxmlformats.org/officeDocument/2006/relationships/hyperlink" Id="rId190" Target="https://doi.org/10.1038/s41893-025-01598-6" TargetMode="External" /><Relationship Type="http://schemas.openxmlformats.org/officeDocument/2006/relationships/hyperlink" Id="rId179" Target="https://doi.org/10.1038/s42256-021-00296-0" TargetMode="External" /><Relationship Type="http://schemas.openxmlformats.org/officeDocument/2006/relationships/hyperlink" Id="rId173" Target="https://doi.org/10.1073/pnas.1231332100" TargetMode="External" /><Relationship Type="http://schemas.openxmlformats.org/officeDocument/2006/relationships/hyperlink" Id="rId200" Target="https://doi.org/10.1080/00437956.1954.11659520" TargetMode="External" /><Relationship Type="http://schemas.openxmlformats.org/officeDocument/2006/relationships/hyperlink" Id="rId163" Target="https://doi.org/10.1080/08039410.2016.1252424" TargetMode="External" /><Relationship Type="http://schemas.openxmlformats.org/officeDocument/2006/relationships/hyperlink" Id="rId185" Target="https://doi.org/10.1080/13552074.2016.1145895" TargetMode="External" /><Relationship Type="http://schemas.openxmlformats.org/officeDocument/2006/relationships/hyperlink" Id="rId225" Target="https://doi.org/10.1109/ACCESS.2024.3516500" TargetMode="External" /><Relationship Type="http://schemas.openxmlformats.org/officeDocument/2006/relationships/hyperlink" Id="rId188" Target="https://doi.org/10.1109/ACCESS.2025.3595894" TargetMode="External" /><Relationship Type="http://schemas.openxmlformats.org/officeDocument/2006/relationships/hyperlink" Id="rId177" Target="https://doi.org/10.1109/TIT.1967.1053964" TargetMode="External" /><Relationship Type="http://schemas.openxmlformats.org/officeDocument/2006/relationships/hyperlink" Id="rId257" Target="https://doi.org/10.1145/3630106.3659035" TargetMode="External" /><Relationship Type="http://schemas.openxmlformats.org/officeDocument/2006/relationships/hyperlink" Id="rId263" Target="https://doi.org/10.1162/qss_a_00021" TargetMode="External" /><Relationship Type="http://schemas.openxmlformats.org/officeDocument/2006/relationships/hyperlink" Id="rId153" Target="https://doi.org/10.1162/qss_a_00071" TargetMode="External" /><Relationship Type="http://schemas.openxmlformats.org/officeDocument/2006/relationships/hyperlink" Id="rId215" Target="https://doi.org/10.1162/qss_a_00304" TargetMode="External" /><Relationship Type="http://schemas.openxmlformats.org/officeDocument/2006/relationships/hyperlink" Id="rId171" Target="https://doi.org/10.1177/000276427902200308" TargetMode="External" /><Relationship Type="http://schemas.openxmlformats.org/officeDocument/2006/relationships/hyperlink" Id="rId213" Target="https://doi.org/10.1177/00223433241275335" TargetMode="External" /><Relationship Type="http://schemas.openxmlformats.org/officeDocument/2006/relationships/hyperlink" Id="rId196" Target="https://doi.org/10.1177/016224390102600401" TargetMode="External" /><Relationship Type="http://schemas.openxmlformats.org/officeDocument/2006/relationships/hyperlink" Id="rId237" Target="https://doi.org/10.18653/v1/2020.acl-main.647" TargetMode="External" /><Relationship Type="http://schemas.openxmlformats.org/officeDocument/2006/relationships/hyperlink" Id="rId239" Target="https://doi.org/10.18653/v1/D19-1410" TargetMode="External" /><Relationship Type="http://schemas.openxmlformats.org/officeDocument/2006/relationships/hyperlink" Id="rId169" Target="https://doi.org/10.18653/v1/N19-1181" TargetMode="External" /><Relationship Type="http://schemas.openxmlformats.org/officeDocument/2006/relationships/hyperlink" Id="rId229" Target="https://doi.org/10.18653/v1/W17-4903" TargetMode="External" /><Relationship Type="http://schemas.openxmlformats.org/officeDocument/2006/relationships/hyperlink" Id="rId161" Target="https://doi.org/10.2307/271073" TargetMode="External" /><Relationship Type="http://schemas.openxmlformats.org/officeDocument/2006/relationships/hyperlink" Id="rId194" Target="https://doi.org/10.24948/2017.01" TargetMode="External" /><Relationship Type="http://schemas.openxmlformats.org/officeDocument/2006/relationships/hyperlink" Id="rId155" Target="https://doi.org/10.31341/jios.44.2.2" TargetMode="External" /><Relationship Type="http://schemas.openxmlformats.org/officeDocument/2006/relationships/hyperlink" Id="rId192" Target="https://doi.org/10.3389/frai.2024.1472411" TargetMode="External" /><Relationship Type="http://schemas.openxmlformats.org/officeDocument/2006/relationships/hyperlink" Id="rId157" Target="https://doi.org/10.3389/frsus.2021.620743" TargetMode="External" /><Relationship Type="http://schemas.openxmlformats.org/officeDocument/2006/relationships/hyperlink" Id="rId149" Target="https://doi.org/10.3982/ECTA12675" TargetMode="External" /><Relationship Type="http://schemas.openxmlformats.org/officeDocument/2006/relationships/hyperlink" Id="rId159" Target="https://doi.org/10.48550/arXiv.1903.10676" TargetMode="External" /><Relationship Type="http://schemas.openxmlformats.org/officeDocument/2006/relationships/hyperlink" Id="rId233" Target="https://doi.org/10.48550/arXiv.2205.01833" TargetMode="External" /><Relationship Type="http://schemas.openxmlformats.org/officeDocument/2006/relationships/hyperlink" Id="rId235" Target="https://doi.org/10.48550/arXiv.2211.11252" TargetMode="External" /><Relationship Type="http://schemas.openxmlformats.org/officeDocument/2006/relationships/hyperlink" Id="rId255" Target="https://doi.org/10.48550/arXiv.2505.00174" TargetMode="External" /><Relationship Type="http://schemas.openxmlformats.org/officeDocument/2006/relationships/hyperlink" Id="rId243" Target="https://doi.org/10.51593/20230" TargetMode="External" /><Relationship Type="http://schemas.openxmlformats.org/officeDocument/2006/relationships/hyperlink" Id="rId259" Target="https://doi.org/10.5281/zenodo.3798385" TargetMode="External" /><Relationship Type="http://schemas.openxmlformats.org/officeDocument/2006/relationships/hyperlink" Id="rId265" Target="https://doi.org/10.5281/zenodo.7523032" TargetMode="External" /><Relationship Type="http://schemas.openxmlformats.org/officeDocument/2006/relationships/hyperlink" Id="rId183" Target="https://eur-lex.europa.eu/legal-content/EN/TXT/?uri=CELEX:32024R1689" TargetMode="External" /><Relationship Type="http://schemas.openxmlformats.org/officeDocument/2006/relationships/hyperlink" Id="rId245"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7" Target="https://huggingface.co/datasets/UNDP/sdgi-corpus" TargetMode="External" /><Relationship Type="http://schemas.openxmlformats.org/officeDocument/2006/relationships/hyperlink" Id="rId221" Target="https://nlp.stanford.edu/IR-book/" TargetMode="External" /><Relationship Type="http://schemas.openxmlformats.org/officeDocument/2006/relationships/hyperlink" Id="rId231" Target="https://oecd.ai/en/partner-data-methodological-note" TargetMode="External" /><Relationship Type="http://schemas.openxmlformats.org/officeDocument/2006/relationships/hyperlink" Id="rId217" Target="https://proceedings.neurips.cc/paper_files/paper/2012/file/c399862d3b9d6b76c8436e924a68c45b-Paper.pdf" TargetMode="External" /><Relationship Type="http://schemas.openxmlformats.org/officeDocument/2006/relationships/hyperlink" Id="rId211"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Don’t Mean Shared Framing — Embedding-Based Register-Topic Decomposition of Research-Policy Divergence Across the SDGs</dc:title>
  <dc:creator/>
  <cp:keywords/>
  <dcterms:created xsi:type="dcterms:W3CDTF">2026-08-27T00:32:55Z</dcterms:created>
  <dcterms:modified xsi:type="dcterms:W3CDTF">2026-08-27T00:32:55Z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