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png" ContentType="image/png"/>
  <Override PartName="/word/media/rId246.png" ContentType="image/png"/>
  <Override PartName="/word/media/rId256.png" ContentType="image/png"/>
  <Override PartName="/word/media/rId288.png" ContentType="image/png"/>
  <Override PartName="/word/media/rId24.png" ContentType="image/png"/>
  <Override PartName="/word/media/rId50.png" ContentType="image/png"/>
  <Override PartName="/word/media/rId55.png" ContentType="image/png"/>
  <Override PartName="/word/media/rId59.png" ContentType="image/png"/>
  <Override PartName="/word/media/rId41.png" ContentType="image/png"/>
  <Override PartName="/word/media/rId234.png" ContentType="image/png"/>
  <Override PartName="/word/media/rId65.png" ContentType="image/png"/>
  <Override PartName="/word/footer_roman.xml" ContentType="application/vnd.openxmlformats-officedocument.wordprocessingml.footer+xml"/>
  <Override PartName="/word/footer_decimal.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ectPr/>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Mean</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Research and policy can address the same Sustainable Development Goal while framing it in different ways. Existing assessments of research–policy alignment usually measure whether both sides mention the same goals, but this does not show whether they discuss those goals similarly. This paper asks how academic AI-for-sustainability research and policy discourse differ in both the SDGs they prioritise and the way they discuss each SDG.</w:t>
      </w:r>
    </w:p>
    <w:p>
      <w:pPr>
        <w:pStyle w:val="BodyText"/>
      </w:pPr>
      <w:r>
        <w:t xml:space="preserve">The study compares a large corpus of research abstracts with policy documents covering all 17 SDGs. It measures each corpus’s distribution of attention across the goals and compares research and policy language within each SDG. The analysis separates differences associated with substantive topics from differences associated with corpus-specific writing conventions. The framework uses supervised text classification and embeddings, with checks across alternative encoders, classifiers, retrieval strategies, sampling levels, and policy-source collections.</w:t>
      </w:r>
    </w:p>
    <w:p>
      <w:pPr>
        <w:pStyle w:val="BodyText"/>
      </w:pPr>
      <w:r>
        <w:t xml:space="preserve">The results show different coverage profiles. Research concentrates especially on SDGs 3, 4, 9, and 16, whereas policy discourse places greater emphasis on SDGs 16, 17, and 13. Differences in coverage alone do not explain the raw semantic differences between the two corpora. After adjustment for corpus-associated linguistic variation, the relationship between coverage and semantic divergence becomes more apparent. The adjustment also changes the ranking of some goals, most notably SDG 17, showing that writing conventions can either inflate or conceal substantive differences.</w:t>
      </w:r>
    </w:p>
    <w:p>
      <w:pPr>
        <w:pStyle w:val="BodyText"/>
      </w:pPr>
      <w:r>
        <w:t xml:space="preserve">These findings show that shared SDG labels are insufficient evidence of research–policy alignment. Alignment should be assessed along at least two dimensions: which goals each community prioritises and how each community frames those goals. The framework provides a reproducible way to identify where apparent semantic disagreement reflects substantive differences, corpus-associated language, or both.</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https://github.com/qmanhbeo/msc-dissertation-leo</w:t>
        </w:r>
      </w:hyperlink>
      <w:r>
        <w:t xml:space="preserve">.</w:t>
      </w:r>
    </w:p>
    <w:p>
      <w:pPr>
        <w:pStyle w:val="BodyText"/>
      </w:pPr>
      <w:r>
        <w:rPr>
          <w:bCs/>
          <w:b/>
        </w:rPr>
        <w:t xml:space="preserve">Technical Summary</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w:t>
      </w:r>
      <w:r>
        <w:t xml:space="preserve"> </w:t>
      </w:r>
      <w:r>
        <w:t xml:space="preserve">(Ravfogel et al., 2020)</w:t>
      </w:r>
      <w:r>
        <w:t xml:space="preserve">. What remains is called the adjusted semantic space, interpreted as containing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oncept-coverage">
        <w:r>
          <w:rPr>
            <w:rStyle w:val="Hyperlink"/>
          </w:rPr>
          <w:t xml:space="preserve">Figure 7: SDG coverage-share comparison: keyword-retrieved versus concept-retrieved (AI/ML field-of-study) research corpus.</w:t>
        </w:r>
      </w:hyperlink>
    </w:p>
    <w:p>
      <w:pPr>
        <w:pStyle w:val="BodyText"/>
      </w:pPr>
      <w:hyperlink w:anchor="fig:centroid-similarity-matrix">
        <w:r>
          <w:rPr>
            <w:rStyle w:val="Hyperlink"/>
          </w:rPr>
          <w:t xml:space="preserve">Figure 8: Pairwise cosine similarity between canonical SDG centroids (lower triangle).</w:t>
        </w:r>
      </w:hyperlink>
    </w:p>
    <w:p>
      <w:pPr>
        <w:pStyle w:val="BodyText"/>
      </w:pPr>
      <w:hyperlink w:anchor="fig:sample-stability">
        <w:r>
          <w:rPr>
            <w:rStyle w:val="Hyperlink"/>
          </w:rPr>
          <w:t xml:space="preserve">Figure 9: Sample-stability ladder for the research corpus.</w:t>
        </w:r>
      </w:hyperlink>
    </w:p>
    <w:p>
      <w:pPr>
        <w:pStyle w:val="BodyText"/>
      </w:pPr>
      <w:hyperlink w:anchor="fig:register-convergence">
        <w:r>
          <w:rPr>
            <w:rStyle w:val="Hyperlink"/>
          </w:rPr>
          <w:t xml:space="preserve">Figure 10: Stratified iterative register-removal diagnostic across the three encoder tracks.</w:t>
        </w:r>
      </w:hyperlink>
    </w:p>
    <w:p>
      <w:pPr>
        <w:pStyle w:val="BodyText"/>
      </w:pPr>
      <w:hyperlink w:anchor="fig:cross-method-values">
        <w:r>
          <w:rPr>
            <w:rStyle w:val="Hyperlink"/>
          </w:rPr>
          <w:t xml:space="preserve">Figure 11: Coverage gap values and semantic gap values across embedding architectures, classifier variants, and retrieval strategies.</w:t>
        </w:r>
      </w:hyperlink>
    </w:p>
    <w:p>
      <w:r>
        <w:br w:type="page"/>
      </w:r>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interaction">
        <w:r>
          <w:rPr>
            <w:rStyle w:val="Hyperlink"/>
          </w:rPr>
          <w:t xml:space="preserve">Table 4: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reference-concept">
        <w:r>
          <w:rPr>
            <w:rStyle w:val="Hyperlink"/>
          </w:rPr>
          <w:t xml:space="preserve">Table 5: Concept-retrieved corpus — per-SDG reference values (semantic-gap and coverage-predictor families).</w:t>
        </w:r>
      </w:hyperlink>
    </w:p>
    <w:p>
      <w:pPr>
        <w:pStyle w:val="BodyText"/>
      </w:pPr>
      <w:hyperlink w:anchor="tab:sdg4-lexical-audit">
        <w:r>
          <w:rPr>
            <w:rStyle w:val="Hyperlink"/>
          </w:rPr>
          <w:t xml:space="preserve">Table 6: SDG 4 lexical artefact audit.</w:t>
        </w:r>
      </w:hyperlink>
    </w:p>
    <w:p>
      <w:pPr>
        <w:pStyle w:val="BodyText"/>
      </w:pPr>
      <w:hyperlink w:anchor="Xb5f46f72c0b4de0e21636b87797eca5bfe52583">
        <w:r>
          <w:rPr>
            <w:rStyle w:val="Hyperlink"/>
          </w:rPr>
          <w:t xml:space="preserve">Table 7: Distinctive TF-IDF terms for all 17 SDGs.</w:t>
        </w:r>
      </w:hyperlink>
    </w:p>
    <w:p>
      <w:pPr>
        <w:pStyle w:val="BodyText"/>
      </w:pPr>
      <w:hyperlink w:anchor="tab:distributional-gap">
        <w:r>
          <w:rPr>
            <w:rStyle w:val="Hyperlink"/>
          </w:rPr>
          <w:t xml:space="preserve">Table 8: Per-SDG research–policy gap under distribution-aware metrics versus the canonical centroid gap (Part 1 of 2: full-corpus exact metrics).</w:t>
        </w:r>
      </w:hyperlink>
    </w:p>
    <w:p>
      <w:pPr>
        <w:pStyle w:val="BodyText"/>
      </w:pPr>
      <w:hyperlink w:anchor="tab:distributional-gap-cont">
        <w:r>
          <w:rPr>
            <w:rStyle w:val="Hyperlink"/>
          </w:rPr>
          <w:t xml:space="preserve">Table 9: Per-SDG research–policy gap under distribution-aware metrics versus the canonical centroid gap (Part 2 of 2: sampled metrics; continuation of Table </w:t>
        </w:r>
        <w:hyperlink w:anchor="tab:distributional-gap">
          <w:r>
            <w:rPr>
              <w:rStyle w:val="Hyperlink"/>
            </w:rPr>
            <w:t xml:space="preserve">8</w:t>
          </w:r>
        </w:hyperlink>
        <w:r>
          <w:rPr>
            <w:rStyle w:val="Hyperlink"/>
          </w:rPr>
          <w:t xml:space="preserve">).</w:t>
        </w:r>
      </w:hyperlink>
    </w:p>
    <w:p>
      <w:pPr>
        <w:pStyle w:val="BodyText"/>
      </w:pPr>
      <w:hyperlink w:anchor="tab:distributional-h1">
        <w:r>
          <w:rPr>
            <w:rStyle w:val="Hyperlink"/>
          </w:rPr>
          <w:t xml:space="preserve">Table 10: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4</w:t>
          </w:r>
        </w:hyperlink>
        <w:r>
          <w:rPr>
            <w:rStyle w:val="Hyperlink"/>
          </w:rPr>
          <w:t xml:space="preserve">.</w:t>
        </w:r>
      </w:hyperlink>
    </w:p>
    <w:p>
      <w:pPr>
        <w:pStyle w:val="BodyText"/>
      </w:pPr>
      <w:hyperlink w:anchor="tab:model-selection-appendix">
        <w:r>
          <w:rPr>
            <w:rStyle w:val="Hyperlink"/>
          </w:rPr>
          <w:t xml:space="preserve">Table 11: Model selection ranking (full): 5-fold GroupKFold cross-validated macro-F1 across all 32 candidates (16 MLP + 16 LR).</w:t>
        </w:r>
      </w:hyperlink>
    </w:p>
    <w:p>
      <w:pPr>
        <w:pStyle w:val="BodyText"/>
      </w:pPr>
      <w:hyperlink w:anchor="tab:register-sample-design">
        <w:r>
          <w:rPr>
            <w:rStyle w:val="Hyperlink"/>
          </w:rPr>
          <w:t xml:space="preserve">Table 12: Validation sample construction: the two designs.</w:t>
        </w:r>
      </w:hyperlink>
    </w:p>
    <w:p>
      <w:pPr>
        <w:pStyle w:val="BodyText"/>
      </w:pPr>
      <w:hyperlink w:anchor="tab:register-feature-contrasts">
        <w:r>
          <w:rPr>
            <w:rStyle w:val="Hyperlink"/>
          </w:rPr>
          <w:t xml:space="preserve">Table 13: Corpus register-feature contrasts (original sample).</w:t>
        </w:r>
      </w:hyperlink>
    </w:p>
    <w:p>
      <w:pPr>
        <w:pStyle w:val="BodyText"/>
      </w:pPr>
      <w:hyperlink w:anchor="tab:register-subspace">
        <w:r>
          <w:rPr>
            <w:rStyle w:val="Hyperlink"/>
          </w:rPr>
          <w:t xml:space="preserve">Table 14: Direction-space characterisation of the removed subspace</w:t>
        </w:r>
        <w:r>
          <w:rPr>
            <w:rStyle w:val="Hyperlink"/>
          </w:rPr>
          <w:t xml:space="preserve"> </w:t>
        </w:r>
        <m:oMath>
          <m:r>
            <m:t>G</m:t>
          </m:r>
        </m:oMath>
        <w:r>
          <w:rPr>
            <w:rStyle w:val="Hyperlink"/>
          </w:rPr>
          <w:t xml:space="preserve"> </w:t>
        </w:r>
        <w:r>
          <w:rPr>
            <w:rStyle w:val="Hyperlink"/>
          </w:rPr>
          <w:t xml:space="preserve">(MPNet canon).</w:t>
        </w:r>
      </w:hyperlink>
    </w:p>
    <w:p>
      <w:pPr>
        <w:pStyle w:val="BodyText"/>
      </w:pPr>
      <w:hyperlink w:anchor="tab:register-validation-accuracy">
        <w:r>
          <w:rPr>
            <w:rStyle w:val="Hyperlink"/>
          </w:rPr>
          <w:t xml:space="preserve">Table 15: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16: 17-way SDG (topic) selectivity before and after register removal (original per-SDG-dedup sample, draw 1).</w:t>
        </w:r>
      </w:hyperlink>
    </w:p>
    <w:p>
      <w:pPr>
        <w:pStyle w:val="BodyText"/>
      </w:pPr>
      <w:hyperlink w:anchor="tab:cross-sensitivity-robustness">
        <w:r>
          <w:rPr>
            <w:rStyle w:val="Hyperlink"/>
          </w:rPr>
          <w:t xml:space="preserve">Table 17: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18: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19: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20: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21: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22: Cross-sensitivity robustness of within-SDG coverage-gap rankings across policy source and retrieval strategy.</w:t>
        </w:r>
      </w:hyperlink>
    </w:p>
    <w:p>
      <w:pPr>
        <w:pStyle w:val="BodyText"/>
      </w:pPr>
      <w:hyperlink w:anchor="tab:reference-minilm">
        <w:r>
          <w:rPr>
            <w:rStyle w:val="Hyperlink"/>
          </w:rPr>
          <w:t xml:space="preserve">Table 23: MiniLM track — per-SDG reference values (semantic-gap and coverage-predictor families).</w:t>
        </w:r>
      </w:hyperlink>
    </w:p>
    <w:p>
      <w:pPr>
        <w:pStyle w:val="BodyText"/>
      </w:pPr>
      <w:hyperlink w:anchor="tab:reference-scibert">
        <w:r>
          <w:rPr>
            <w:rStyle w:val="Hyperlink"/>
          </w:rPr>
          <w:t xml:space="preserve">Table 24: SciBERT track — per-SDG reference values (semantic-gap and coverage-predictor families).</w:t>
        </w:r>
      </w:hyperlink>
    </w:p>
    <w:p>
      <w:pPr>
        <w:pStyle w:val="BodyText"/>
      </w:pPr>
      <w:hyperlink w:anchor="tab:app-assignment-method-comparison">
        <w:r>
          <w:rPr>
            <w:rStyle w:val="Hyperlink"/>
          </w:rPr>
          <w:t xml:space="preserve">Table 25: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26: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27: Per-SDG policy source-family sensitivity: coverage share and semantic gap.</w:t>
        </w:r>
      </w:hyperlink>
    </w:p>
    <w:p>
      <w:pPr>
        <w:pStyle w:val="BodyText"/>
      </w:pPr>
      <w:hyperlink w:anchor="tab:policy-source-family-h25">
        <w:r>
          <w:rPr>
            <w:rStyle w:val="Hyperlink"/>
          </w:rPr>
          <w:t xml:space="preserve">Table 28: Per-family interaction test: coverage predictors vs the within-SDG semantic gap, raw and register-adjusted.</w:t>
        </w:r>
      </w:hyperlink>
    </w:p>
    <w:p>
      <w:pPr>
        <w:pStyle w:val="BodyText"/>
      </w:pPr>
      <w:hyperlink w:anchor="tab:k1-specification-grid">
        <w:r>
          <w:rPr>
            <w:rStyle w:val="Hyperlink"/>
          </w:rPr>
          <w:t xml:space="preserve">Table 29: Pooled OLS: coverage predictors and the within-SDG semantic gap rank across 24 configurations.</w:t>
        </w:r>
      </w:hyperlink>
    </w:p>
    <w:p>
      <w:pPr>
        <w:pStyle w:val="BodyText"/>
      </w:pPr>
      <w:hyperlink w:anchor="tab:ai-declaration">
        <w:r>
          <w:rPr>
            <w:rStyle w:val="Hyperlink"/>
          </w:rPr>
          <w:t xml:space="preserve">Table 30: Declaration of AI use.</w:t>
        </w:r>
      </w:hyperlink>
    </w:p>
    <w:p>
      <w:pPr>
        <w:sectPr>
          <w:pgNumType w:fmt="lowerRoman" w:start="1"/>
          <w:pgMar w:bottom="1701" w:footer="1134" w:gutter="0" w:header="1134" w:left="1701" w:right="1134" w:top="1701"/>
          <w:footerReference w:type="default" r:id="rIdFtrRoman"/>
        </w:sectPr>
      </w:pPr>
      <w:r>
        <w:br w:type="page"/>
      </w:r>
    </w:p>
    <w:bookmarkStart w:id="21" w:name="sec:intro"/>
    <w:p>
      <w:pPr>
        <w:pStyle w:val="Heading1"/>
        <w:keepNext/>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p>
      <w:r>
        <w:br w:type="page"/>
      </w:r>
    </w:p>
    <w:bookmarkEnd w:id="21"/>
    <w:bookmarkStart w:id="31" w:name="sec:litreview"/>
    <w:p>
      <w:pPr>
        <w:pStyle w:val="Heading1"/>
        <w:keepNext/>
      </w:pPr>
      <w:r>
        <w:t xml:space="preserve">2 Literature Review</w:t>
      </w:r>
    </w:p>
    <w:bookmarkStart w:id="22" w:name="sec:prev-biblio"/>
    <w:p>
      <w:pPr>
        <w:pStyle w:val="Heading2"/>
        <w:keepNext/>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keepNext/>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8" w:name="sec:alignment-framework"/>
    <w:p>
      <w:pPr>
        <w:pStyle w:val="Heading2"/>
        <w:keepNext/>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bookmarkStart w:id="27" w:name="fig:conceptual-framework"/>
    <w:p>
      <w:pPr>
        <w:pStyle w:val="CaptionedFigure"/>
      </w:pPr>
      <w:r>
        <w:drawing>
          <wp:inline>
            <wp:extent cx="4000500" cy="2466700"/>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466700"/>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End w:id="28"/>
    <w:bookmarkStart w:id="29" w:name="sec:semantic-methods"/>
    <w:p>
      <w:pPr>
        <w:pStyle w:val="Heading2"/>
        <w:keepNext/>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9"/>
    <w:bookmarkStart w:id="30" w:name="sec:hypotheses"/>
    <w:p>
      <w:pPr>
        <w:pStyle w:val="Heading2"/>
        <w:keepNext/>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p>
      <w:r>
        <w:br w:type="page"/>
      </w:r>
    </w:p>
    <w:bookmarkEnd w:id="30"/>
    <w:bookmarkEnd w:id="31"/>
    <w:bookmarkStart w:id="46" w:name="sec:method"/>
    <w:p>
      <w:pPr>
        <w:pStyle w:val="Heading1"/>
        <w:keepNext/>
      </w:pPr>
      <w:r>
        <w:t xml:space="preserve">3 Methodology</w:t>
      </w:r>
    </w:p>
    <w:p>
      <w:pPr>
        <w:pStyle w:val="FirstParagraph"/>
      </w:pPr>
      <w:r>
        <w:t xml:space="preserve">This study uses publicly available text data and requires no ethical approval.</w:t>
      </w:r>
    </w:p>
    <w:bookmarkStart w:id="32" w:name="sec:segmentation"/>
    <w:p>
      <w:pPr>
        <w:pStyle w:val="Heading2"/>
        <w:keepNext/>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2"/>
    <w:bookmarkStart w:id="33" w:name="sec:embedding-choice"/>
    <w:p>
      <w:pPr>
        <w:pStyle w:val="Heading2"/>
        <w:keepNext/>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 Allen Institute for AI,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3"/>
    <w:bookmarkStart w:id="34" w:name="sec:research-corpus"/>
    <w:p>
      <w:pPr>
        <w:pStyle w:val="Heading2"/>
        <w:keepNext/>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4"/>
    <w:bookmarkStart w:id="35" w:name="sec:policy-corpus"/>
    <w:p>
      <w:pPr>
        <w:pStyle w:val="Heading2"/>
        <w:keepNext/>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5"/>
    <w:bookmarkStart w:id="37" w:name="sec:supervised-classifier"/>
    <w:p>
      <w:pPr>
        <w:pStyle w:val="Heading2"/>
        <w:keepNext/>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6"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6"/>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7"/>
    <w:bookmarkStart w:id="38" w:name="sec:coverage-gap-method"/>
    <w:p>
      <w:pPr>
        <w:pStyle w:val="Heading2"/>
        <w:keepNext/>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8"/>
    <w:bookmarkStart w:id="39" w:name="sec:semantic-gap-method"/>
    <w:p>
      <w:pPr>
        <w:pStyle w:val="Heading2"/>
        <w:keepNext/>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17</w:t>
        </w:r>
      </w:hyperlink>
      <w:r>
        <w:t xml:space="preserve">, Appendix </w:t>
      </w:r>
      <w:hyperlink w:anchor="app:cross-method-section">
        <w:r>
          <w:rPr>
            <w:rStyle w:val="Hyperlink"/>
          </w:rPr>
          <w:t xml:space="preserve">H</w:t>
        </w:r>
      </w:hyperlink>
      <w:r>
        <w:t xml:space="preserve">.</w:t>
      </w:r>
    </w:p>
    <w:bookmarkEnd w:id="39"/>
    <w:bookmarkStart w:id="40" w:name="sec:register-adjustment-inlp"/>
    <w:p>
      <w:pPr>
        <w:pStyle w:val="Heading2"/>
        <w:keepNext/>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Register is partly defined by topic and domain</w:t>
      </w:r>
      <w:r>
        <w:t xml:space="preserve"> </w:t>
      </w:r>
      <w:r>
        <w:t xml:space="preserve">(Grieve et al., 2025)</w:t>
      </w:r>
      <w:r>
        <w:t xml:space="preserve">, so cross-cutting development/economics prevalence is not excluded by construction; P1/P2 show the component is not SDG topic.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Start w:id="45" w:name="sec:coverage-semantic-interaction"/>
    <w:p>
      <w:pPr>
        <w:pStyle w:val="Heading2"/>
        <w:keepNext/>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bookmarkStart w:id="44" w:name="fig:pipeline-flowchart"/>
    <w:p>
      <w:pPr>
        <w:pStyle w:val="CaptionedFigure"/>
      </w:pPr>
      <w:r>
        <w:drawing>
          <wp:inline>
            <wp:extent cx="5334000" cy="6571397"/>
            <wp:effectExtent b="0" l="0" r="0" t="0"/>
            <wp:docPr descr="" title="" id="42" name="Picture"/>
            <a:graphic>
              <a:graphicData uri="http://schemas.openxmlformats.org/drawingml/2006/picture">
                <pic:pic>
                  <pic:nvPicPr>
                    <pic:cNvPr descr="fig6_pipeline_flowchart.png" id="43" name="Picture"/>
                    <pic:cNvPicPr>
                      <a:picLocks noChangeArrowheads="1" noChangeAspect="1"/>
                    </pic:cNvPicPr>
                  </pic:nvPicPr>
                  <pic:blipFill>
                    <a:blip r:embed="rId41"/>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w:t>
      </w:r>
    </w:p>
    <w:bookmarkEnd w:id="44"/>
    <w:p>
      <w:r>
        <w:br w:type="page"/>
      </w:r>
    </w:p>
    <w:bookmarkEnd w:id="45"/>
    <w:bookmarkEnd w:id="46"/>
    <w:bookmarkStart w:id="71" w:name="sec:results"/>
    <w:p>
      <w:pPr>
        <w:pStyle w:val="Heading1"/>
        <w:keepNext/>
      </w:pPr>
      <w:r>
        <w:t xml:space="preserve">4 Results</w:t>
      </w:r>
    </w:p>
    <w:bookmarkStart w:id="49" w:name="sec:validation"/>
    <w:p>
      <w:pPr>
        <w:pStyle w:val="Heading2"/>
        <w:keepNext/>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8</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4" w:name="sec:coverage-gap"/>
    <w:p>
      <w:pPr>
        <w:pStyle w:val="Heading2"/>
        <w:keepNext/>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bookmarkStart w:id="53" w:name="fig:coverage_profiles"/>
    <w:p>
      <w:pPr>
        <w:pStyle w:val="CaptionedFigure"/>
      </w:pPr>
      <w:r>
        <w:drawing>
          <wp:inline>
            <wp:extent cx="5334000" cy="4521521"/>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4521521"/>
                    </a:xfrm>
                    <a:prstGeom prst="rect">
                      <a:avLst/>
                    </a:prstGeom>
                    <a:noFill/>
                    <a:ln w="9525">
                      <a:noFill/>
                      <a:headEnd/>
                      <a:tailEnd/>
                    </a:ln>
                  </pic:spPr>
                </pic:pic>
              </a:graphicData>
            </a:graphic>
          </wp:inline>
        </w:drawing>
      </w:r>
    </w:p>
    <w:p>
      <w:pPr>
        <w:pStyle w:val="ImageCaption"/>
        <w:keepNext/>
      </w:pPr>
      <w:r>
        <w:t xml:space="preserve">Figure 3: Coverage profiles by SDG.</w:t>
      </w:r>
    </w:p>
    <w:bookmarkEnd w:id="53"/>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4"/>
    <w:bookmarkStart w:id="63" w:name="sec:semantic-gap"/>
    <w:p>
      <w:pPr>
        <w:pStyle w:val="Heading2"/>
        <w:keepNext/>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bookmarkStart w:id="58" w:name="fig:pca-register-before-after"/>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bookmarkEnd w:id="58"/>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17</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bookmarkStart w:id="62" w:name="fig:semantic_gap"/>
    <w:p>
      <w:pPr>
        <w:pStyle w:val="CaptionedFigure"/>
      </w:pPr>
      <w:r>
        <w:drawing>
          <wp:inline>
            <wp:extent cx="4533900" cy="3843293"/>
            <wp:effectExtent b="0" l="0" r="0" t="0"/>
            <wp:docPr descr="" title="" id="60" name="Picture"/>
            <a:graphic>
              <a:graphicData uri="http://schemas.openxmlformats.org/drawingml/2006/picture">
                <pic:pic>
                  <pic:nvPicPr>
                    <pic:cNvPr descr="fig4_semantic_gap.png" id="61" name="Picture"/>
                    <pic:cNvPicPr>
                      <a:picLocks noChangeArrowheads="1" noChangeAspect="1"/>
                    </pic:cNvPicPr>
                  </pic:nvPicPr>
                  <pic:blipFill>
                    <a:blip r:embed="rId59"/>
                    <a:stretch>
                      <a:fillRect/>
                    </a:stretch>
                  </pic:blipFill>
                  <pic:spPr bwMode="auto">
                    <a:xfrm>
                      <a:off x="0" y="0"/>
                      <a:ext cx="4533900" cy="3843293"/>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bookmarkEnd w:id="62"/>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Figures </w:t>
      </w:r>
      <w:hyperlink w:anchor="fig:coverage_profiles">
        <w:r>
          <w:rPr>
            <w:rStyle w:val="Hyperlink"/>
          </w:rPr>
          <w:t xml:space="preserve">3</w:t>
        </w:r>
      </w:hyperlink>
      <w:r>
        <w:t xml:space="preserve"> </w:t>
      </w:r>
      <w:r>
        <w:t xml:space="preserve">and </w:t>
      </w:r>
      <w:hyperlink w:anchor="fig:semantic_gap">
        <w:r>
          <w:rPr>
            <w:rStyle w:val="Hyperlink"/>
          </w:rPr>
          <w:t xml:space="preserve">5</w:t>
        </w:r>
      </w:hyperlink>
      <w:r>
        <w:t xml:space="preserve"> </w:t>
      </w:r>
      <w:r>
        <w:t xml:space="preserve">report the per-SDG coverage-predictor and semantic-gap values underlying the interaction tests.</w:t>
      </w:r>
    </w:p>
    <w:bookmarkEnd w:id="63"/>
    <w:bookmarkStart w:id="69" w:name="sec:interaction"/>
    <w:p>
      <w:pPr>
        <w:pStyle w:val="Heading2"/>
        <w:keepNext/>
      </w:pPr>
      <w:r>
        <w:t xml:space="preserve">4.4 Coverage–Semantic Interaction: Results</w:t>
      </w:r>
    </w:p>
    <w:p>
      <w:pPr>
        <w:pStyle w:val="FirstParagraph"/>
      </w:pPr>
      <w:r>
        <w:t xml:space="preserve">Table </w:t>
      </w:r>
      <w:hyperlink w:anchor="tab:interaction">
        <w:r>
          <w:rPr>
            <w:rStyle w:val="Hyperlink"/>
          </w:rPr>
          <w:t xml:space="preserve">4</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4" w:name="tab:interaction"/>
    <w:p>
      <w:pPr>
        <w:pStyle w:val="TableCaption"/>
        <w:keepNext/>
      </w:pPr>
      <w:r>
        <w:t xml:space="preserve">Table 4: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Raw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4"/>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28</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bookmarkStart w:id="68" w:name="fig:typology_scatter"/>
    <w:p>
      <w:pPr>
        <w:pStyle w:val="CaptionedFigure"/>
      </w:pPr>
      <w:r>
        <w:drawing>
          <wp:inline>
            <wp:extent cx="5334000" cy="5738836"/>
            <wp:effectExtent b="0" l="0" r="0" t="0"/>
            <wp:docPr descr="" title="" id="66" name="Picture"/>
            <a:graphic>
              <a:graphicData uri="http://schemas.openxmlformats.org/drawingml/2006/picture">
                <pic:pic>
                  <pic:nvPicPr>
                    <pic:cNvPr descr="fig9_h1_grid.png" id="67" name="Picture"/>
                    <pic:cNvPicPr>
                      <a:picLocks noChangeArrowheads="1" noChangeAspect="1"/>
                    </pic:cNvPicPr>
                  </pic:nvPicPr>
                  <pic:blipFill>
                    <a:blip r:embed="rId65"/>
                    <a:stretch>
                      <a:fillRect/>
                    </a:stretch>
                  </pic:blipFill>
                  <pic:spPr bwMode="auto">
                    <a:xfrm>
                      <a:off x="0" y="0"/>
                      <a:ext cx="5334000" cy="5738836"/>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bookmarkEnd w:id="68"/>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69"/>
    <w:bookmarkStart w:id="70" w:name="sec:robustness"/>
    <w:p>
      <w:pPr>
        <w:pStyle w:val="Heading2"/>
        <w:keepNext/>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17</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18</w:t>
        </w:r>
      </w:hyperlink>
      <w:r>
        <w:t xml:space="preserve">). The same holds for coverage (Table </w:t>
      </w:r>
      <w:hyperlink w:anchor="tab:cross-sensitivity-coverage">
        <w:r>
          <w:rPr>
            <w:rStyle w:val="Hyperlink"/>
          </w:rPr>
          <w:t xml:space="preserve">22</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21</w:t>
        </w:r>
      </w:hyperlink>
      <w:r>
        <w:t xml:space="preserve">). Semantic-gap magnitude is encoder-dependent (SciBERT: 0.043 vs. MPNet: 0.340) because scientific pretraining fuses the genres</w:t>
      </w:r>
      <w:r>
        <w:t xml:space="preserve"> </w:t>
      </w:r>
      <w:r>
        <w:t xml:space="preserve">(Beltagy et al., 2019; Allen Institute for AI, 2019)</w:t>
      </w:r>
      <w:r>
        <w:t xml:space="preserve">, and the divergence conclusion holds (Table </w:t>
      </w:r>
      <w:hyperlink w:anchor="tab:encoder-sensitivity-semantic">
        <w:r>
          <w:rPr>
            <w:rStyle w:val="Hyperlink"/>
          </w:rPr>
          <w:t xml:space="preserve">19</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19</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p>
      <w:r>
        <w:br w:type="page"/>
      </w:r>
    </w:p>
    <w:bookmarkEnd w:id="70"/>
    <w:bookmarkEnd w:id="71"/>
    <w:bookmarkStart w:id="78" w:name="sec:discussion"/>
    <w:p>
      <w:pPr>
        <w:pStyle w:val="Heading1"/>
        <w:keepNext/>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4</w:t>
        </w:r>
      </w:hyperlink>
      <w:r>
        <w:t xml:space="preserve">).</w:t>
      </w:r>
    </w:p>
    <w:bookmarkStart w:id="72" w:name="sec:discussion-cancellation"/>
    <w:p>
      <w:pPr>
        <w:pStyle w:val="Heading2"/>
        <w:keepNext/>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4</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21</w:t>
        </w:r>
      </w:hyperlink>
      <w:r>
        <w:t xml:space="preserve">). Scientific pretraining</w:t>
      </w:r>
      <w:r>
        <w:t xml:space="preserve"> </w:t>
      </w:r>
      <w:r>
        <w:t xml:space="preserve">(Beltagy et al., 2019; Allen Institute for AI, 2019)</w:t>
      </w:r>
      <w:r>
        <w:t xml:space="preserve"> </w:t>
      </w:r>
      <w:r>
        <w:t xml:space="preserve">fuses the registers because both use scientific conventions, which the decomposition expects.</w:t>
      </w:r>
    </w:p>
    <w:bookmarkEnd w:id="72"/>
    <w:bookmarkStart w:id="73" w:name="two-communities-two-dimensions"/>
    <w:p>
      <w:pPr>
        <w:pStyle w:val="Heading2"/>
        <w:keepNext/>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4</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4</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3"/>
    <w:bookmarkStart w:id="74" w:name="X4c808c234078a0e9b2cd8fadd33758f5597bbdf"/>
    <w:p>
      <w:pPr>
        <w:pStyle w:val="Heading2"/>
        <w:keepNext/>
      </w:pPr>
      <w:r>
        <w:t xml:space="preserve">5.3 The register decomposition: what the raw gap actually measures</w:t>
      </w:r>
    </w:p>
    <w:p>
      <w:pPr>
        <w:pStyle w:val="FirstParagraph"/>
      </w:pPr>
      <w:r>
        <w:t xml:space="preserve">For 16 of 17 SDGs, the register component is positive (+0.076 to +0.261, Fig. </w:t>
      </w:r>
      <w:hyperlink w:anchor="fig:semantic_gap">
        <w:r>
          <w:rPr>
            <w:rStyle w:val="Hyperlink"/>
          </w:rPr>
          <w:t xml:space="preserve">5</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4"/>
    <w:bookmarkStart w:id="75" w:name="sec:level0"/>
    <w:p>
      <w:pPr>
        <w:pStyle w:val="Heading2"/>
        <w:keepNext/>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5"/>
    <w:bookmarkStart w:id="76" w:name="sec:limitations"/>
    <w:p>
      <w:pPr>
        <w:pStyle w:val="Heading2"/>
        <w:keepNext/>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4</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6"/>
    <w:bookmarkStart w:id="77" w:name="sec:framework-contribution"/>
    <w:p>
      <w:pPr>
        <w:pStyle w:val="Heading2"/>
        <w:keepNext/>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17</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mean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p>
      <w:r>
        <w:br w:type="page"/>
      </w:r>
    </w:p>
    <w:bookmarkEnd w:id="77"/>
    <w:bookmarkEnd w:id="78"/>
    <w:bookmarkStart w:id="79" w:name="sec:conclusion"/>
    <w:p>
      <w:pPr>
        <w:pStyle w:val="Heading1"/>
        <w:keepNext/>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p>
      <w:r>
        <w:br w:type="page"/>
      </w:r>
    </w:p>
    <w:bookmarkEnd w:id="79"/>
    <w:p>
      <w:pPr>
        <w:pStyle w:val="Heading1"/>
        <w:keepNext/>
      </w:pPr>
      <w:r>
        <w:t xml:space="preserve">Reference list</w:t>
      </w:r>
    </w:p>
    <w:bookmarkStart w:id="225" w:name="refs"/>
    <w:bookmarkStart w:id="81" w:name="ref-AbadieAtheyImbensWooldridge2020"/>
    <w:p>
      <w:pPr>
        <w:pStyle w:val="Bibliography"/>
        <w:ind w:firstLine="-720" w:left="720"/>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0">
        <w:r>
          <w:rPr>
            <w:rStyle w:val="Hyperlink"/>
          </w:rPr>
          <w:t xml:space="preserve">10.3982/ECTA12675</w:t>
        </w:r>
      </w:hyperlink>
      <w:r>
        <w:t xml:space="preserve">.</w:t>
      </w:r>
    </w:p>
    <w:bookmarkEnd w:id="81"/>
    <w:bookmarkStart w:id="83" w:name="Xe69124483ecfc12a2bd02b6434c1ef42f6793ad"/>
    <w:p>
      <w:pPr>
        <w:pStyle w:val="Bibliography"/>
        <w:ind w:firstLine="-720" w:left="720"/>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2">
        <w:r>
          <w:rPr>
            <w:rStyle w:val="Hyperlink"/>
          </w:rPr>
          <w:t xml:space="preserve">https://arxiv.org/abs/1610.01644</w:t>
        </w:r>
      </w:hyperlink>
      <w:r>
        <w:t xml:space="preserve">.</w:t>
      </w:r>
    </w:p>
    <w:bookmarkEnd w:id="83"/>
    <w:bookmarkStart w:id="84" w:name="ref-AllenAI2019Scibert"/>
    <w:p>
      <w:pPr>
        <w:pStyle w:val="Bibliography"/>
        <w:ind w:firstLine="-720" w:left="720"/>
      </w:pPr>
      <w:r>
        <w:t xml:space="preserve">Allen Institute for AI (2019)</w:t>
      </w:r>
      <w:r>
        <w:t xml:space="preserve"> </w:t>
      </w:r>
      <w:r>
        <w:rPr>
          <w:iCs/>
          <w:i/>
        </w:rPr>
        <w:t xml:space="preserve">SciBERT</w:t>
      </w:r>
      <w:r>
        <w:t xml:space="preserve">.</w:t>
      </w:r>
    </w:p>
    <w:bookmarkEnd w:id="84"/>
    <w:bookmarkStart w:id="86" w:name="ref-Armitage2020"/>
    <w:p>
      <w:pPr>
        <w:pStyle w:val="Bibliography"/>
        <w:ind w:firstLine="-720" w:left="720"/>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5">
        <w:r>
          <w:rPr>
            <w:rStyle w:val="Hyperlink"/>
          </w:rPr>
          <w:t xml:space="preserve">10.1162/qss_a_00071</w:t>
        </w:r>
      </w:hyperlink>
      <w:r>
        <w:t xml:space="preserve">.</w:t>
      </w:r>
    </w:p>
    <w:bookmarkEnd w:id="86"/>
    <w:bookmarkStart w:id="88" w:name="ref-Babic2020"/>
    <w:p>
      <w:pPr>
        <w:pStyle w:val="Bibliography"/>
        <w:ind w:firstLine="-720" w:left="720"/>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7">
        <w:r>
          <w:rPr>
            <w:rStyle w:val="Hyperlink"/>
          </w:rPr>
          <w:t xml:space="preserve">10.31341/jios.44.2.2</w:t>
        </w:r>
      </w:hyperlink>
      <w:r>
        <w:t xml:space="preserve">.</w:t>
      </w:r>
    </w:p>
    <w:bookmarkEnd w:id="88"/>
    <w:bookmarkStart w:id="90" w:name="ref-BautistaPuig2021"/>
    <w:p>
      <w:pPr>
        <w:pStyle w:val="Bibliography"/>
        <w:ind w:firstLine="-720" w:left="720"/>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89">
        <w:r>
          <w:rPr>
            <w:rStyle w:val="Hyperlink"/>
          </w:rPr>
          <w:t xml:space="preserve">10.3389/frsus.2021.620743</w:t>
        </w:r>
      </w:hyperlink>
      <w:r>
        <w:t xml:space="preserve">.</w:t>
      </w:r>
    </w:p>
    <w:bookmarkEnd w:id="90"/>
    <w:bookmarkStart w:id="92" w:name="ref-Beltagy2019"/>
    <w:p>
      <w:pPr>
        <w:pStyle w:val="Bibliography"/>
        <w:ind w:firstLine="-720" w:left="720"/>
      </w:pPr>
      <w:r>
        <w:t xml:space="preserve">Beltagy, I., Lo, K. and Cohan, A. (2019) SciBERT: A pretrained language model for scientific text.</w:t>
      </w:r>
      <w:r>
        <w:t xml:space="preserve"> </w:t>
      </w:r>
      <w:r>
        <w:rPr>
          <w:iCs/>
          <w:i/>
        </w:rPr>
        <w:t xml:space="preserve">arXiv preprint arXiv:1903.10676</w:t>
      </w:r>
      <w:r>
        <w:t xml:space="preserve">. doi:</w:t>
      </w:r>
      <w:hyperlink r:id="rId91">
        <w:r>
          <w:rPr>
            <w:rStyle w:val="Hyperlink"/>
          </w:rPr>
          <w:t xml:space="preserve">10.48550/arXiv.1903.10676</w:t>
        </w:r>
      </w:hyperlink>
      <w:r>
        <w:t xml:space="preserve">.</w:t>
      </w:r>
    </w:p>
    <w:bookmarkEnd w:id="92"/>
    <w:bookmarkStart w:id="94" w:name="ref-BerkWesternWeiss1995"/>
    <w:p>
      <w:pPr>
        <w:pStyle w:val="Bibliography"/>
        <w:ind w:firstLine="-720" w:left="720"/>
      </w:pPr>
      <w:r>
        <w:t xml:space="preserve">Berk, R.A., Western, B. and Weiss, R.E. (1995) Statistical inference for apparent populations.</w:t>
      </w:r>
      <w:r>
        <w:t xml:space="preserve"> </w:t>
      </w:r>
      <w:r>
        <w:rPr>
          <w:iCs/>
          <w:i/>
        </w:rPr>
        <w:t xml:space="preserve">Sociological Methodology</w:t>
      </w:r>
      <w:r>
        <w:t xml:space="preserve">, 25: 421–458. doi:</w:t>
      </w:r>
      <w:hyperlink r:id="rId93">
        <w:r>
          <w:rPr>
            <w:rStyle w:val="Hyperlink"/>
          </w:rPr>
          <w:t xml:space="preserve">10.2307/271073</w:t>
        </w:r>
      </w:hyperlink>
      <w:r>
        <w:t xml:space="preserve">.</w:t>
      </w:r>
    </w:p>
    <w:bookmarkEnd w:id="94"/>
    <w:bookmarkStart w:id="96" w:name="ref-BexellJonsson2017"/>
    <w:p>
      <w:pPr>
        <w:pStyle w:val="Bibliography"/>
        <w:ind w:firstLine="-720" w:left="720"/>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5">
        <w:r>
          <w:rPr>
            <w:rStyle w:val="Hyperlink"/>
          </w:rPr>
          <w:t xml:space="preserve">10.1080/08039410.2016.1252424</w:t>
        </w:r>
      </w:hyperlink>
      <w:r>
        <w:t xml:space="preserve">.</w:t>
      </w:r>
    </w:p>
    <w:bookmarkEnd w:id="96"/>
    <w:bookmarkStart w:id="98" w:name="ref-biber1988variation"/>
    <w:p>
      <w:pPr>
        <w:pStyle w:val="Bibliography"/>
        <w:ind w:firstLine="-720" w:left="720"/>
      </w:pPr>
      <w:r>
        <w:t xml:space="preserve">Biber, D. (1988)</w:t>
      </w:r>
      <w:r>
        <w:t xml:space="preserve"> </w:t>
      </w:r>
      <w:r>
        <w:rPr>
          <w:iCs/>
          <w:i/>
        </w:rPr>
        <w:t xml:space="preserve">Variation across speech and writing</w:t>
      </w:r>
      <w:r>
        <w:t xml:space="preserve">. Cambridge: Cambridge University Press. doi:</w:t>
      </w:r>
      <w:hyperlink r:id="rId97">
        <w:r>
          <w:rPr>
            <w:rStyle w:val="Hyperlink"/>
          </w:rPr>
          <w:t xml:space="preserve">10.1017/CBO9780511621024</w:t>
        </w:r>
      </w:hyperlink>
      <w:r>
        <w:t xml:space="preserve">.</w:t>
      </w:r>
    </w:p>
    <w:bookmarkEnd w:id="98"/>
    <w:bookmarkStart w:id="100" w:name="ref-biberConrad2009register"/>
    <w:p>
      <w:pPr>
        <w:pStyle w:val="Bibliography"/>
        <w:ind w:firstLine="-720" w:left="720"/>
      </w:pPr>
      <w:r>
        <w:t xml:space="preserve">Biber, D. and Conrad, S. (2009)</w:t>
      </w:r>
      <w:r>
        <w:t xml:space="preserve"> </w:t>
      </w:r>
      <w:r>
        <w:rPr>
          <w:iCs/>
          <w:i/>
        </w:rPr>
        <w:t xml:space="preserve">Register, genre, and style</w:t>
      </w:r>
      <w:r>
        <w:t xml:space="preserve">. Cambridge: Cambridge University Press. doi:</w:t>
      </w:r>
      <w:hyperlink r:id="rId99">
        <w:r>
          <w:rPr>
            <w:rStyle w:val="Hyperlink"/>
          </w:rPr>
          <w:t xml:space="preserve">10.1017/CBO9780511814358</w:t>
        </w:r>
      </w:hyperlink>
      <w:r>
        <w:t xml:space="preserve">.</w:t>
      </w:r>
    </w:p>
    <w:bookmarkEnd w:id="100"/>
    <w:bookmarkStart w:id="102" w:name="ref-bolukbasi2016man"/>
    <w:p>
      <w:pPr>
        <w:pStyle w:val="Bibliography"/>
        <w:ind w:firstLine="-720" w:left="720"/>
      </w:pPr>
      <w:r>
        <w:t xml:space="preserve">Bolukbasi, T., Chang, K.-W., Zou, J., et al. (2016)</w:t>
      </w:r>
      <w:r>
        <w:t xml:space="preserve"> </w:t>
      </w:r>
      <w:r>
        <w:t xml:space="preserve">“Man is to computer programmer as woman is to homemaker? Debiasing word embeddings.”</w:t>
      </w:r>
      <w:r>
        <w:t xml:space="preserve"> </w:t>
      </w:r>
      <w:r>
        <w:t xml:space="preserve">In</w:t>
      </w:r>
      <w:r>
        <w:t xml:space="preserve"> </w:t>
      </w:r>
      <w:r>
        <w:rPr>
          <w:iCs/>
          <w:i/>
        </w:rPr>
        <w:t xml:space="preserve">Advances in neural information processing systems (NeurIPS)</w:t>
      </w:r>
      <w:r>
        <w:t xml:space="preserve">. 2016. pp. 4349–4357. Available at:</w:t>
      </w:r>
      <w:r>
        <w:t xml:space="preserve"> </w:t>
      </w:r>
      <w:hyperlink r:id="rId101">
        <w:r>
          <w:rPr>
            <w:rStyle w:val="Hyperlink"/>
          </w:rPr>
          <w:t xml:space="preserve">https://arxiv.org/abs/1607.06520</w:t>
        </w:r>
      </w:hyperlink>
      <w:r>
        <w:t xml:space="preserve">.</w:t>
      </w:r>
    </w:p>
    <w:bookmarkEnd w:id="102"/>
    <w:bookmarkStart w:id="104" w:name="ref-Bonneel2015"/>
    <w:p>
      <w:pPr>
        <w:pStyle w:val="Bibliography"/>
        <w:ind w:firstLine="-720" w:left="720"/>
      </w:pPr>
      <w:r>
        <w:t xml:space="preserve">Bonneel, N., Rabin, J., Peyré, G., et al. (2015) Sliced and radon wasserstein barycenters of measures.</w:t>
      </w:r>
      <w:r>
        <w:t xml:space="preserve"> </w:t>
      </w:r>
      <w:r>
        <w:rPr>
          <w:iCs/>
          <w:i/>
        </w:rPr>
        <w:t xml:space="preserve">Journal of Mathematical Imaging and Vision</w:t>
      </w:r>
      <w:r>
        <w:t xml:space="preserve">, 51: 22–45. doi:</w:t>
      </w:r>
      <w:hyperlink r:id="rId103">
        <w:r>
          <w:rPr>
            <w:rStyle w:val="Hyperlink"/>
          </w:rPr>
          <w:t xml:space="preserve">10.1007/s10851-014-0506-3</w:t>
        </w:r>
      </w:hyperlink>
      <w:r>
        <w:t xml:space="preserve">.</w:t>
      </w:r>
    </w:p>
    <w:bookmarkEnd w:id="104"/>
    <w:bookmarkStart w:id="106" w:name="ref-Borgefors1988"/>
    <w:p>
      <w:pPr>
        <w:pStyle w:val="Bibliography"/>
        <w:ind w:firstLine="-720" w:left="720"/>
      </w:pPr>
      <w:r>
        <w:t xml:space="preserve">Borgefors, G. (1988) Hierarchical chamfer matching: A parametric edge matching algorithm.</w:t>
      </w:r>
      <w:r>
        <w:t xml:space="preserve"> </w:t>
      </w:r>
      <w:r>
        <w:rPr>
          <w:iCs/>
          <w:i/>
        </w:rPr>
        <w:t xml:space="preserve">IEEE Transactions on Pattern Analysis and Machine Intelligence</w:t>
      </w:r>
      <w:r>
        <w:t xml:space="preserve">, 10 (6): 849–865. doi:</w:t>
      </w:r>
      <w:hyperlink r:id="rId105">
        <w:r>
          <w:rPr>
            <w:rStyle w:val="Hyperlink"/>
          </w:rPr>
          <w:t xml:space="preserve">10.1109/34.9108</w:t>
        </w:r>
      </w:hyperlink>
      <w:r>
        <w:t xml:space="preserve">.</w:t>
      </w:r>
    </w:p>
    <w:bookmarkEnd w:id="106"/>
    <w:bookmarkStart w:id="108" w:name="ref-bornmann2016policy"/>
    <w:p>
      <w:pPr>
        <w:pStyle w:val="Bibliography"/>
        <w:ind w:firstLine="-720" w:left="720"/>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7">
        <w:r>
          <w:rPr>
            <w:rStyle w:val="Hyperlink"/>
          </w:rPr>
          <w:t xml:space="preserve">10.1007/s11192-016-2115-y</w:t>
        </w:r>
      </w:hyperlink>
      <w:r>
        <w:t xml:space="preserve">.</w:t>
      </w:r>
    </w:p>
    <w:bookmarkEnd w:id="108"/>
    <w:bookmarkStart w:id="110" w:name="ref-vorderbruck2019text"/>
    <w:p>
      <w:pPr>
        <w:pStyle w:val="Bibliography"/>
        <w:ind w:firstLine="-720" w:left="720"/>
      </w:pPr>
      <w:r>
        <w:t xml:space="preserve">Brück, T. vor der and Pouly, M.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9">
        <w:r>
          <w:rPr>
            <w:rStyle w:val="Hyperlink"/>
          </w:rPr>
          <w:t xml:space="preserve">10.18653/v1/N19-1181</w:t>
        </w:r>
      </w:hyperlink>
      <w:r>
        <w:t xml:space="preserve">.</w:t>
      </w:r>
    </w:p>
    <w:bookmarkEnd w:id="110"/>
    <w:bookmarkStart w:id="112" w:name="ref-Caplan1979"/>
    <w:p>
      <w:pPr>
        <w:pStyle w:val="Bibliography"/>
        <w:ind w:firstLine="-720" w:left="720"/>
      </w:pPr>
      <w:r>
        <w:t xml:space="preserve">Caplan, N. (1979) The two-communities theory and knowledge utilization.</w:t>
      </w:r>
      <w:r>
        <w:t xml:space="preserve"> </w:t>
      </w:r>
      <w:r>
        <w:rPr>
          <w:iCs/>
          <w:i/>
        </w:rPr>
        <w:t xml:space="preserve">American Behavioral Scientist</w:t>
      </w:r>
      <w:r>
        <w:t xml:space="preserve">, 22 (3): 459–470. doi:</w:t>
      </w:r>
      <w:hyperlink r:id="rId111">
        <w:r>
          <w:rPr>
            <w:rStyle w:val="Hyperlink"/>
          </w:rPr>
          <w:t xml:space="preserve">10.1177/000276427902200308</w:t>
        </w:r>
      </w:hyperlink>
      <w:r>
        <w:t xml:space="preserve">.</w:t>
      </w:r>
    </w:p>
    <w:bookmarkEnd w:id="112"/>
    <w:bookmarkStart w:id="114" w:name="ref-Cash2003"/>
    <w:p>
      <w:pPr>
        <w:pStyle w:val="Bibliography"/>
        <w:ind w:firstLine="-720" w:left="720"/>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3">
        <w:r>
          <w:rPr>
            <w:rStyle w:val="Hyperlink"/>
          </w:rPr>
          <w:t xml:space="preserve">10.1073/pnas.1231332100</w:t>
        </w:r>
      </w:hyperlink>
      <w:r>
        <w:t xml:space="preserve">.</w:t>
      </w:r>
    </w:p>
    <w:bookmarkEnd w:id="114"/>
    <w:bookmarkStart w:id="116" w:name="ref-conneau2018cramsinglevectorprobing"/>
    <w:p>
      <w:pPr>
        <w:pStyle w:val="Bibliography"/>
        <w:ind w:firstLine="-720" w:left="720"/>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5">
        <w:r>
          <w:rPr>
            <w:rStyle w:val="Hyperlink"/>
          </w:rPr>
          <w:t xml:space="preserve">https://arxiv.org/abs/1805.01070</w:t>
        </w:r>
      </w:hyperlink>
      <w:r>
        <w:t xml:space="preserve">.</w:t>
      </w:r>
    </w:p>
    <w:bookmarkEnd w:id="116"/>
    <w:bookmarkStart w:id="118" w:name="ref-CoverHart1967"/>
    <w:p>
      <w:pPr>
        <w:pStyle w:val="Bibliography"/>
        <w:ind w:firstLine="-720" w:left="720"/>
      </w:pPr>
      <w:r>
        <w:t xml:space="preserve">Cover, T.M. and Hart, P.E. (1967) Nearest neighbor pattern classification.</w:t>
      </w:r>
      <w:r>
        <w:t xml:space="preserve"> </w:t>
      </w:r>
      <w:r>
        <w:rPr>
          <w:iCs/>
          <w:i/>
        </w:rPr>
        <w:t xml:space="preserve">IEEE Transactions on Information Theory</w:t>
      </w:r>
      <w:r>
        <w:t xml:space="preserve">, 13 (1): 21–27. doi:</w:t>
      </w:r>
      <w:hyperlink r:id="rId117">
        <w:r>
          <w:rPr>
            <w:rStyle w:val="Hyperlink"/>
          </w:rPr>
          <w:t xml:space="preserve">10.1109/TIT.1967.1053964</w:t>
        </w:r>
      </w:hyperlink>
      <w:r>
        <w:t xml:space="preserve">.</w:t>
      </w:r>
    </w:p>
    <w:bookmarkEnd w:id="118"/>
    <w:bookmarkStart w:id="120" w:name="ref-Cowls2021"/>
    <w:p>
      <w:pPr>
        <w:pStyle w:val="Bibliography"/>
        <w:ind w:firstLine="-720" w:left="720"/>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9">
        <w:r>
          <w:rPr>
            <w:rStyle w:val="Hyperlink"/>
          </w:rPr>
          <w:t xml:space="preserve">10.1038/s42256-021-00296-0</w:t>
        </w:r>
      </w:hyperlink>
      <w:r>
        <w:t xml:space="preserve">.</w:t>
      </w:r>
    </w:p>
    <w:bookmarkEnd w:id="120"/>
    <w:bookmarkStart w:id="121" w:name="ref-Cuturi2013"/>
    <w:p>
      <w:pPr>
        <w:pStyle w:val="Bibliography"/>
        <w:ind w:firstLine="-720" w:left="720"/>
      </w:pPr>
      <w:r>
        <w:t xml:space="preserve">Cuturi, M. (2013)</w:t>
      </w:r>
      <w:r>
        <w:t xml:space="preserve"> </w:t>
      </w:r>
      <w:r>
        <w:t xml:space="preserve">“Sinkhorn distances: Lightspeed computation of optimal transport.”</w:t>
      </w:r>
      <w:r>
        <w:t xml:space="preserve"> </w:t>
      </w:r>
      <w:r>
        <w:t xml:space="preserve">In Burges, C.J., Bottou, L., Welling, M., et al. (eds.).</w:t>
      </w:r>
      <w:r>
        <w:t xml:space="preserve"> </w:t>
      </w:r>
      <w:r>
        <w:rPr>
          <w:iCs/>
          <w:i/>
        </w:rPr>
        <w:t xml:space="preserve">Advances in neural information processing systems 26 (NIPS 2013)</w:t>
      </w:r>
      <w:r>
        <w:t xml:space="preserve">. 2013. Curran Associates, Inc. pp. 2292–2300.</w:t>
      </w:r>
    </w:p>
    <w:bookmarkEnd w:id="121"/>
    <w:bookmarkStart w:id="123" w:name="ref-elazar2021amnesic"/>
    <w:p>
      <w:pPr>
        <w:pStyle w:val="Bibliography"/>
        <w:ind w:firstLine="-720" w:left="720"/>
      </w:pPr>
      <w:r>
        <w:t xml:space="preserve">Elazar, Y., Jacovi, A. and Goldberg, Y. (2021) Amnesic probing: Behavioral explanation with amnesic counterfactuals.</w:t>
      </w:r>
      <w:r>
        <w:t xml:space="preserve"> </w:t>
      </w:r>
      <w:r>
        <w:rPr>
          <w:iCs/>
          <w:i/>
        </w:rPr>
        <w:t xml:space="preserve">Transactions of the Association for Computational Linguistics</w:t>
      </w:r>
      <w:r>
        <w:t xml:space="preserve">, 9: 643–658. doi:</w:t>
      </w:r>
      <w:hyperlink r:id="rId122">
        <w:r>
          <w:rPr>
            <w:rStyle w:val="Hyperlink"/>
          </w:rPr>
          <w:t xml:space="preserve">10.1162/tacl_a_00359</w:t>
        </w:r>
      </w:hyperlink>
      <w:r>
        <w:t xml:space="preserve">.</w:t>
      </w:r>
    </w:p>
    <w:bookmarkEnd w:id="123"/>
    <w:bookmarkStart w:id="125" w:name="ref-ethayarajh2019contextual"/>
    <w:p>
      <w:pPr>
        <w:pStyle w:val="Bibliography"/>
        <w:ind w:firstLine="-720" w:left="720"/>
      </w:pPr>
      <w:r>
        <w:t xml:space="preserve">Ethayarajh, K. (2019) How contextual are contextualized word representations? Comparing the geometry of</w:t>
      </w:r>
      <w:r>
        <w:t xml:space="preserve"> </w:t>
      </w:r>
      <w:r>
        <w:t xml:space="preserve">BERT</w:t>
      </w:r>
      <w:r>
        <w:t xml:space="preserve">,</w:t>
      </w:r>
      <w:r>
        <w:t xml:space="preserve"> </w:t>
      </w:r>
      <w:r>
        <w:t xml:space="preserve">ELMo</w:t>
      </w:r>
      <w:r>
        <w:t xml:space="preserve">, and</w:t>
      </w:r>
      <w:r>
        <w:t xml:space="preserve"> </w:t>
      </w:r>
      <w:r>
        <w:t xml:space="preserve">GPT-2</w:t>
      </w:r>
      <w:r>
        <w:t xml:space="preserve"> </w:t>
      </w:r>
      <w:r>
        <w:t xml:space="preserve">embeddings.</w:t>
      </w:r>
      <w:r>
        <w:t xml:space="preserve"> </w:t>
      </w:r>
      <w:r>
        <w:rPr>
          <w:iCs/>
          <w:i/>
        </w:rPr>
        <w:t xml:space="preserve">Proceedings of the 2019 Conference on Empirical Methods in Natural Language Processing and the 9th International Joint Conference on Natural Language Processing (EMNLP-IJCNLP)</w:t>
      </w:r>
      <w:r>
        <w:t xml:space="preserve">, pp. 55–65. doi:</w:t>
      </w:r>
      <w:hyperlink r:id="rId124">
        <w:r>
          <w:rPr>
            <w:rStyle w:val="Hyperlink"/>
          </w:rPr>
          <w:t xml:space="preserve">10.18653/v1/D19-1006</w:t>
        </w:r>
      </w:hyperlink>
      <w:r>
        <w:t xml:space="preserve">.</w:t>
      </w:r>
    </w:p>
    <w:bookmarkEnd w:id="125"/>
    <w:bookmarkStart w:id="127" w:name="ref-EUAI2024"/>
    <w:p>
      <w:pPr>
        <w:pStyle w:val="Bibliography"/>
        <w:ind w:firstLine="-720" w:left="720"/>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26">
        <w:r>
          <w:rPr>
            <w:rStyle w:val="Hyperlink"/>
          </w:rPr>
          <w:t xml:space="preserve">https://eur-lex.europa.eu/legal-content/EN/TXT/?uri=CELEX:32024R1689</w:t>
        </w:r>
      </w:hyperlink>
      <w:r>
        <w:t xml:space="preserve">.</w:t>
      </w:r>
    </w:p>
    <w:bookmarkEnd w:id="127"/>
    <w:bookmarkStart w:id="129" w:name="ref-FukudaParr2016"/>
    <w:p>
      <w:pPr>
        <w:pStyle w:val="Bibliography"/>
        <w:ind w:firstLine="-720" w:left="720"/>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8">
        <w:r>
          <w:rPr>
            <w:rStyle w:val="Hyperlink"/>
          </w:rPr>
          <w:t xml:space="preserve">10.1080/13552074.2016.1145895</w:t>
        </w:r>
      </w:hyperlink>
      <w:r>
        <w:t xml:space="preserve">.</w:t>
      </w:r>
    </w:p>
    <w:bookmarkEnd w:id="129"/>
    <w:bookmarkStart w:id="131" w:name="ref-Gibbons1994"/>
    <w:p>
      <w:pPr>
        <w:pStyle w:val="Bibliography"/>
        <w:ind w:firstLine="-720" w:left="720"/>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 doi:</w:t>
      </w:r>
      <w:hyperlink r:id="rId130">
        <w:r>
          <w:rPr>
            <w:rStyle w:val="Hyperlink"/>
          </w:rPr>
          <w:t xml:space="preserve">10.4135/9781446221853</w:t>
        </w:r>
      </w:hyperlink>
      <w:r>
        <w:t xml:space="preserve">.</w:t>
      </w:r>
    </w:p>
    <w:bookmarkEnd w:id="131"/>
    <w:bookmarkStart w:id="133" w:name="ref-Gjorgjevikj2025"/>
    <w:p>
      <w:pPr>
        <w:pStyle w:val="Bibliography"/>
        <w:ind w:firstLine="-720" w:left="720"/>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32">
        <w:r>
          <w:rPr>
            <w:rStyle w:val="Hyperlink"/>
          </w:rPr>
          <w:t xml:space="preserve">10.1109/ACCESS.2025.3595894</w:t>
        </w:r>
      </w:hyperlink>
      <w:r>
        <w:t xml:space="preserve">.</w:t>
      </w:r>
    </w:p>
    <w:bookmarkEnd w:id="133"/>
    <w:bookmarkStart w:id="135" w:name="ref-Gohr2025AiSdgs"/>
    <w:p>
      <w:pPr>
        <w:pStyle w:val="Bibliography"/>
        <w:ind w:firstLine="-720" w:left="720"/>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34">
        <w:r>
          <w:rPr>
            <w:rStyle w:val="Hyperlink"/>
          </w:rPr>
          <w:t xml:space="preserve">10.1038/s41893-025-01598-6</w:t>
        </w:r>
      </w:hyperlink>
      <w:r>
        <w:t xml:space="preserve">.</w:t>
      </w:r>
    </w:p>
    <w:bookmarkEnd w:id="135"/>
    <w:bookmarkStart w:id="137" w:name="ref-gonen2019lipstick"/>
    <w:p>
      <w:pPr>
        <w:pStyle w:val="Bibliography"/>
        <w:ind w:firstLine="-720" w:left="720"/>
      </w:pPr>
      <w:r>
        <w:t xml:space="preserve">Gonen, H. and Goldberg, Y. (2019) Lipstick on a pig: Debiasing methods cover up systematic gender biases in word embeddings but do not remove them.</w:t>
      </w:r>
      <w:r>
        <w:t xml:space="preserve"> </w:t>
      </w:r>
      <w:r>
        <w:rPr>
          <w:iCs/>
          <w:i/>
        </w:rPr>
        <w:t xml:space="preserve">Proceedings of the 2019 Conference of the North American Chapter of the Association for Computational Linguistics: Human Language Technologies (NAACL-HLT)</w:t>
      </w:r>
      <w:r>
        <w:t xml:space="preserve">, 1: 609–614. doi:</w:t>
      </w:r>
      <w:hyperlink r:id="rId136">
        <w:r>
          <w:rPr>
            <w:rStyle w:val="Hyperlink"/>
          </w:rPr>
          <w:t xml:space="preserve">10.18653/v1/N19-2010</w:t>
        </w:r>
      </w:hyperlink>
      <w:r>
        <w:t xml:space="preserve">.</w:t>
      </w:r>
    </w:p>
    <w:bookmarkEnd w:id="137"/>
    <w:bookmarkStart w:id="139" w:name="ref-Grieve2025"/>
    <w:p>
      <w:pPr>
        <w:pStyle w:val="Bibliography"/>
        <w:ind w:firstLine="-720" w:left="720"/>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38">
        <w:r>
          <w:rPr>
            <w:rStyle w:val="Hyperlink"/>
          </w:rPr>
          <w:t xml:space="preserve">10.3389/frai.2024.1472411</w:t>
        </w:r>
      </w:hyperlink>
      <w:r>
        <w:t xml:space="preserve">.</w:t>
      </w:r>
    </w:p>
    <w:bookmarkEnd w:id="139"/>
    <w:bookmarkStart w:id="141" w:name="ref-ICSU2017"/>
    <w:p>
      <w:pPr>
        <w:pStyle w:val="Bibliography"/>
        <w:ind w:firstLine="-720" w:left="720"/>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40">
        <w:r>
          <w:rPr>
            <w:rStyle w:val="Hyperlink"/>
          </w:rPr>
          <w:t xml:space="preserve">10.24948/2017.01</w:t>
        </w:r>
      </w:hyperlink>
      <w:r>
        <w:t xml:space="preserve">.</w:t>
      </w:r>
    </w:p>
    <w:bookmarkEnd w:id="141"/>
    <w:bookmarkStart w:id="143" w:name="ref-Guston2001"/>
    <w:p>
      <w:pPr>
        <w:pStyle w:val="Bibliography"/>
        <w:ind w:firstLine="-720" w:left="720"/>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42">
        <w:r>
          <w:rPr>
            <w:rStyle w:val="Hyperlink"/>
          </w:rPr>
          <w:t xml:space="preserve">10.1177/016224390102600401</w:t>
        </w:r>
      </w:hyperlink>
      <w:r>
        <w:t xml:space="preserve">.</w:t>
      </w:r>
    </w:p>
    <w:bookmarkEnd w:id="143"/>
    <w:bookmarkStart w:id="145" w:name="ref-Haas1992"/>
    <w:p>
      <w:pPr>
        <w:pStyle w:val="Bibliography"/>
        <w:ind w:firstLine="-720" w:left="720"/>
      </w:pPr>
      <w:r>
        <w:t xml:space="preserve">Haas, P.M. (1992) Introduction: Epistemic communities and international policy coordination.</w:t>
      </w:r>
      <w:r>
        <w:t xml:space="preserve"> </w:t>
      </w:r>
      <w:r>
        <w:rPr>
          <w:iCs/>
          <w:i/>
        </w:rPr>
        <w:t xml:space="preserve">International Organization</w:t>
      </w:r>
      <w:r>
        <w:t xml:space="preserve">, 46 (1): 1–35. doi:</w:t>
      </w:r>
      <w:hyperlink r:id="rId144">
        <w:r>
          <w:rPr>
            <w:rStyle w:val="Hyperlink"/>
          </w:rPr>
          <w:t xml:space="preserve">10.1017/S0020818300001442</w:t>
        </w:r>
      </w:hyperlink>
      <w:r>
        <w:t xml:space="preserve">.</w:t>
      </w:r>
    </w:p>
    <w:bookmarkEnd w:id="145"/>
    <w:bookmarkStart w:id="147" w:name="ref-Harris1954"/>
    <w:p>
      <w:pPr>
        <w:pStyle w:val="Bibliography"/>
        <w:ind w:firstLine="-720" w:left="720"/>
      </w:pPr>
      <w:r>
        <w:t xml:space="preserve">Harris, Z.S. (1954) Distributional structure.</w:t>
      </w:r>
      <w:r>
        <w:t xml:space="preserve"> </w:t>
      </w:r>
      <w:r>
        <w:rPr>
          <w:iCs/>
          <w:i/>
        </w:rPr>
        <w:t xml:space="preserve">WORD</w:t>
      </w:r>
      <w:r>
        <w:t xml:space="preserve">, 10 (2–3): 146–162. doi:</w:t>
      </w:r>
      <w:hyperlink r:id="rId146">
        <w:r>
          <w:rPr>
            <w:rStyle w:val="Hyperlink"/>
          </w:rPr>
          <w:t xml:space="preserve">10.1080/00437956.1954.11659520</w:t>
        </w:r>
      </w:hyperlink>
      <w:r>
        <w:t xml:space="preserve">.</w:t>
      </w:r>
    </w:p>
    <w:bookmarkEnd w:id="147"/>
    <w:bookmarkStart w:id="149" w:name="ref-Hastie2009"/>
    <w:p>
      <w:pPr>
        <w:pStyle w:val="Bibliography"/>
        <w:ind w:firstLine="-720" w:left="720"/>
      </w:pPr>
      <w:r>
        <w:t xml:space="preserve">Hastie, T., Tibshirani, R. and Friedman, J. (2009)</w:t>
      </w:r>
      <w:r>
        <w:t xml:space="preserve"> </w:t>
      </w:r>
      <w:r>
        <w:rPr>
          <w:iCs/>
          <w:i/>
        </w:rPr>
        <w:t xml:space="preserve">The elements of statistical learning</w:t>
      </w:r>
      <w:r>
        <w:t xml:space="preserve">. 2nd ed. Springer. doi:</w:t>
      </w:r>
      <w:hyperlink r:id="rId148">
        <w:r>
          <w:rPr>
            <w:rStyle w:val="Hyperlink"/>
          </w:rPr>
          <w:t xml:space="preserve">10.1007/978-0-387-84858-7</w:t>
        </w:r>
      </w:hyperlink>
      <w:r>
        <w:t xml:space="preserve">.</w:t>
      </w:r>
    </w:p>
    <w:bookmarkEnd w:id="149"/>
    <w:bookmarkStart w:id="151" w:name="ref-Heilinger2023"/>
    <w:p>
      <w:pPr>
        <w:pStyle w:val="Bibliography"/>
        <w:ind w:firstLine="-720" w:left="720"/>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50">
        <w:r>
          <w:rPr>
            <w:rStyle w:val="Hyperlink"/>
          </w:rPr>
          <w:t xml:space="preserve">10.1007/s43681-023-00259-8</w:t>
        </w:r>
      </w:hyperlink>
      <w:r>
        <w:t xml:space="preserve">.</w:t>
      </w:r>
    </w:p>
    <w:bookmarkEnd w:id="151"/>
    <w:bookmarkStart w:id="153" w:name="ref-Elsevier2019"/>
    <w:p>
      <w:pPr>
        <w:pStyle w:val="Bibliography"/>
        <w:ind w:firstLine="-720" w:left="720"/>
      </w:pPr>
      <w:r>
        <w:t xml:space="preserve">Hellwig, J., Huggett, S. and Siebert, M. (2019)</w:t>
      </w:r>
      <w:r>
        <w:t xml:space="preserve"> </w:t>
      </w:r>
      <w:r>
        <w:rPr>
          <w:iCs/>
          <w:i/>
        </w:rPr>
        <w:t xml:space="preserve">Artificial intelligence: How knowledge is created, transferred, and used</w:t>
      </w:r>
      <w:r>
        <w:t xml:space="preserve">. Elsevier. doi:</w:t>
      </w:r>
      <w:hyperlink r:id="rId152">
        <w:r>
          <w:rPr>
            <w:rStyle w:val="Hyperlink"/>
          </w:rPr>
          <w:t xml:space="preserve">10.17632/7ydfs62gd6.2</w:t>
        </w:r>
      </w:hyperlink>
      <w:r>
        <w:t xml:space="preserve">.</w:t>
      </w:r>
    </w:p>
    <w:bookmarkEnd w:id="153"/>
    <w:bookmarkStart w:id="155" w:name="ref-HerasSaizarbitoria2022"/>
    <w:p>
      <w:pPr>
        <w:pStyle w:val="Bibliography"/>
        <w:ind w:firstLine="-720" w:left="720"/>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54">
        <w:r>
          <w:rPr>
            <w:rStyle w:val="Hyperlink"/>
          </w:rPr>
          <w:t xml:space="preserve">10.1002/csr.2202</w:t>
        </w:r>
      </w:hyperlink>
      <w:r>
        <w:t xml:space="preserve">.</w:t>
      </w:r>
    </w:p>
    <w:bookmarkEnd w:id="155"/>
    <w:bookmarkStart w:id="157" w:name="ref-HitchcockSober2004"/>
    <w:p>
      <w:pPr>
        <w:pStyle w:val="Bibliography"/>
        <w:ind w:firstLine="-720" w:left="720"/>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56">
        <w:r>
          <w:rPr>
            <w:rStyle w:val="Hyperlink"/>
          </w:rPr>
          <w:t xml:space="preserve">10.1093/bjps/55.1.1</w:t>
        </w:r>
      </w:hyperlink>
      <w:r>
        <w:t xml:space="preserve">.</w:t>
      </w:r>
    </w:p>
    <w:bookmarkEnd w:id="157"/>
    <w:bookmarkStart w:id="159" w:name="ref-IPCC2022"/>
    <w:p>
      <w:pPr>
        <w:pStyle w:val="Bibliography"/>
        <w:ind w:firstLine="-720" w:left="720"/>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58">
        <w:r>
          <w:rPr>
            <w:rStyle w:val="Hyperlink"/>
          </w:rPr>
          <w:t xml:space="preserve">https://www.ipcc.ch/report/ar6/wg2/</w:t>
        </w:r>
      </w:hyperlink>
      <w:r>
        <w:t xml:space="preserve">.</w:t>
      </w:r>
    </w:p>
    <w:bookmarkEnd w:id="159"/>
    <w:bookmarkStart w:id="161" w:name="ref-JankinEtAl2024"/>
    <w:p>
      <w:pPr>
        <w:pStyle w:val="Bibliography"/>
        <w:ind w:firstLine="-720" w:left="720"/>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60">
        <w:r>
          <w:rPr>
            <w:rStyle w:val="Hyperlink"/>
          </w:rPr>
          <w:t xml:space="preserve">10.1177/00223433241275335</w:t>
        </w:r>
      </w:hyperlink>
      <w:r>
        <w:t xml:space="preserve">.</w:t>
      </w:r>
    </w:p>
    <w:bookmarkEnd w:id="161"/>
    <w:bookmarkStart w:id="163" w:name="ref-john2019disentangled"/>
    <w:p>
      <w:pPr>
        <w:pStyle w:val="Bibliography"/>
        <w:ind w:firstLine="-720" w:left="720"/>
      </w:pPr>
      <w:r>
        <w:t xml:space="preserve">John, V., Mou, L., Bahuleyan, H., et al. (2019)</w:t>
      </w:r>
      <w:r>
        <w:t xml:space="preserve"> </w:t>
      </w:r>
      <w:r>
        <w:rPr>
          <w:iCs/>
          <w:i/>
        </w:rPr>
        <w:t xml:space="preserve">Disentangling style and content in natural language</w:t>
      </w:r>
      <w:r>
        <w:t xml:space="preserve">. Available at:</w:t>
      </w:r>
      <w:r>
        <w:t xml:space="preserve"> </w:t>
      </w:r>
      <w:hyperlink r:id="rId162">
        <w:r>
          <w:rPr>
            <w:rStyle w:val="Hyperlink"/>
          </w:rPr>
          <w:t xml:space="preserve">https://arxiv.org/abs/1808.04339</w:t>
        </w:r>
      </w:hyperlink>
      <w:r>
        <w:t xml:space="preserve">.</w:t>
      </w:r>
    </w:p>
    <w:bookmarkEnd w:id="163"/>
    <w:bookmarkStart w:id="165" w:name="ref-Kashnitsky2024"/>
    <w:p>
      <w:pPr>
        <w:pStyle w:val="Bibliography"/>
        <w:ind w:firstLine="-720" w:left="720"/>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64">
        <w:r>
          <w:rPr>
            <w:rStyle w:val="Hyperlink"/>
          </w:rPr>
          <w:t xml:space="preserve">10.1162/qss_a_00304</w:t>
        </w:r>
      </w:hyperlink>
      <w:r>
        <w:t xml:space="preserve">.</w:t>
      </w:r>
    </w:p>
    <w:bookmarkEnd w:id="165"/>
    <w:bookmarkStart w:id="166" w:name="ref-Kusner2015"/>
    <w:p>
      <w:pPr>
        <w:pStyle w:val="Bibliography"/>
        <w:ind w:firstLine="-720" w:left="720"/>
      </w:pPr>
      <w:r>
        <w:t xml:space="preserve">Kusner, M., Sun, Y., Kolkin, N., et al. (2015)</w:t>
      </w:r>
      <w:r>
        <w:t xml:space="preserve"> </w:t>
      </w:r>
      <w:r>
        <w:t xml:space="preserve">“From word embeddings to document distances.”</w:t>
      </w:r>
      <w:r>
        <w:t xml:space="preserve"> </w:t>
      </w:r>
      <w:r>
        <w:t xml:space="preserve">In</w:t>
      </w:r>
      <w:r>
        <w:t xml:space="preserve"> </w:t>
      </w:r>
      <w:r>
        <w:rPr>
          <w:iCs/>
          <w:i/>
        </w:rPr>
        <w:t xml:space="preserve">Proceedings of the international conference on machine learning (ICML)</w:t>
      </w:r>
      <w:r>
        <w:t xml:space="preserve">. 2015.</w:t>
      </w:r>
    </w:p>
    <w:bookmarkEnd w:id="166"/>
    <w:bookmarkStart w:id="168" w:name="ref-Lakatos1970"/>
    <w:p>
      <w:pPr>
        <w:pStyle w:val="Bibliography"/>
        <w:ind w:firstLine="-720" w:left="720"/>
      </w:pPr>
      <w:r>
        <w:t xml:space="preserve">Lakatos, I. (1970)</w:t>
      </w:r>
      <w:r>
        <w:t xml:space="preserve"> </w:t>
      </w:r>
      <w:r>
        <w:t xml:space="preserve">“Falsification and the methodology of scientific research programmes.”</w:t>
      </w:r>
      <w:r>
        <w:t xml:space="preserve"> </w:t>
      </w:r>
      <w:r>
        <w:t xml:space="preserve">In Lakatos, I. and Musgrave, A. (eds.)</w:t>
      </w:r>
      <w:r>
        <w:t xml:space="preserve"> </w:t>
      </w:r>
      <w:r>
        <w:rPr>
          <w:iCs/>
          <w:i/>
        </w:rPr>
        <w:t xml:space="preserve">Criticism and the growth of knowledge</w:t>
      </w:r>
      <w:r>
        <w:t xml:space="preserve">. Cambridge University Press. pp. 91–196. doi:</w:t>
      </w:r>
      <w:hyperlink r:id="rId167">
        <w:r>
          <w:rPr>
            <w:rStyle w:val="Hyperlink"/>
          </w:rPr>
          <w:t xml:space="preserve">10.1017/CBO9781139171434.009</w:t>
        </w:r>
      </w:hyperlink>
      <w:r>
        <w:t xml:space="preserve">.</w:t>
      </w:r>
    </w:p>
    <w:bookmarkEnd w:id="168"/>
    <w:bookmarkStart w:id="170" w:name="ref-LeBlanc2015"/>
    <w:p>
      <w:pPr>
        <w:pStyle w:val="Bibliography"/>
        <w:ind w:firstLine="-720" w:left="720"/>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69">
        <w:r>
          <w:rPr>
            <w:rStyle w:val="Hyperlink"/>
          </w:rPr>
          <w:t xml:space="preserve">10.1002/sd.1582</w:t>
        </w:r>
      </w:hyperlink>
      <w:r>
        <w:t xml:space="preserve">.</w:t>
      </w:r>
    </w:p>
    <w:bookmarkEnd w:id="170"/>
    <w:bookmarkStart w:id="172" w:name="ref-Manning2008"/>
    <w:p>
      <w:pPr>
        <w:pStyle w:val="Bibliography"/>
        <w:ind w:firstLine="-720" w:left="720"/>
      </w:pPr>
      <w:r>
        <w:t xml:space="preserve">Manning, C.D., Raghavan, P. and Schütze, H. (2008)</w:t>
      </w:r>
      <w:r>
        <w:t xml:space="preserve"> </w:t>
      </w:r>
      <w:r>
        <w:rPr>
          <w:iCs/>
          <w:i/>
        </w:rPr>
        <w:t xml:space="preserve">Introduction to information retrieval</w:t>
      </w:r>
      <w:r>
        <w:t xml:space="preserve">. Cambridge University Press. doi:</w:t>
      </w:r>
      <w:hyperlink r:id="rId171">
        <w:r>
          <w:rPr>
            <w:rStyle w:val="Hyperlink"/>
          </w:rPr>
          <w:t xml:space="preserve">10.1017/CBO9780511809071</w:t>
        </w:r>
      </w:hyperlink>
      <w:r>
        <w:t xml:space="preserve">.</w:t>
      </w:r>
    </w:p>
    <w:bookmarkEnd w:id="172"/>
    <w:bookmarkStart w:id="174" w:name="ref-McCarthy2026"/>
    <w:p>
      <w:pPr>
        <w:pStyle w:val="Bibliography"/>
        <w:ind w:firstLine="-720" w:left="720"/>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73">
        <w:r>
          <w:rPr>
            <w:rStyle w:val="Hyperlink"/>
          </w:rPr>
          <w:t xml:space="preserve">10.1016/j.ecoinf.2026.103669</w:t>
        </w:r>
      </w:hyperlink>
      <w:r>
        <w:t xml:space="preserve">.</w:t>
      </w:r>
    </w:p>
    <w:bookmarkEnd w:id="174"/>
    <w:bookmarkStart w:id="176" w:name="ref-Nedungadi2024"/>
    <w:p>
      <w:pPr>
        <w:pStyle w:val="Bibliography"/>
        <w:ind w:firstLine="-720" w:left="720"/>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75">
        <w:r>
          <w:rPr>
            <w:rStyle w:val="Hyperlink"/>
          </w:rPr>
          <w:t xml:space="preserve">10.1109/ACCESS.2024.3516500</w:t>
        </w:r>
      </w:hyperlink>
      <w:r>
        <w:t xml:space="preserve">.</w:t>
      </w:r>
    </w:p>
    <w:bookmarkEnd w:id="176"/>
    <w:bookmarkStart w:id="178" w:name="ref-Nilsson2016"/>
    <w:p>
      <w:pPr>
        <w:pStyle w:val="Bibliography"/>
        <w:ind w:firstLine="-720" w:left="720"/>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77">
        <w:r>
          <w:rPr>
            <w:rStyle w:val="Hyperlink"/>
          </w:rPr>
          <w:t xml:space="preserve">10.1038/534320a</w:t>
        </w:r>
      </w:hyperlink>
      <w:r>
        <w:t xml:space="preserve">.</w:t>
      </w:r>
    </w:p>
    <w:bookmarkEnd w:id="178"/>
    <w:bookmarkStart w:id="180" w:name="ref-NiuCarpuat2017"/>
    <w:p>
      <w:pPr>
        <w:pStyle w:val="Bibliography"/>
        <w:ind w:firstLine="-720" w:left="720"/>
      </w:pPr>
      <w:r>
        <w:t xml:space="preserve">Niu, X. and Carpuat, M. (2017)</w:t>
      </w:r>
      <w:r>
        <w:t xml:space="preserve"> </w:t>
      </w:r>
      <w:r>
        <w:t xml:space="preserve">“Discovering stylistic variations in distributional vector space models via lexical paraphrases.”</w:t>
      </w:r>
      <w:r>
        <w:t xml:space="preserve"> </w:t>
      </w:r>
      <w:r>
        <w:t xml:space="preserve">In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79">
        <w:r>
          <w:rPr>
            <w:rStyle w:val="Hyperlink"/>
          </w:rPr>
          <w:t xml:space="preserve">10.18653/v1/W17-4903</w:t>
        </w:r>
      </w:hyperlink>
      <w:r>
        <w:t xml:space="preserve">.</w:t>
      </w:r>
    </w:p>
    <w:bookmarkEnd w:id="180"/>
    <w:bookmarkStart w:id="182" w:name="ref-OECDAiMethod"/>
    <w:p>
      <w:pPr>
        <w:pStyle w:val="Bibliography"/>
        <w:ind w:firstLine="-720" w:left="720"/>
      </w:pPr>
      <w:r>
        <w:t xml:space="preserve">OECD (2024)</w:t>
      </w:r>
      <w:r>
        <w:t xml:space="preserve"> </w:t>
      </w:r>
      <w:r>
        <w:rPr>
          <w:iCs/>
          <w:i/>
        </w:rPr>
        <w:t xml:space="preserve">OECD.AI: Partner data and methodological note</w:t>
      </w:r>
      <w:r>
        <w:t xml:space="preserve">. Available at:</w:t>
      </w:r>
      <w:r>
        <w:t xml:space="preserve"> </w:t>
      </w:r>
      <w:hyperlink r:id="rId181">
        <w:r>
          <w:rPr>
            <w:rStyle w:val="Hyperlink"/>
          </w:rPr>
          <w:t xml:space="preserve">https://oecd.ai/en/partner-data-methodological-note</w:t>
        </w:r>
      </w:hyperlink>
      <w:r>
        <w:t xml:space="preserve">.</w:t>
      </w:r>
    </w:p>
    <w:bookmarkEnd w:id="182"/>
    <w:bookmarkStart w:id="184" w:name="ref-Priem2022"/>
    <w:p>
      <w:pPr>
        <w:pStyle w:val="Bibliography"/>
        <w:ind w:firstLine="-720" w:left="720"/>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83">
        <w:r>
          <w:rPr>
            <w:rStyle w:val="Hyperlink"/>
          </w:rPr>
          <w:t xml:space="preserve">10.48550/arXiv.2205.01833</w:t>
        </w:r>
      </w:hyperlink>
      <w:r>
        <w:t xml:space="preserve">.</w:t>
      </w:r>
    </w:p>
    <w:bookmarkEnd w:id="184"/>
    <w:bookmarkStart w:id="186" w:name="ref-Pukelis2022"/>
    <w:p>
      <w:pPr>
        <w:pStyle w:val="Bibliography"/>
        <w:ind w:firstLine="-720" w:left="720"/>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85">
        <w:r>
          <w:rPr>
            <w:rStyle w:val="Hyperlink"/>
          </w:rPr>
          <w:t xml:space="preserve">10.48550/arXiv.2211.11252</w:t>
        </w:r>
      </w:hyperlink>
      <w:r>
        <w:t xml:space="preserve">.</w:t>
      </w:r>
    </w:p>
    <w:bookmarkEnd w:id="186"/>
    <w:bookmarkStart w:id="188" w:name="ref-Ravfogel2020INLP"/>
    <w:p>
      <w:pPr>
        <w:pStyle w:val="Bibliography"/>
        <w:ind w:firstLine="-720" w:left="720"/>
      </w:pPr>
      <w:r>
        <w:t xml:space="preserve">Ravfogel, S., Elazar, Y., Gonen, H., et al.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87">
        <w:r>
          <w:rPr>
            <w:rStyle w:val="Hyperlink"/>
          </w:rPr>
          <w:t xml:space="preserve">10.18653/v1/2020.acl-main.647</w:t>
        </w:r>
      </w:hyperlink>
      <w:r>
        <w:t xml:space="preserve">.</w:t>
      </w:r>
    </w:p>
    <w:bookmarkEnd w:id="188"/>
    <w:bookmarkStart w:id="190" w:name="ref-Reimers2019"/>
    <w:p>
      <w:pPr>
        <w:pStyle w:val="Bibliography"/>
        <w:ind w:firstLine="-720" w:left="720"/>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89">
        <w:r>
          <w:rPr>
            <w:rStyle w:val="Hyperlink"/>
          </w:rPr>
          <w:t xml:space="preserve">10.18653/v1/D19-1410</w:t>
        </w:r>
      </w:hyperlink>
      <w:r>
        <w:t xml:space="preserve">.</w:t>
      </w:r>
    </w:p>
    <w:bookmarkEnd w:id="190"/>
    <w:bookmarkStart w:id="192" w:name="ref-Rodriguez2023"/>
    <w:p>
      <w:pPr>
        <w:pStyle w:val="Bibliography"/>
        <w:ind w:firstLine="-720" w:left="720"/>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91">
        <w:r>
          <w:rPr>
            <w:rStyle w:val="Hyperlink"/>
          </w:rPr>
          <w:t xml:space="preserve">10.1017/S0003055422001228</w:t>
        </w:r>
      </w:hyperlink>
      <w:r>
        <w:t xml:space="preserve">.</w:t>
      </w:r>
    </w:p>
    <w:bookmarkEnd w:id="192"/>
    <w:bookmarkStart w:id="194" w:name="ref-Rubner2000"/>
    <w:p>
      <w:pPr>
        <w:pStyle w:val="Bibliography"/>
        <w:ind w:firstLine="-720" w:left="720"/>
      </w:pPr>
      <w:r>
        <w:t xml:space="preserve">Rubner, Y., Tomasi, C. and Guibas, L.J. (2000) The earth mover’s distance as a metric for image retrieval.</w:t>
      </w:r>
      <w:r>
        <w:t xml:space="preserve"> </w:t>
      </w:r>
      <w:r>
        <w:rPr>
          <w:iCs/>
          <w:i/>
        </w:rPr>
        <w:t xml:space="preserve">International Journal of Computer Vision</w:t>
      </w:r>
      <w:r>
        <w:t xml:space="preserve">, 40 (2): 99–121. doi:</w:t>
      </w:r>
      <w:hyperlink r:id="rId193">
        <w:r>
          <w:rPr>
            <w:rStyle w:val="Hyperlink"/>
          </w:rPr>
          <w:t xml:space="preserve">10.1023/A:1026543900054</w:t>
        </w:r>
      </w:hyperlink>
      <w:r>
        <w:t xml:space="preserve">.</w:t>
      </w:r>
    </w:p>
    <w:bookmarkEnd w:id="194"/>
    <w:bookmarkStart w:id="196" w:name="ref-CSET2023"/>
    <w:p>
      <w:pPr>
        <w:pStyle w:val="Bibliography"/>
        <w:ind w:firstLine="-720" w:left="720"/>
      </w:pPr>
      <w:r>
        <w:t xml:space="preserve">Schoeberl, M., Toney, B. and Dunham, M. (2023)</w:t>
      </w:r>
      <w:r>
        <w:t xml:space="preserve"> </w:t>
      </w:r>
      <w:r>
        <w:rPr>
          <w:iCs/>
          <w:i/>
        </w:rPr>
        <w:t xml:space="preserve">Identifying AI research</w:t>
      </w:r>
      <w:r>
        <w:t xml:space="preserve">. Center for Security; Emerging Technology (CSET). doi:</w:t>
      </w:r>
      <w:hyperlink r:id="rId195">
        <w:r>
          <w:rPr>
            <w:rStyle w:val="Hyperlink"/>
          </w:rPr>
          <w:t xml:space="preserve">10.51593/20230</w:t>
        </w:r>
      </w:hyperlink>
      <w:r>
        <w:t xml:space="preserve">.</w:t>
      </w:r>
    </w:p>
    <w:bookmarkEnd w:id="196"/>
    <w:bookmarkStart w:id="198" w:name="ref-SDGBenchmark"/>
    <w:p>
      <w:pPr>
        <w:pStyle w:val="Bibliography"/>
        <w:ind w:firstLine="-720" w:left="720"/>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97">
        <w:r>
          <w:rPr>
            <w:rStyle w:val="Hyperlink"/>
          </w:rPr>
          <w:t xml:space="preserve">https://github.com/SDGClassification/benchmark</w:t>
        </w:r>
      </w:hyperlink>
      <w:r>
        <w:t xml:space="preserve">.</w:t>
      </w:r>
    </w:p>
    <w:bookmarkEnd w:id="198"/>
    <w:bookmarkStart w:id="200" w:name="ref-SDGi2024"/>
    <w:p>
      <w:pPr>
        <w:pStyle w:val="Bibliography"/>
        <w:ind w:firstLine="-720" w:left="720"/>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99">
        <w:r>
          <w:rPr>
            <w:rStyle w:val="Hyperlink"/>
          </w:rPr>
          <w:t xml:space="preserve">https://huggingface.co/datasets/UNDP/sdgi-corpus</w:t>
        </w:r>
      </w:hyperlink>
      <w:r>
        <w:t xml:space="preserve">.</w:t>
      </w:r>
    </w:p>
    <w:bookmarkEnd w:id="200"/>
    <w:bookmarkStart w:id="202" w:name="ref-Seijdinovic2013"/>
    <w:p>
      <w:pPr>
        <w:pStyle w:val="Bibliography"/>
        <w:ind w:firstLine="-720" w:left="720"/>
      </w:pPr>
      <w:r>
        <w:t xml:space="preserve">Sejdinovic, D., Sriperumbudur, B., Gretton, A., et al. (2013) Equivalence of distance-based and RKHS-based statistics in hypothesis testing.</w:t>
      </w:r>
      <w:r>
        <w:t xml:space="preserve"> </w:t>
      </w:r>
      <w:r>
        <w:rPr>
          <w:iCs/>
          <w:i/>
        </w:rPr>
        <w:t xml:space="preserve">The Annals of Statistics</w:t>
      </w:r>
      <w:r>
        <w:t xml:space="preserve">, 41 (5): 2263–2291. doi:</w:t>
      </w:r>
      <w:hyperlink r:id="rId201">
        <w:r>
          <w:rPr>
            <w:rStyle w:val="Hyperlink"/>
          </w:rPr>
          <w:t xml:space="preserve">10.1214/13-AOS1140</w:t>
        </w:r>
      </w:hyperlink>
      <w:r>
        <w:t xml:space="preserve">.</w:t>
      </w:r>
    </w:p>
    <w:bookmarkEnd w:id="202"/>
    <w:bookmarkStart w:id="203" w:name="ref-all-minilm-l6-v2"/>
    <w:p>
      <w:pPr>
        <w:pStyle w:val="Bibliography"/>
        <w:ind w:firstLine="-720" w:left="720"/>
      </w:pPr>
      <w:r>
        <w:t xml:space="preserve">Sentence-Transformers (2021a)</w:t>
      </w:r>
      <w:r>
        <w:t xml:space="preserve"> </w:t>
      </w:r>
      <w:r>
        <w:rPr>
          <w:iCs/>
          <w:i/>
        </w:rPr>
        <w:t xml:space="preserve">all-MiniLM-L6-v2</w:t>
      </w:r>
      <w:r>
        <w:t xml:space="preserve">.</w:t>
      </w:r>
    </w:p>
    <w:bookmarkEnd w:id="203"/>
    <w:bookmarkStart w:id="204" w:name="ref-all-mpnet-base-v2"/>
    <w:p>
      <w:pPr>
        <w:pStyle w:val="Bibliography"/>
        <w:ind w:firstLine="-720" w:left="720"/>
      </w:pPr>
      <w:r>
        <w:t xml:space="preserve">Sentence-Transformers (2021b)</w:t>
      </w:r>
      <w:r>
        <w:t xml:space="preserve"> </w:t>
      </w:r>
      <w:r>
        <w:rPr>
          <w:iCs/>
          <w:i/>
        </w:rPr>
        <w:t xml:space="preserve">all-mpnet-base-v2</w:t>
      </w:r>
      <w:r>
        <w:t xml:space="preserve">.</w:t>
      </w:r>
    </w:p>
    <w:bookmarkEnd w:id="204"/>
    <w:bookmarkStart w:id="206" w:name="ref-Singh2024"/>
    <w:p>
      <w:pPr>
        <w:pStyle w:val="Bibliography"/>
        <w:ind w:firstLine="-720" w:left="720"/>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05">
        <w:r>
          <w:rPr>
            <w:rStyle w:val="Hyperlink"/>
          </w:rPr>
          <w:t xml:space="preserve">10.1002/sd.2706</w:t>
        </w:r>
      </w:hyperlink>
      <w:r>
        <w:t xml:space="preserve">.</w:t>
      </w:r>
    </w:p>
    <w:bookmarkEnd w:id="206"/>
    <w:bookmarkStart w:id="208" w:name="ref-SioumalasChristodoulou2025"/>
    <w:p>
      <w:pPr>
        <w:pStyle w:val="Bibliography"/>
        <w:ind w:firstLine="-720" w:left="720"/>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07">
        <w:r>
          <w:rPr>
            <w:rStyle w:val="Hyperlink"/>
          </w:rPr>
          <w:t xml:space="preserve">10.1007/s00146-025-02181-5</w:t>
        </w:r>
      </w:hyperlink>
      <w:r>
        <w:t xml:space="preserve">.</w:t>
      </w:r>
    </w:p>
    <w:bookmarkEnd w:id="208"/>
    <w:bookmarkStart w:id="210" w:name="ref-Strauss2025"/>
    <w:p>
      <w:pPr>
        <w:pStyle w:val="Bibliography"/>
        <w:ind w:firstLine="-720" w:left="720"/>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09">
        <w:r>
          <w:rPr>
            <w:rStyle w:val="Hyperlink"/>
          </w:rPr>
          <w:t xml:space="preserve">10.48550/arXiv.2505.00174</w:t>
        </w:r>
      </w:hyperlink>
      <w:r>
        <w:t xml:space="preserve">.</w:t>
      </w:r>
    </w:p>
    <w:bookmarkEnd w:id="210"/>
    <w:bookmarkStart w:id="212" w:name="ref-Szekely2013"/>
    <w:p>
      <w:pPr>
        <w:pStyle w:val="Bibliography"/>
        <w:ind w:firstLine="-720" w:left="720"/>
      </w:pPr>
      <w:r>
        <w:t xml:space="preserve">Székely, G.J. and Rizzo, M.L. (2013) Energy statistics: A class of statistics based on distances.</w:t>
      </w:r>
      <w:r>
        <w:t xml:space="preserve"> </w:t>
      </w:r>
      <w:r>
        <w:rPr>
          <w:iCs/>
          <w:i/>
        </w:rPr>
        <w:t xml:space="preserve">Journal of Statistical Planning and Inference</w:t>
      </w:r>
      <w:r>
        <w:t xml:space="preserve">, 143 (8): 1249–1272. doi:</w:t>
      </w:r>
      <w:hyperlink r:id="rId211">
        <w:r>
          <w:rPr>
            <w:rStyle w:val="Hyperlink"/>
          </w:rPr>
          <w:t xml:space="preserve">10.1016/j.jspi.2013.03.018</w:t>
        </w:r>
      </w:hyperlink>
      <w:r>
        <w:t xml:space="preserve">.</w:t>
      </w:r>
    </w:p>
    <w:bookmarkEnd w:id="212"/>
    <w:bookmarkStart w:id="214" w:name="ref-ToneyWails2024"/>
    <w:p>
      <w:pPr>
        <w:pStyle w:val="Bibliography"/>
        <w:ind w:firstLine="-720" w:left="720"/>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13">
        <w:r>
          <w:rPr>
            <w:rStyle w:val="Hyperlink"/>
          </w:rPr>
          <w:t xml:space="preserve">10.1145/3630106.3659035</w:t>
        </w:r>
      </w:hyperlink>
      <w:r>
        <w:t xml:space="preserve">.</w:t>
      </w:r>
    </w:p>
    <w:bookmarkEnd w:id="214"/>
    <w:bookmarkStart w:id="216" w:name="ref-Vanderfeesten2020Aurora"/>
    <w:p>
      <w:pPr>
        <w:pStyle w:val="Bibliography"/>
        <w:ind w:firstLine="-720" w:left="720"/>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15">
        <w:r>
          <w:rPr>
            <w:rStyle w:val="Hyperlink"/>
          </w:rPr>
          <w:t xml:space="preserve">10.5281/zenodo.3798385</w:t>
        </w:r>
      </w:hyperlink>
      <w:r>
        <w:t xml:space="preserve">.</w:t>
      </w:r>
    </w:p>
    <w:bookmarkEnd w:id="216"/>
    <w:bookmarkStart w:id="218" w:name="ref-Villani2008"/>
    <w:p>
      <w:pPr>
        <w:pStyle w:val="Bibliography"/>
        <w:ind w:firstLine="-720" w:left="720"/>
      </w:pPr>
      <w:r>
        <w:t xml:space="preserve">Villani, C. (2008)</w:t>
      </w:r>
      <w:r>
        <w:t xml:space="preserve"> </w:t>
      </w:r>
      <w:r>
        <w:rPr>
          <w:iCs/>
          <w:i/>
        </w:rPr>
        <w:t xml:space="preserve">Optimal transport: Old and new</w:t>
      </w:r>
      <w:r>
        <w:t xml:space="preserve">. Grundlehren der mathematischen wissenschaften. Springer. doi:</w:t>
      </w:r>
      <w:hyperlink r:id="rId217">
        <w:r>
          <w:rPr>
            <w:rStyle w:val="Hyperlink"/>
          </w:rPr>
          <w:t xml:space="preserve">10.1007/978-3-540-71050-9</w:t>
        </w:r>
      </w:hyperlink>
      <w:r>
        <w:t xml:space="preserve">.</w:t>
      </w:r>
    </w:p>
    <w:bookmarkEnd w:id="218"/>
    <w:bookmarkStart w:id="220" w:name="ref-Vinuesa2020"/>
    <w:p>
      <w:pPr>
        <w:pStyle w:val="Bibliography"/>
        <w:ind w:firstLine="-720" w:left="720"/>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19">
        <w:r>
          <w:rPr>
            <w:rStyle w:val="Hyperlink"/>
          </w:rPr>
          <w:t xml:space="preserve">10.1038/s41467-019-14108-y</w:t>
        </w:r>
      </w:hyperlink>
      <w:r>
        <w:t xml:space="preserve">.</w:t>
      </w:r>
    </w:p>
    <w:bookmarkEnd w:id="220"/>
    <w:bookmarkStart w:id="222" w:name="ref-Wulff2023SDGKnowledgeHub"/>
    <w:p>
      <w:pPr>
        <w:pStyle w:val="Bibliography"/>
        <w:ind w:firstLine="-720" w:left="720"/>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21">
        <w:r>
          <w:rPr>
            <w:rStyle w:val="Hyperlink"/>
          </w:rPr>
          <w:t xml:space="preserve">10.5281/zenodo.7523032</w:t>
        </w:r>
      </w:hyperlink>
      <w:r>
        <w:t xml:space="preserve">.</w:t>
      </w:r>
    </w:p>
    <w:bookmarkEnd w:id="222"/>
    <w:bookmarkStart w:id="224" w:name="ref-Yin2025SdgMapping"/>
    <w:p>
      <w:pPr>
        <w:pStyle w:val="Bibliography"/>
        <w:ind w:firstLine="-720" w:left="720"/>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23">
        <w:r>
          <w:rPr>
            <w:rStyle w:val="Hyperlink"/>
          </w:rPr>
          <w:t xml:space="preserve">10.1016/j.array.2025.100419</w:t>
        </w:r>
      </w:hyperlink>
      <w:r>
        <w:t xml:space="preserve">.</w:t>
      </w:r>
    </w:p>
    <w:bookmarkEnd w:id="224"/>
    <w:bookmarkEnd w:id="225"/>
    <w:p>
      <w:r>
        <w:br w:type="page"/>
      </w:r>
    </w:p>
    <w:bookmarkStart w:id="231" w:name="app:concept-retrieval-sensitivity"/>
    <w:p>
      <w:pPr>
        <w:pStyle w:val="Heading1"/>
        <w:keepNext/>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Figure </w:t>
      </w:r>
      <w:hyperlink w:anchor="fig:concept-coverage">
        <w:r>
          <w:rPr>
            <w:rStyle w:val="Hyperlink"/>
          </w:rPr>
          <w:t xml:space="preserve">7</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17</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4</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29" w:name="fig:concept-coverage"/>
    <w:p>
      <w:pPr>
        <w:pStyle w:val="CaptionedFigure"/>
      </w:pPr>
      <w:r>
        <w:drawing>
          <wp:inline>
            <wp:extent cx="4800600" cy="4346489"/>
            <wp:effectExtent b="0" l="0" r="0" t="0"/>
            <wp:docPr descr="" title="" id="227" name="Picture"/>
            <a:graphic>
              <a:graphicData uri="http://schemas.openxmlformats.org/drawingml/2006/picture">
                <pic:pic>
                  <pic:nvPicPr>
                    <pic:cNvPr descr="fig10_concept_coverage.png" id="228" name="Picture"/>
                    <pic:cNvPicPr>
                      <a:picLocks noChangeArrowheads="1" noChangeAspect="1"/>
                    </pic:cNvPicPr>
                  </pic:nvPicPr>
                  <pic:blipFill>
                    <a:blip r:embed="rId226"/>
                    <a:stretch>
                      <a:fillRect/>
                    </a:stretch>
                  </pic:blipFill>
                  <pic:spPr bwMode="auto">
                    <a:xfrm>
                      <a:off x="0" y="0"/>
                      <a:ext cx="4800600" cy="4346489"/>
                    </a:xfrm>
                    <a:prstGeom prst="rect">
                      <a:avLst/>
                    </a:prstGeom>
                    <a:noFill/>
                    <a:ln w="9525">
                      <a:noFill/>
                      <a:headEnd/>
                      <a:tailEnd/>
                    </a:ln>
                  </pic:spPr>
                </pic:pic>
              </a:graphicData>
            </a:graphic>
          </wp:inline>
        </w:drawing>
      </w:r>
    </w:p>
    <w:p>
      <w:pPr>
        <w:pStyle w:val="ImageCaption"/>
        <w:keepNext/>
      </w:pPr>
      <w:r>
        <w:t xml:space="preserve">Figure 7: SDG coverage-share comparison: keyword-retrieved versus concept-retrieved (AI/ML field-of-study) research corpus.</w:t>
      </w:r>
    </w:p>
    <w:bookmarkEnd w:id="229"/>
    <w:p>
      <w:pPr>
        <w:pStyle w:val="BodyText"/>
        <w:spacing w:line="240" w:lineRule="auto"/>
        <w:jc w:val="center"/>
      </w:pPr>
      <w:r>
        <w:rPr>
          <w:iCs/>
          <w:i/>
        </w:rPr>
        <w:t xml:space="preserve">Notes:</w:t>
      </w:r>
      <w:r>
        <w:t xml:space="preserve"> </w:t>
      </w:r>
      <m:oMath>
        <m:r>
          <m:t>Δ</m:t>
        </m:r>
      </m:oMath>
      <w:r>
        <w:t xml:space="preserve"> </w:t>
      </w:r>
      <w:r>
        <w:t xml:space="preserve">is concept minus keyword share (</w:t>
      </w:r>
    </w:p>
    <w:p>
      <w:pPr>
        <w:pStyle w:val="BodyText"/>
      </w:pPr>
      <w:r>
        <w:t xml:space="preserve">Table </w:t>
      </w:r>
      <w:hyperlink w:anchor="tab:reference-concept">
        <w:r>
          <w:rPr>
            <w:rStyle w:val="Hyperlink"/>
          </w:rPr>
          <w:t xml:space="preserve">5</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4</w:t>
        </w:r>
      </w:hyperlink>
      <w:r>
        <w:t xml:space="preserve">) and the cross-sensitivity tables.</w:t>
      </w:r>
    </w:p>
    <w:bookmarkStart w:id="230" w:name="tab:reference-concept"/>
    <w:p>
      <w:pPr>
        <w:pStyle w:val="TableCaption"/>
        <w:keepNext/>
      </w:pPr>
      <w:r>
        <w:t xml:space="preserve">Table 5: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30"/>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p>
      <w:r>
        <w:br w:type="page"/>
      </w:r>
    </w:p>
    <w:bookmarkEnd w:id="231"/>
    <w:bookmarkStart w:id="239" w:name="app:centroid-diagnostics"/>
    <w:p>
      <w:pPr>
        <w:pStyle w:val="Heading1"/>
        <w:keepNext/>
      </w:pPr>
      <w:r>
        <w:t xml:space="preserve">B Diagnostics for Reference Classifier</w:t>
      </w:r>
    </w:p>
    <w:bookmarkStart w:id="233" w:name="app:sdg4-lexical-audit"/>
    <w:p>
      <w:pPr>
        <w:pStyle w:val="Heading2"/>
        <w:keepNext/>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6</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32" w:name="tab:sdg4-lexical-audit"/>
    <w:p>
      <w:pPr>
        <w:pStyle w:val="TableCaption"/>
        <w:keepNext/>
      </w:pPr>
      <w:r>
        <w:t xml:space="preserve">Table 6: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32"/>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33"/>
    <w:bookmarkStart w:id="238" w:name="app:centroid-similarity"/>
    <w:p>
      <w:pPr>
        <w:pStyle w:val="Heading2"/>
        <w:keepNext/>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8</w:t>
        </w:r>
      </w:hyperlink>
      <w:r>
        <w:t xml:space="preserve">) for the 17 canonical SDG centroids. The centroids are the per-SDG mean training embeddings (L2-normalised) used by the LR classifier.</w:t>
      </w:r>
    </w:p>
    <w:bookmarkStart w:id="237" w:name="fig:centroid-similarity-matrix"/>
    <w:p>
      <w:pPr>
        <w:pStyle w:val="CaptionedFigure"/>
      </w:pPr>
      <w:r>
        <w:drawing>
          <wp:inline>
            <wp:extent cx="5334000" cy="4593515"/>
            <wp:effectExtent b="0" l="0" r="0" t="0"/>
            <wp:docPr descr="" title="" id="235" name="Picture"/>
            <a:graphic>
              <a:graphicData uri="http://schemas.openxmlformats.org/drawingml/2006/picture">
                <pic:pic>
                  <pic:nvPicPr>
                    <pic:cNvPr descr="fig8_centroid_similarity_heatmap.png" id="236" name="Picture"/>
                    <pic:cNvPicPr>
                      <a:picLocks noChangeArrowheads="1" noChangeAspect="1"/>
                    </pic:cNvPicPr>
                  </pic:nvPicPr>
                  <pic:blipFill>
                    <a:blip r:embed="rId234"/>
                    <a:stretch>
                      <a:fillRect/>
                    </a:stretch>
                  </pic:blipFill>
                  <pic:spPr bwMode="auto">
                    <a:xfrm>
                      <a:off x="0" y="0"/>
                      <a:ext cx="5334000" cy="4593515"/>
                    </a:xfrm>
                    <a:prstGeom prst="rect">
                      <a:avLst/>
                    </a:prstGeom>
                    <a:noFill/>
                    <a:ln w="9525">
                      <a:noFill/>
                      <a:headEnd/>
                      <a:tailEnd/>
                    </a:ln>
                  </pic:spPr>
                </pic:pic>
              </a:graphicData>
            </a:graphic>
          </wp:inline>
        </w:drawing>
      </w:r>
    </w:p>
    <w:p>
      <w:pPr>
        <w:pStyle w:val="ImageCaption"/>
        <w:keepNext/>
      </w:pPr>
      <w:r>
        <w:t xml:space="preserve">Figure 8: Pairwise cosine similarity between canonical SDG centroids (lower triangle).</w:t>
      </w:r>
    </w:p>
    <w:bookmarkEnd w:id="237"/>
    <w:p>
      <w:pPr>
        <w:pStyle w:val="BodyText"/>
      </w:pPr>
      <w:r>
        <w:t xml:space="preserve">Figure </w:t>
      </w:r>
      <w:hyperlink w:anchor="fig:centroid-similarity-matrix">
        <w:r>
          <w:rPr>
            <w:rStyle w:val="Hyperlink"/>
          </w:rPr>
          <w:t xml:space="preserve">8</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p>
      <w:r>
        <w:br w:type="page"/>
      </w:r>
    </w:p>
    <w:bookmarkEnd w:id="238"/>
    <w:bookmarkEnd w:id="239"/>
    <w:bookmarkStart w:id="241" w:name="app:semantic-gap-text-interpretability"/>
    <w:p>
      <w:pPr>
        <w:pStyle w:val="Heading1"/>
        <w:keepNext/>
      </w:pPr>
      <w:r>
        <w:t xml:space="preserve">C Lexical Illustration of the Semantic Gap</w:t>
      </w:r>
    </w:p>
    <w:p>
      <w:pPr>
        <w:pStyle w:val="FirstParagraph"/>
      </w:pPr>
      <w:r>
        <w:t xml:space="preserve">Table </w:t>
      </w:r>
      <w:hyperlink w:anchor="Xb5f46f72c0b4de0e21636b87797eca5bfe52583">
        <w:r>
          <w:rPr>
            <w:rStyle w:val="Hyperlink"/>
          </w:rPr>
          <w:t xml:space="preserve">7</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40" w:name="Xb5f46f72c0b4de0e21636b87797eca5bfe52583"/>
    <w:p>
      <w:pPr>
        <w:pStyle w:val="TableCaption"/>
        <w:keepNext/>
      </w:pPr>
      <w:r>
        <w:t xml:space="preserve">Table 7: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single" w:sz="8" w:space="0" w:color="auto"/>
          <w:insideV w:val="none" w:sz="0" w:space="0" w:color="auto"/>
        </w:tblBorders>
        <w:tblCaption w:val="Table 7: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40"/>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p>
      <w:r>
        <w:br w:type="page"/>
      </w:r>
    </w:p>
    <w:bookmarkEnd w:id="241"/>
    <w:bookmarkStart w:id="245" w:name="app:distributional-table"/>
    <w:p>
      <w:pPr>
        <w:pStyle w:val="Heading1"/>
        <w:keepNext/>
      </w:pPr>
      <w:r>
        <w:t xml:space="preserve">D Distance-Functional Robustness Table</w:t>
      </w:r>
    </w:p>
    <w:p>
      <w:pPr>
        <w:pStyle w:val="FirstParagraph"/>
      </w:pPr>
      <w:r>
        <w:t xml:space="preserve">Table </w:t>
      </w:r>
      <w:hyperlink w:anchor="tab:distributional-gap">
        <w:r>
          <w:rPr>
            <w:rStyle w:val="Hyperlink"/>
          </w:rPr>
          <w:t xml:space="preserve">8</w:t>
        </w:r>
      </w:hyperlink>
      <w:r>
        <w:t xml:space="preserve"> </w:t>
      </w:r>
      <w:r>
        <w:t xml:space="preserve">reports the per-SDG research–policy gap under the full battery of distribution-aware metrics, together with the primary semantic gap. Part 1 covers the full-corpus exact metrics (sliced Wasserstein</w:t>
      </w:r>
      <w:r>
        <w:t xml:space="preserve"> </w:t>
      </w:r>
      <w:r>
        <w:t xml:space="preserve">(Bonneel et al., 2015)</w:t>
      </w:r>
      <w:r>
        <w:t xml:space="preserve">, Chamfer</w:t>
      </w:r>
      <w:r>
        <w:t xml:space="preserve"> </w:t>
      </w:r>
      <w:r>
        <w:t xml:space="preserve">(Borgefors, 1988)</w:t>
      </w:r>
      <w:r>
        <w:t xml:space="preserve">, Hausdorff, Gaussian-2-Wasserstein</w:t>
      </w:r>
      <w:r>
        <w:t xml:space="preserve"> </w:t>
      </w:r>
      <w:r>
        <w:t xml:space="preserve">(Villani, 2008)</w:t>
      </w:r>
      <w:r>
        <w:t xml:space="preserve">, Grassmann, linear MMD</w:t>
      </w:r>
      <w:r>
        <w:t xml:space="preserve"> </w:t>
      </w:r>
      <w:r>
        <w:t xml:space="preserve">(Sejdinovic et al., 2013)</w:t>
      </w:r>
      <w:r>
        <w:t xml:space="preserve">); part 2 covers the sampled metrics (exact EMD</w:t>
      </w:r>
      <w:r>
        <w:t xml:space="preserve"> </w:t>
      </w:r>
      <w:r>
        <w:t xml:space="preserve">(Rubner et al., 2000; Kusner et al., 2015)</w:t>
      </w:r>
      <w:r>
        <w:t xml:space="preserve">, Sinkhorn</w:t>
      </w:r>
      <w:r>
        <w:t xml:space="preserve"> </w:t>
      </w:r>
      <w:r>
        <w:t xml:space="preserve">(Cuturi, 2013)</w:t>
      </w:r>
      <w:r>
        <w:t xml:space="preserve">, energy</w:t>
      </w:r>
      <w:r>
        <w:t xml:space="preserve"> </w:t>
      </w:r>
      <w:r>
        <w:t xml:space="preserve">(Székely and Rizzo, 2013)</w:t>
      </w:r>
      <w:r>
        <w:t xml:space="preserve">,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42" w:name="tab:distributional-gap"/>
    <w:p>
      <w:pPr>
        <w:pStyle w:val="TableCaption"/>
        <w:keepNext/>
      </w:pPr>
      <w:r>
        <w:t xml:space="preserve">Table 8: Per-SDG research–policy gap under distribution-aware metrics versus the canonical centroid gap (Part 1 of 2: full-corpus exact metrics).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Per-SDG research–policy gap under distribution-aware metrics versus the canonical centroid gap (Part 1 of 2: full-corpus exact metric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42"/>
    <w:p>
      <w:pPr>
        <w:pStyle w:val="BodyText"/>
        <w:spacing w:line="240" w:lineRule="auto"/>
        <w:jc w:val="center"/>
      </w:pPr>
      <w:r>
        <w:rPr>
          <w:iCs/>
          <w:i/>
        </w:rPr>
        <w:t xml:space="preserve">Notes:</w:t>
      </w:r>
      <w:r>
        <w:t xml:space="preserve"> </w:t>
      </w:r>
      <w:r>
        <w:t xml:space="preserve">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bookmarkStart w:id="243" w:name="tab:distributional-gap-cont"/>
    <w:p>
      <w:pPr>
        <w:pStyle w:val="TableCaption"/>
        <w:keepNext/>
      </w:pPr>
      <w:r>
        <w:t xml:space="preserve">Table 9: Per-SDG research–policy gap under distribution-aware metrics versus the canonical centroid gap (Part 2 of 2: sampled metrics; continuation of Table </w:t>
      </w:r>
      <w:hyperlink w:anchor="tab:distributional-gap">
        <w:r>
          <w:rPr>
            <w:rStyle w:val="Hyperlink"/>
          </w:rPr>
          <w:t xml:space="preserve">8</w:t>
        </w:r>
      </w:hyperlink>
      <w:r>
        <w:t xml:space="preserv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Per-SDG research–policy gap under distribution-aware metrics versus the canonical centroid gap (Part 2 of 2: sampled metrics; continuation of Table 8)."/>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43"/>
    <w:p>
      <w:pPr>
        <w:pStyle w:val="BodyText"/>
        <w:spacing w:line="240" w:lineRule="auto"/>
        <w:jc w:val="center"/>
      </w:pPr>
      <w:r>
        <w:rPr>
          <w:iCs/>
          <w:i/>
        </w:rPr>
        <w:t xml:space="preserve">Notes:</w:t>
      </w:r>
      <w:r>
        <w:t xml:space="preserve"> </w:t>
      </w:r>
      <w:r>
        <w:t xml:space="preserve">EMD = exact 1-Wasserstein; MMD</w:t>
      </w:r>
      <m:oMath>
        <m:sSup>
          <m:e>
            <m:r>
              <m:t>​</m:t>
            </m:r>
          </m:e>
          <m:sup>
            <m:r>
              <m:t>2</m:t>
            </m:r>
          </m:sup>
        </m:sSup>
      </m:oMath>
      <w:r>
        <w:t xml:space="preserve"> </w:t>
      </w:r>
      <w:r>
        <w:t xml:space="preserve">= squared RBF-MMD; Centroid (samp.) = sampled centroid-gap control column.</w:t>
      </w:r>
    </w:p>
    <w:p>
      <w:pPr>
        <w:pStyle w:val="BodyText"/>
      </w:pPr>
      <w:r>
        <w:t xml:space="preserve">Table </w:t>
      </w:r>
      <w:hyperlink w:anchor="tab:distributional-h1">
        <w:r>
          <w:rPr>
            <w:rStyle w:val="Hyperlink"/>
          </w:rPr>
          <w:t xml:space="preserve">10</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44" w:name="tab:distributional-h1"/>
    <w:p>
      <w:pPr>
        <w:pStyle w:val="TableCaption"/>
        <w:keepNext/>
      </w:pPr>
      <w:r>
        <w:t xml:space="preserve">Table 10: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4</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H1a–H1d coverage-predictor vs semantic-gap Spearman correlations under distribution-aware semantic gaps (adjusted embeddings). Distributional gaps replace the centroid gap as the outcome vector; predictors and test are identical to Table 4."/>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44"/>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p>
      <w:r>
        <w:br w:type="page"/>
      </w:r>
    </w:p>
    <w:bookmarkEnd w:id="245"/>
    <w:bookmarkStart w:id="251" w:name="app:sample-stability"/>
    <w:p>
      <w:pPr>
        <w:pStyle w:val="Heading1"/>
        <w:keepNext/>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49" w:name="fig:sample-stability"/>
    <w:p>
      <w:pPr>
        <w:pStyle w:val="CaptionedFigure"/>
      </w:pPr>
      <w:r>
        <w:drawing>
          <wp:inline>
            <wp:extent cx="4693920" cy="4759495"/>
            <wp:effectExtent b="0" l="0" r="0" t="0"/>
            <wp:docPr descr="" title="" id="247" name="Picture"/>
            <a:graphic>
              <a:graphicData uri="http://schemas.openxmlformats.org/drawingml/2006/picture">
                <pic:pic>
                  <pic:nvPicPr>
                    <pic:cNvPr descr="fig11_sample_stability.png" id="248" name="Picture"/>
                    <pic:cNvPicPr>
                      <a:picLocks noChangeArrowheads="1" noChangeAspect="1"/>
                    </pic:cNvPicPr>
                  </pic:nvPicPr>
                  <pic:blipFill>
                    <a:blip r:embed="rId246"/>
                    <a:stretch>
                      <a:fillRect/>
                    </a:stretch>
                  </pic:blipFill>
                  <pic:spPr bwMode="auto">
                    <a:xfrm>
                      <a:off x="0" y="0"/>
                      <a:ext cx="4693920" cy="4759495"/>
                    </a:xfrm>
                    <a:prstGeom prst="rect">
                      <a:avLst/>
                    </a:prstGeom>
                    <a:noFill/>
                    <a:ln w="9525">
                      <a:noFill/>
                      <a:headEnd/>
                      <a:tailEnd/>
                    </a:ln>
                  </pic:spPr>
                </pic:pic>
              </a:graphicData>
            </a:graphic>
          </wp:inline>
        </w:drawing>
      </w:r>
    </w:p>
    <w:p>
      <w:pPr>
        <w:pStyle w:val="ImageCaption"/>
        <w:keepNext/>
      </w:pPr>
      <w:r>
        <w:t xml:space="preserve">Figure 9: Sample-stability ladder for the research corpus.</w:t>
      </w:r>
    </w:p>
    <w:bookmarkEnd w:id="249"/>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Lines show the per-tier mean and shaded bands the draw-to-draw</w:t>
      </w:r>
      <w:r>
        <w:t xml:space="preserve"> </w:t>
      </w:r>
      <m:oMath>
        <m:r>
          <m:rPr>
            <m:sty m:val="p"/>
          </m:rPr>
          <m:t>±</m:t>
        </m:r>
        <m:r>
          <m:t>1</m:t>
        </m:r>
      </m:oMath>
      <w:r>
        <w:t xml:space="preserve"> </w:t>
      </w:r>
      <w:r>
        <w:t xml:space="preserve">SD of the within-SDG semantic gap on the raw and register-adjusted embeddings (100 draws per tier); the star marks the deterministic full-corpus value, which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50" w:name="app:balanced-subset-stability"/>
      <w:bookmarkEnd w:id="250"/>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p>
      <w:r>
        <w:br w:type="page"/>
      </w:r>
    </w:p>
    <w:bookmarkEnd w:id="251"/>
    <w:bookmarkStart w:id="253" w:name="app:model-selection"/>
    <w:p>
      <w:pPr>
        <w:pStyle w:val="Heading1"/>
        <w:keepNext/>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52" w:name="tab:model-selection-appendix"/>
    <w:p>
      <w:pPr>
        <w:pStyle w:val="TableCaption"/>
        <w:keepNext/>
      </w:pPr>
      <w:r>
        <w:t xml:space="preserve">Table 11: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52"/>
    <w:p>
      <w:r>
        <w:br w:type="page"/>
      </w:r>
    </w:p>
    <w:bookmarkEnd w:id="253"/>
    <w:bookmarkStart w:id="276" w:name="app:register-removal"/>
    <w:p>
      <w:pPr>
        <w:pStyle w:val="Heading1"/>
        <w:keepNext/>
      </w:pPr>
      <w:r>
        <w:t xml:space="preserve">G Register Removal: Convergence and Validation</w:t>
      </w:r>
    </w:p>
    <w:bookmarkStart w:id="261" w:name="app:register-robustness"/>
    <w:p>
      <w:pPr>
        <w:pStyle w:val="Heading2"/>
        <w:keepNext/>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54" w:name="sampling-design."/>
    <w:p>
      <w:pPr>
        <w:pStyle w:val="Heading4"/>
        <w:keepNext/>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54"/>
    <w:bookmarkStart w:id="255" w:name="app:register-inlp"/>
    <w:p>
      <w:pPr>
        <w:pStyle w:val="Heading4"/>
        <w:keepNext/>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Figure </w:t>
      </w:r>
      <w:hyperlink w:anchor="fig:register-convergence">
        <w:r>
          <w:rPr>
            <w:rStyle w:val="Hyperlink"/>
          </w:rPr>
          <w:t xml:space="preserve">10</w:t>
        </w:r>
      </w:hyperlink>
      <w:r>
        <w:t xml:space="preserve"> </w:t>
      </w:r>
      <w:r>
        <w:t xml:space="preserve">shows the per-iteration paths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Fig. </w:t>
      </w:r>
      <w:hyperlink w:anchor="fig:semantic_gap">
        <w:r>
          <w:rPr>
            <w:rStyle w:val="Hyperlink"/>
          </w:rPr>
          <w:t xml:space="preserve">5</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55"/>
    <w:bookmarkStart w:id="260" w:name="cross-config-replication."/>
    <w:p>
      <w:pPr>
        <w:pStyle w:val="Heading4"/>
        <w:keepNext/>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59" w:name="fig:register-convergence"/>
    <w:p>
      <w:pPr>
        <w:pStyle w:val="CaptionedFigure"/>
      </w:pPr>
      <w:r>
        <w:drawing>
          <wp:inline>
            <wp:extent cx="4693920" cy="4884214"/>
            <wp:effectExtent b="0" l="0" r="0" t="0"/>
            <wp:docPr descr="" title="" id="257" name="Picture"/>
            <a:graphic>
              <a:graphicData uri="http://schemas.openxmlformats.org/drawingml/2006/picture">
                <pic:pic>
                  <pic:nvPicPr>
                    <pic:cNvPr descr="fig12_register_convergence.png" id="258" name="Picture"/>
                    <pic:cNvPicPr>
                      <a:picLocks noChangeArrowheads="1" noChangeAspect="1"/>
                    </pic:cNvPicPr>
                  </pic:nvPicPr>
                  <pic:blipFill>
                    <a:blip r:embed="rId256"/>
                    <a:stretch>
                      <a:fillRect/>
                    </a:stretch>
                  </pic:blipFill>
                  <pic:spPr bwMode="auto">
                    <a:xfrm>
                      <a:off x="0" y="0"/>
                      <a:ext cx="4693920" cy="4884214"/>
                    </a:xfrm>
                    <a:prstGeom prst="rect">
                      <a:avLst/>
                    </a:prstGeom>
                    <a:noFill/>
                    <a:ln w="9525">
                      <a:noFill/>
                      <a:headEnd/>
                      <a:tailEnd/>
                    </a:ln>
                  </pic:spPr>
                </pic:pic>
              </a:graphicData>
            </a:graphic>
          </wp:inline>
        </w:drawing>
      </w:r>
    </w:p>
    <w:p>
      <w:pPr>
        <w:pStyle w:val="ImageCaption"/>
        <w:keepNext/>
      </w:pPr>
      <w:r>
        <w:t xml:space="preserve">Figure 10: Stratified iterative register-removal diagnostic across the three encoder tracks.</w:t>
      </w:r>
    </w:p>
    <w:bookmarkEnd w:id="259"/>
    <w:p>
      <w:pPr>
        <w:pStyle w:val="BodyText"/>
        <w:spacing w:line="240" w:lineRule="auto"/>
        <w:jc w:val="center"/>
      </w:pPr>
      <w:r>
        <w:rPr>
          <w:iCs/>
          <w:i/>
        </w:rPr>
        <w:t xml:space="preserve">Notes:</w:t>
      </w:r>
      <w:r>
        <w:t xml:space="preserve"> </w:t>
      </w:r>
      <w:r>
        <w:t xml:space="preserve">Top: acc = held-out accuracy on a stratified 15% test split after projecting out the first</w:t>
      </w:r>
      <w:r>
        <w:t xml:space="preserve"> </w:t>
      </w:r>
      <m:oMath>
        <m:r>
          <m:t>k</m:t>
        </m:r>
      </m:oMath>
      <w:r>
        <w:t xml:space="preserve"> </w:t>
      </w:r>
      <w:r>
        <w:t xml:space="preserve">learned directions. Middle: gap = average within-SDG semantic gap after</w:t>
      </w:r>
      <w:r>
        <w:t xml:space="preserve"> </w:t>
      </w:r>
      <m:oMath>
        <m:r>
          <m:t>k</m:t>
        </m:r>
      </m:oMath>
      <w:r>
        <w:t xml:space="preserve"> </w:t>
      </w:r>
      <w:r>
        <w:t xml:space="preserve">removals. Bottom: p vs raw = Spearman rank correlation of the gap vector at iteration </w:t>
      </w:r>
      <m:oMath>
        <m:r>
          <m:t>k</m:t>
        </m:r>
      </m:oMath>
      <w:r>
        <w:t xml:space="preserve"> </w:t>
      </w:r>
      <w:r>
        <w:t xml:space="preserve">versus the raw (iteration 0, un-projected) gap vector. Values are shown at the published iterations per encoder track; curves end where a track reached the stopping threshold.</w:t>
      </w:r>
    </w:p>
    <w:bookmarkEnd w:id="260"/>
    <w:bookmarkEnd w:id="261"/>
    <w:bookmarkStart w:id="275" w:name="app:register-validation"/>
    <w:p>
      <w:pPr>
        <w:pStyle w:val="Heading2"/>
        <w:keepNext/>
      </w:pPr>
      <w:r>
        <w:t xml:space="preserve">G.2 Construct Validation</w:t>
      </w:r>
    </w:p>
    <w:bookmarkStart w:id="262" w:name="sec:regval-purpose"/>
    <w:p>
      <w:pPr>
        <w:pStyle w:val="Heading3"/>
        <w:keepNext/>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62"/>
    <w:bookmarkStart w:id="265" w:name="sec:regval-operationalisation"/>
    <w:p>
      <w:pPr>
        <w:pStyle w:val="Heading3"/>
        <w:keepNext/>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12</w:t>
        </w:r>
      </w:hyperlink>
      <w:r>
        <w:t xml:space="preserve">).</w:t>
      </w:r>
    </w:p>
    <w:bookmarkStart w:id="263" w:name="tab:register-sample-design"/>
    <w:p>
      <w:pPr>
        <w:pStyle w:val="TableCaption"/>
        <w:keepNext/>
      </w:pPr>
      <w:r>
        <w:t xml:space="preserve">Table 12: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63"/>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13</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64" w:name="tab:register-feature-contrasts"/>
    <w:p>
      <w:pPr>
        <w:pStyle w:val="TableCaption"/>
        <w:keepNext/>
      </w:pPr>
      <w:r>
        <w:t xml:space="preserve">Table 13: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64"/>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65"/>
    <w:bookmarkStart w:id="266" w:name="sec:regval-discrimination"/>
    <w:p>
      <w:pPr>
        <w:pStyle w:val="Heading3"/>
        <w:keepNext/>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15</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15</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66"/>
    <w:bookmarkStart w:id="267" w:name="sec:regval-topic"/>
    <w:p>
      <w:pPr>
        <w:pStyle w:val="Heading3"/>
        <w:keepNext/>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16</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67"/>
    <w:bookmarkStart w:id="269" w:name="sec:regval-subspace"/>
    <w:p>
      <w:pPr>
        <w:pStyle w:val="Heading3"/>
        <w:keepNext/>
      </w:pPr>
      <w:r>
        <w:t xml:space="preserve">G.2.5 Characterisation of the Removed Subspace</w:t>
      </w:r>
    </w:p>
    <w:p>
      <w:pPr>
        <w:pStyle w:val="FirstParagraph"/>
      </w:pPr>
      <w:r>
        <w:t xml:space="preserve">The tests above show that the removed component separates the corpora while preserving topic information. Two direction-space tests on the frozen SDG-balanced sample used to train </w:t>
      </w:r>
      <m:oMath>
        <m:r>
          <m:t>G</m:t>
        </m:r>
      </m:oMath>
      <w:r>
        <w:t xml:space="preserve"> </w:t>
      </w:r>
      <w:r>
        <w:t xml:space="preserve">examine its structure.</w:t>
      </w:r>
    </w:p>
    <w:p>
      <w:pPr>
        <w:pStyle w:val="BodyText"/>
      </w:pPr>
      <w:r>
        <w:rPr>
          <w:bCs/>
          <w:b/>
        </w:rPr>
        <w:t xml:space="preserve">Topic-direction orthogonality (P1).</w:t>
      </w:r>
      <w:r>
        <w:t xml:space="preserve"> </w:t>
      </w:r>
      <w:r>
        <w:t xml:space="preserve">An independent 17-class SDG-topic logistic regression on the raw embeddings gives per-SDG weight vectors </w:t>
      </w:r>
      <m:oMath>
        <m:sSub>
          <m:e>
            <m:r>
              <m:t>w</m:t>
            </m:r>
          </m:e>
          <m:sub>
            <m:r>
              <m:t>s</m:t>
            </m:r>
          </m:sub>
        </m:sSub>
      </m:oMath>
      <w:r>
        <w:t xml:space="preserve">. Alignment with</w:t>
      </w:r>
      <w:r>
        <w:t xml:space="preserve"> </w:t>
      </w:r>
      <m:oMath>
        <m:r>
          <m:t>s</m:t>
        </m:r>
        <m:r>
          <m:t>p</m:t>
        </m:r>
        <m:r>
          <m:t>a</m:t>
        </m:r>
        <m:r>
          <m:t>n</m:t>
        </m:r>
        <m:d>
          <m:dPr>
            <m:begChr m:val="("/>
            <m:endChr m:val=")"/>
            <m:sepChr m:val=""/>
            <m:grow/>
          </m:dPr>
          <m:e>
            <m:r>
              <m:t>G</m:t>
            </m:r>
          </m:e>
        </m:d>
      </m:oMath>
      <w:r>
        <w:t xml:space="preserve"> </w:t>
      </w:r>
      <w:r>
        <w:t xml:space="preserve">is</w:t>
      </w:r>
      <w:r>
        <w:t xml:space="preserve"> </w:t>
      </w:r>
      <m:oMath>
        <m:r>
          <m:rPr>
            <m:sty m:val="p"/>
          </m:rPr>
          <m:t>∥</m:t>
        </m:r>
        <m:r>
          <m:t>G</m:t>
        </m:r>
        <m:sSub>
          <m:e>
            <m:r>
              <m:t>w</m:t>
            </m:r>
          </m:e>
          <m:sub>
            <m:r>
              <m:t>s</m:t>
            </m:r>
          </m:sub>
        </m:sSub>
        <m:r>
          <m:rPr>
            <m:sty m:val="p"/>
          </m:rPr>
          <m:t>∥</m:t>
        </m:r>
        <m:r>
          <m:rPr>
            <m:sty m:val="p"/>
          </m:rPr>
          <m:t>/</m:t>
        </m:r>
        <m:r>
          <m:rPr>
            <m:sty m:val="p"/>
          </m:rPr>
          <m:t>∥</m:t>
        </m:r>
        <m:sSub>
          <m:e>
            <m:r>
              <m:t>w</m:t>
            </m:r>
          </m:e>
          <m:sub>
            <m:r>
              <m:t>s</m:t>
            </m:r>
          </m:sub>
        </m:sSub>
        <m:r>
          <m:rPr>
            <m:sty m:val="p"/>
          </m:rPr>
          <m:t>∥</m:t>
        </m:r>
      </m:oMath>
      <w:r>
        <w:t xml:space="preserve">. The topic weights align with</w:t>
      </w:r>
      <w:r>
        <w:t xml:space="preserve"> </w:t>
      </w:r>
      <m:oMath>
        <m:r>
          <m:t>s</m:t>
        </m:r>
        <m:r>
          <m:t>p</m:t>
        </m:r>
        <m:r>
          <m:t>a</m:t>
        </m:r>
        <m:r>
          <m:t>n</m:t>
        </m:r>
        <m:d>
          <m:dPr>
            <m:begChr m:val="("/>
            <m:endChr m:val=")"/>
            <m:sepChr m:val=""/>
            <m:grow/>
          </m:dPr>
          <m:e>
            <m:r>
              <m:t>G</m:t>
            </m:r>
          </m:e>
        </m:d>
      </m:oMath>
      <w:r>
        <w:t xml:space="preserve"> </w:t>
      </w:r>
      <w:r>
        <w:t xml:space="preserve">at a mean of 0.248 (max 0.430), no more than a random 62-dimensional subspace (0.286, expected</w:t>
      </w:r>
      <w:r>
        <w:t xml:space="preserve"> </w:t>
      </w:r>
      <m:oMath>
        <m:rad>
          <m:radPr>
            <m:degHide m:val="on"/>
          </m:radPr>
          <m:deg/>
          <m:e>
            <m:r>
              <m:t>62</m:t>
            </m:r>
            <m:r>
              <m:rPr>
                <m:sty m:val="p"/>
              </m:rPr>
              <m:t>/</m:t>
            </m:r>
            <m:r>
              <m:t>768</m:t>
            </m:r>
          </m:e>
        </m:rad>
        <m:r>
          <m:rPr>
            <m:sty m:val="p"/>
          </m:rPr>
          <m:t>≈</m:t>
        </m:r>
        <m:r>
          <m:t>0.284</m:t>
        </m:r>
      </m:oMath>
      <w:r>
        <w:t xml:space="preserve">); the corpus/register direction lies inside</w:t>
      </w:r>
      <w:r>
        <w:t xml:space="preserve"> </w:t>
      </w:r>
      <m:oMath>
        <m:r>
          <m:t>s</m:t>
        </m:r>
        <m:r>
          <m:t>p</m:t>
        </m:r>
        <m:r>
          <m:t>a</m:t>
        </m:r>
        <m:r>
          <m:t>n</m:t>
        </m:r>
        <m:d>
          <m:dPr>
            <m:begChr m:val="("/>
            <m:endChr m:val=")"/>
            <m:sepChr m:val=""/>
            <m:grow/>
          </m:dPr>
          <m:e>
            <m:r>
              <m:t>G</m:t>
            </m:r>
          </m:e>
        </m:d>
      </m:oMath>
      <w:r>
        <w:t xml:space="preserve"> </w:t>
      </w:r>
      <w:r>
        <w:t xml:space="preserve">at 0.979 (random 0.242). The removed subspace shows no preferential alignment with the independent SDG-topic directions, which argues against substantial SDG-topic leakage.</w:t>
      </w:r>
    </w:p>
    <w:p>
      <w:pPr>
        <w:pStyle w:val="BodyText"/>
      </w:pPr>
      <w:r>
        <w:rPr>
          <w:bCs/>
          <w:b/>
        </w:rPr>
        <w:t xml:space="preserve">Held-out-SDG generalisation (P2).</w:t>
      </w:r>
      <w:r>
        <w:t xml:space="preserve"> </w:t>
      </w:r>
      <w:r>
        <w:t xml:space="preserve">Leave-one-SDG-out, a corpus classifier trained on the other 16 SDGs still separates research from policy on the held-out SDG at 0.967 (full-data 0.978; held-out directions align with</w:t>
      </w:r>
      <w:r>
        <w:t xml:space="preserve"> </w:t>
      </w:r>
      <m:oMath>
        <m:r>
          <m:t>s</m:t>
        </m:r>
        <m:r>
          <m:t>p</m:t>
        </m:r>
        <m:r>
          <m:t>a</m:t>
        </m:r>
        <m:r>
          <m:t>n</m:t>
        </m:r>
        <m:d>
          <m:dPr>
            <m:begChr m:val="("/>
            <m:endChr m:val=")"/>
            <m:sepChr m:val=""/>
            <m:grow/>
          </m:dPr>
          <m:e>
            <m:r>
              <m:t>G</m:t>
            </m:r>
          </m:e>
        </m:d>
      </m:oMath>
      <w:r>
        <w:t xml:space="preserve"> </w:t>
      </w:r>
      <w:r>
        <w:t xml:space="preserve">at 0.981). These results argue against topic leakage. The direction generalises across unseen SDGs, which is consistent with a corpus-level component rather than an SDG-specific direction. A control topic direction (SDG 1 vs SDG 2) trains at 0.991 but classifies the other SDGs’ research at only 0.781 (chance 0.5); a register direction trained on only SDG 1+2 still classifies the other 15 SDGs at 0.920, so the 0.967 is not a training-mass artefact (Table </w:t>
      </w:r>
      <w:hyperlink w:anchor="tab:register-subspace">
        <w:r>
          <w:rPr>
            <w:rStyle w:val="Hyperlink"/>
          </w:rPr>
          <w:t xml:space="preserve">14</w:t>
        </w:r>
      </w:hyperlink>
      <w:r>
        <w:t xml:space="preserve">).</w:t>
      </w:r>
    </w:p>
    <w:p>
      <w:pPr>
        <w:pStyle w:val="BodyText"/>
      </w:pPr>
      <w:r>
        <w:rPr>
          <w:bCs/>
          <w:b/>
        </w:rPr>
        <w:t xml:space="preserve">Lexical signature and interpretive limits.</w:t>
      </w:r>
      <w:r>
        <w:t xml:space="preserve"> </w:t>
      </w:r>
      <w:r>
        <w:t xml:space="preserve">The removed subspace’s word-level projection is weak and inconclusive. It does not provide a clean lexical fingerprint. In a full-vocabulary scan the maximum projection onto</w:t>
      </w:r>
      <w:r>
        <w:t xml:space="preserve"> </w:t>
      </w:r>
      <m:oMath>
        <m:r>
          <m:t>s</m:t>
        </m:r>
        <m:r>
          <m:t>p</m:t>
        </m:r>
        <m:r>
          <m:t>a</m:t>
        </m:r>
        <m:r>
          <m:t>n</m:t>
        </m:r>
        <m:d>
          <m:dPr>
            <m:begChr m:val="("/>
            <m:endChr m:val=")"/>
            <m:sepChr m:val=""/>
            <m:grow/>
          </m:dPr>
          <m:e>
            <m:r>
              <m:t>G</m:t>
            </m:r>
          </m:e>
        </m:d>
      </m:oMath>
      <w:r>
        <w:t xml:space="preserve"> </w:t>
      </w:r>
      <w:r>
        <w:t xml:space="preserve">is 0.527, versus 0.401 for a random 62-dimensional subspace. This modest gap indicates limited alignment with any specific vocabulary. The highest-scoring words combine a development–economy–governance cluster (</w:t>
      </w:r>
      <w:r>
        <w:rPr>
          <w:iCs/>
          <w:i/>
        </w:rPr>
        <w:t xml:space="preserve">underdevelopment, economy, economically, infrastructure, governance, legislation, poverty, prosperity, socioeconomic, sustainable, liberalization, nationalize, decentralization, democratization</w:t>
      </w:r>
      <w:r>
        <w:t xml:space="preserve">) together with</w:t>
      </w:r>
      <w:r>
        <w:t xml:space="preserve"> </w:t>
      </w:r>
      <w:r>
        <w:rPr>
          <w:iCs/>
          <w:i/>
        </w:rPr>
        <w:t xml:space="preserve">ai</w:t>
      </w:r>
      <w:r>
        <w:t xml:space="preserve"> </w:t>
      </w:r>
      <w:r>
        <w:t xml:space="preserve">and</w:t>
      </w:r>
      <w:r>
        <w:t xml:space="preserve"> </w:t>
      </w:r>
      <w:r>
        <w:rPr>
          <w:iCs/>
          <w:i/>
        </w:rPr>
        <w:t xml:space="preserve">convolutional</w:t>
      </w:r>
      <w:r>
        <w:t xml:space="preserve"> </w:t>
      </w:r>
      <w:r>
        <w:t xml:space="preserve">(apt for an AI-policy corpus), with a long tail of rare morphological variants (</w:t>
      </w:r>
      <w:r>
        <w:rPr>
          <w:iCs/>
          <w:i/>
        </w:rPr>
        <w:t xml:space="preserve">developmentary, socionomics, governmentalize, reprivatization, deindustrialization</w:t>
      </w:r>
      <w:r>
        <w:t xml:space="preserve">) and obscure lexicon items (</w:t>
      </w:r>
      <w:r>
        <w:rPr>
          <w:iCs/>
          <w:i/>
        </w:rPr>
        <w:t xml:space="preserve">microtasimeter, sciuroid, astrolabe, decipium</w:t>
      </w:r>
      <w:r>
        <w:t xml:space="preserve">) that score highly for incidental embedding reasons; SDG leaf-topics (climate, water, health, biodiversity) are absent from the top words. The full ranked list (top 200 words and the random-subspace null) is in the committed scan file. This word-level evidence does not establish a policy-domain vocabulary. P1 and P2 support the narrower interpretation that the removed subspace captures corpus-associated variation that is partly register-like. Embedding spaces encode word content on their dominant linear directions</w:t>
      </w:r>
      <w:r>
        <w:t xml:space="preserve"> </w:t>
      </w:r>
      <w:r>
        <w:t xml:space="preserve">(Conneau et al., 2018; Alain and Bengio, 2018; Ethayarajh, 2019)</w:t>
      </w:r>
      <w:r>
        <w:t xml:space="preserve">, and register is entangled with topic and domain</w:t>
      </w:r>
      <w:r>
        <w:t xml:space="preserve"> </w:t>
      </w:r>
      <w:r>
        <w:t xml:space="preserve">(Grieve et al., 2025; John et al., 2019)</w:t>
      </w:r>
      <w:r>
        <w:t xml:space="preserve">; the corpus-separating direction INLP learns therefore reflects prevalent cross-cutting vocabulary (development, economic, governance) rather than genre. The projection also differs from the Biber surface-register features targeted by the manual score in G.2.2: that score tracks</w:t>
      </w:r>
      <w:r>
        <w:t xml:space="preserve"> </w:t>
      </w:r>
      <m:oMath>
        <m:r>
          <m:t>G</m:t>
        </m:r>
      </m:oMath>
      <w:r>
        <w:t xml:space="preserve"> </w:t>
      </w:r>
      <w:r>
        <w:t xml:space="preserve">only weakly (</w:t>
      </w:r>
      <m:oMath>
        <m:r>
          <m:t>ρ</m:t>
        </m:r>
        <m:r>
          <m:rPr>
            <m:sty m:val="p"/>
          </m:rPr>
          <m:t>≈</m:t>
        </m:r>
        <m:r>
          <m:t>0.10</m:t>
        </m:r>
      </m:oMath>
      <w:r>
        <w:t xml:space="preserve">).</w:t>
      </w:r>
    </w:p>
    <w:p>
      <w:pPr>
        <w:pStyle w:val="BodyText"/>
      </w:pPr>
      <w:r>
        <w:rPr>
          <w:bCs/>
          <w:b/>
        </w:rPr>
        <w:t xml:space="preserve">Implementation trust.</w:t>
      </w:r>
      <w:r>
        <w:t xml:space="preserve"> </w:t>
      </w:r>
      <w:r>
        <w:t xml:space="preserve">The INLP loop that produced </w:t>
      </w:r>
      <m:oMath>
        <m:r>
          <m:t>G</m:t>
        </m:r>
      </m:oMath>
      <w:r>
        <w:t xml:space="preserve"> </w:t>
      </w:r>
      <w:r>
        <w:t xml:space="preserve">was verified bit-for-bit against Ravfogel et al.’s reference implementation: principal-angle cosines between the two removed subspaces are 1.0 and a fresh classifier collapses to chance after either projection (promoted parity check at</w:t>
      </w:r>
      <w:r>
        <w:t xml:space="preserve"> </w:t>
      </w:r>
      <w:r>
        <w:rPr>
          <w:rStyle w:val="VerbatimChar"/>
        </w:rPr>
        <w:t xml:space="preserve">1_code/_inlp_parity/</w:t>
      </w:r>
      <w:r>
        <w:t xml:space="preserve">; synthesis in</w:t>
      </w:r>
      <w:r>
        <w:t xml:space="preserve"> </w:t>
      </w:r>
      <w:r>
        <w:rPr>
          <w:rStyle w:val="VerbatimChar"/>
        </w:rPr>
        <w:t xml:space="preserve">5_notes/register_validity/VALIDITY_REPORT.md</w:t>
      </w:r>
      <w:r>
        <w:t xml:space="preserve">, §6). The P1/P2 results are trustworthy as INLP results.</w:t>
      </w:r>
    </w:p>
    <w:p>
      <w:pPr>
        <w:pStyle w:val="BodyText"/>
      </w:pPr>
      <w:r>
        <w:rPr>
          <w:bCs/>
          <w:b/>
        </w:rPr>
        <w:t xml:space="preserve">Scope.</w:t>
      </w:r>
      <w:r>
        <w:t xml:space="preserve"> </w:t>
      </w:r>
      <w:r>
        <w:t xml:space="preserve">These tests are MPNet-canonical only; MiniLM and SciBERT were not re-verified under P1/P2.</w:t>
      </w:r>
    </w:p>
    <w:bookmarkStart w:id="268" w:name="tab:register-subspace"/>
    <w:p>
      <w:pPr>
        <w:pStyle w:val="TableCaption"/>
        <w:keepNext/>
      </w:pPr>
      <w:r>
        <w:t xml:space="preserve">Table 14: Direction-space characterisation of the removed subspace</w:t>
      </w:r>
      <w:r>
        <w:t xml:space="preserve"> </w:t>
      </w:r>
      <m:oMath>
        <m:r>
          <m:t>G</m:t>
        </m:r>
      </m:oMath>
      <w:r>
        <w:t xml:space="preserve"> </w:t>
      </w:r>
      <w:r>
        <w:t xml:space="preserve">(MPNet canon).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Direction-space characterisation of the removed subspace G (MPNet canon)."/>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Test</w:t>
            </w:r>
          </w:p>
        </w:tc>
        <w:tc>
          <w:tcPr>
            <w:tcBorders>
              <w:bottom w:val="single" w:sz="8" w:space="0" w:color="auto"/>
            </w:tcBorders>
          </w:tcPr>
          <w:p>
            <w:pPr>
              <w:pStyle w:val="Compact"/>
              <w:keepNext/>
              <w:jc w:val="left"/>
            </w:pPr>
            <w:r>
              <w:t xml:space="preserve">Quantity</w:t>
            </w:r>
          </w:p>
        </w:tc>
        <w:tc>
          <w:tcPr>
            <w:tcBorders>
              <w:bottom w:val="single" w:sz="8" w:space="0" w:color="auto"/>
            </w:tcBorders>
          </w:tcPr>
          <w:p>
            <w:pPr>
              <w:pStyle w:val="Compact"/>
              <w:keepNext/>
              <w:jc w:val="right"/>
            </w:pPr>
            <w:r>
              <w:t xml:space="preserve">Value</w:t>
            </w:r>
          </w:p>
        </w:tc>
        <w:tc>
          <w:tcPr>
            <w:tcBorders>
              <w:bottom w:val="single" w:sz="8" w:space="0" w:color="auto"/>
            </w:tcBorders>
          </w:tcPr>
          <w:p>
            <w:pPr>
              <w:pStyle w:val="Compact"/>
              <w:keepNext/>
              <w:jc w:val="left"/>
            </w:pPr>
            <w:r>
              <w:t xml:space="preserve">Comparison</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(mean)</w:t>
            </w:r>
          </w:p>
        </w:tc>
        <w:tc>
          <w:tcPr/>
          <w:p>
            <w:pPr>
              <w:pStyle w:val="Compact"/>
              <w:keepNext/>
              <w:jc w:val="right"/>
            </w:pPr>
            <w:r>
              <w:t xml:space="preserve">0.248</w:t>
            </w:r>
          </w:p>
        </w:tc>
        <w:tc>
          <w:tcPr/>
          <w:p>
            <w:pPr>
              <w:pStyle w:val="Compact"/>
              <w:keepNext/>
              <w:jc w:val="left"/>
            </w:pPr>
            <w:r>
              <w:t xml:space="preserve">random 0.286</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(max)</w:t>
            </w:r>
          </w:p>
        </w:tc>
        <w:tc>
          <w:tcPr/>
          <w:p>
            <w:pPr>
              <w:pStyle w:val="Compact"/>
              <w:keepNext/>
              <w:jc w:val="right"/>
            </w:pPr>
            <w:r>
              <w:t xml:space="preserve">0.430</w:t>
            </w:r>
          </w:p>
        </w:tc>
        <w:tc>
          <w:tcPr/>
          <w:p>
            <w:pPr>
              <w:pStyle w:val="Compact"/>
              <w:keepNext/>
              <w:jc w:val="left"/>
            </w:pPr>
            <w:r>
              <w:t xml:space="preserve">—</w:t>
            </w:r>
          </w:p>
        </w:tc>
      </w:tr>
      <w:tr>
        <w:trPr>
          <w:cantSplit/>
        </w:trPr>
        <w:tc>
          <w:tcPr/>
          <w:p>
            <w:pPr>
              <w:pStyle w:val="Compact"/>
              <w:keepNext/>
              <w:jc w:val="left"/>
            </w:pPr>
            <w:r>
              <w:t xml:space="preserve">P1</w:t>
            </w:r>
          </w:p>
        </w:tc>
        <w:tc>
          <w:tcPr/>
          <w:p>
            <w:pPr>
              <w:pStyle w:val="Compact"/>
              <w:keepNext/>
              <w:jc w:val="left"/>
            </w:pPr>
            <w:r>
              <w:t xml:space="preserve">Corpus/register align. w/</w:t>
            </w:r>
            <w:r>
              <w:t xml:space="preserve"> </w:t>
            </w:r>
            <m:oMath>
              <m:r>
                <m:t>s</m:t>
              </m:r>
              <m:r>
                <m:t>p</m:t>
              </m:r>
              <m:r>
                <m:t>a</m:t>
              </m:r>
              <m:r>
                <m:t>n</m:t>
              </m:r>
              <m:d>
                <m:dPr>
                  <m:begChr m:val="("/>
                  <m:endChr m:val=")"/>
                  <m:sepChr m:val=""/>
                  <m:grow/>
                </m:dPr>
                <m:e>
                  <m:r>
                    <m:t>G</m:t>
                  </m:r>
                </m:e>
              </m:d>
            </m:oMath>
          </w:p>
        </w:tc>
        <w:tc>
          <w:tcPr/>
          <w:p>
            <w:pPr>
              <w:pStyle w:val="Compact"/>
              <w:keepNext/>
              <w:jc w:val="right"/>
            </w:pPr>
            <w:r>
              <w:t xml:space="preserve">0.979</w:t>
            </w:r>
          </w:p>
        </w:tc>
        <w:tc>
          <w:tcPr/>
          <w:p>
            <w:pPr>
              <w:pStyle w:val="Compact"/>
              <w:keepNext/>
              <w:jc w:val="left"/>
            </w:pPr>
            <w:r>
              <w:t xml:space="preserve">random 0.242</w:t>
            </w:r>
          </w:p>
        </w:tc>
      </w:tr>
      <w:tr>
        <w:trPr>
          <w:cantSplit/>
        </w:trPr>
        <w:tc>
          <w:tcPr/>
          <w:p>
            <w:pPr>
              <w:pStyle w:val="Compact"/>
              <w:keepNext/>
              <w:jc w:val="left"/>
            </w:pPr>
            <w:r>
              <w:t xml:space="preserve">P2</w:t>
            </w:r>
          </w:p>
        </w:tc>
        <w:tc>
          <w:tcPr/>
          <w:p>
            <w:pPr>
              <w:pStyle w:val="Compact"/>
              <w:keepNext/>
              <w:jc w:val="left"/>
            </w:pPr>
            <w:r>
              <w:t xml:space="preserve">Held-out-SDG corpus acc. (mean)</w:t>
            </w:r>
          </w:p>
        </w:tc>
        <w:tc>
          <w:tcPr/>
          <w:p>
            <w:pPr>
              <w:pStyle w:val="Compact"/>
              <w:keepNext/>
              <w:jc w:val="right"/>
            </w:pPr>
            <w:r>
              <w:t xml:space="preserve">0.967</w:t>
            </w:r>
          </w:p>
        </w:tc>
        <w:tc>
          <w:tcPr/>
          <w:p>
            <w:pPr>
              <w:pStyle w:val="Compact"/>
              <w:keepNext/>
              <w:jc w:val="left"/>
            </w:pPr>
            <w:r>
              <w:t xml:space="preserve">full-data 0.978</w:t>
            </w:r>
          </w:p>
        </w:tc>
      </w:tr>
      <w:tr>
        <w:trPr>
          <w:cantSplit/>
        </w:trPr>
        <w:tc>
          <w:tcPr/>
          <w:p>
            <w:pPr>
              <w:pStyle w:val="Compact"/>
              <w:keepNext/>
              <w:jc w:val="left"/>
            </w:pPr>
            <w:r>
              <w:t xml:space="preserve">P2</w:t>
            </w:r>
          </w:p>
        </w:tc>
        <w:tc>
          <w:tcPr/>
          <w:p>
            <w:pPr>
              <w:pStyle w:val="Compact"/>
              <w:keepNext/>
              <w:jc w:val="left"/>
            </w:pPr>
            <w:r>
              <w:t xml:space="preserve">Topic-control dir. on other SDGs</w:t>
            </w:r>
          </w:p>
        </w:tc>
        <w:tc>
          <w:tcPr/>
          <w:p>
            <w:pPr>
              <w:pStyle w:val="Compact"/>
              <w:keepNext/>
              <w:jc w:val="right"/>
            </w:pPr>
            <w:r>
              <w:t xml:space="preserve">0.781</w:t>
            </w:r>
          </w:p>
        </w:tc>
        <w:tc>
          <w:tcPr/>
          <w:p>
            <w:pPr>
              <w:pStyle w:val="Compact"/>
              <w:keepNext/>
              <w:jc w:val="left"/>
            </w:pPr>
            <w:r>
              <w:t xml:space="preserve">chance 0.5</w:t>
            </w:r>
          </w:p>
        </w:tc>
      </w:tr>
      <w:tr>
        <w:trPr>
          <w:cantSplit/>
        </w:trPr>
        <w:tc>
          <w:tcPr/>
          <w:p>
            <w:pPr>
              <w:pStyle w:val="Compact"/>
              <w:keepNext/>
              <w:jc w:val="left"/>
            </w:pPr>
            <w:r>
              <w:t xml:space="preserve">P2</w:t>
            </w:r>
          </w:p>
        </w:tc>
        <w:tc>
          <w:tcPr/>
          <w:p>
            <w:pPr>
              <w:pStyle w:val="Compact"/>
              <w:keepNext/>
              <w:jc w:val="left"/>
            </w:pPr>
            <w:r>
              <w:t xml:space="preserve">Register dir. (2 SDG) on other 15</w:t>
            </w:r>
          </w:p>
        </w:tc>
        <w:tc>
          <w:tcPr/>
          <w:p>
            <w:pPr>
              <w:pStyle w:val="Compact"/>
              <w:keepNext/>
              <w:jc w:val="right"/>
            </w:pPr>
            <w:r>
              <w:t xml:space="preserve">0.920</w:t>
            </w:r>
          </w:p>
        </w:tc>
        <w:tc>
          <w:tcPr/>
          <w:p>
            <w:pPr>
              <w:pStyle w:val="Compact"/>
              <w:keepNext/>
              <w:jc w:val="left"/>
            </w:pPr>
            <w:r>
              <w:t xml:space="preserve">train 0.976</w:t>
            </w:r>
          </w:p>
        </w:tc>
      </w:tr>
      <w:tr>
        <w:trPr>
          <w:cantSplit/>
        </w:trPr>
        <w:tc>
          <w:tcPr/>
          <w:p>
            <w:pPr>
              <w:pStyle w:val="Compact"/>
              <w:jc w:val="left"/>
            </w:pPr>
            <w:r>
              <w:t xml:space="preserve">P0b</w:t>
            </w:r>
          </w:p>
        </w:tc>
        <w:tc>
          <w:tcPr/>
          <w:p>
            <w:pPr>
              <w:pStyle w:val="Compact"/>
              <w:jc w:val="left"/>
            </w:pPr>
            <w:r>
              <w:t xml:space="preserve">Max vocab projection on</w:t>
            </w:r>
            <w:r>
              <w:t xml:space="preserve"> </w:t>
            </w:r>
            <m:oMath>
              <m:r>
                <m:t>s</m:t>
              </m:r>
              <m:r>
                <m:t>p</m:t>
              </m:r>
              <m:r>
                <m:t>a</m:t>
              </m:r>
              <m:r>
                <m:t>n</m:t>
              </m:r>
              <m:d>
                <m:dPr>
                  <m:begChr m:val="("/>
                  <m:endChr m:val=")"/>
                  <m:sepChr m:val=""/>
                  <m:grow/>
                </m:dPr>
                <m:e>
                  <m:r>
                    <m:t>G</m:t>
                  </m:r>
                </m:e>
              </m:d>
            </m:oMath>
          </w:p>
        </w:tc>
        <w:tc>
          <w:tcPr/>
          <w:p>
            <w:pPr>
              <w:pStyle w:val="Compact"/>
              <w:jc w:val="right"/>
            </w:pPr>
            <w:r>
              <w:t xml:space="preserve">0.527</w:t>
            </w:r>
          </w:p>
        </w:tc>
        <w:tc>
          <w:tcPr/>
          <w:p>
            <w:pPr>
              <w:pStyle w:val="Compact"/>
              <w:jc w:val="left"/>
            </w:pPr>
            <w:r>
              <w:t xml:space="preserve">random 0.401</w:t>
            </w:r>
          </w:p>
        </w:tc>
      </w:tr>
    </w:tbl>
    <w:bookmarkEnd w:id="268"/>
    <w:p>
      <w:pPr>
        <w:pStyle w:val="BodyText"/>
        <w:spacing w:line="240" w:lineRule="auto"/>
        <w:jc w:val="center"/>
      </w:pPr>
      <w:r>
        <w:rPr>
          <w:iCs/>
          <w:i/>
        </w:rPr>
        <w:t xml:space="preserve">Notes:</w:t>
      </w:r>
      <w:r>
        <w:t xml:space="preserve"> </w:t>
      </w:r>
      <w:r>
        <w:t xml:space="preserve">P1 aligns independent SDG-topic and corpus logistic-regression weight vectors with</w:t>
      </w:r>
      <w:r>
        <w:t xml:space="preserve"> </w:t>
      </w:r>
      <m:oMath>
        <m:r>
          <m:t>s</m:t>
        </m:r>
        <m:r>
          <m:t>p</m:t>
        </m:r>
        <m:r>
          <m:t>a</m:t>
        </m:r>
        <m:r>
          <m:t>n</m:t>
        </m:r>
        <m:d>
          <m:dPr>
            <m:begChr m:val="("/>
            <m:endChr m:val=")"/>
            <m:sepChr m:val=""/>
            <m:grow/>
          </m:dPr>
          <m:e>
            <m:r>
              <m:t>G</m:t>
            </m:r>
          </m:e>
        </m:d>
      </m:oMath>
      <w:r>
        <w:t xml:space="preserve"> </w:t>
      </w:r>
      <w:r>
        <w:t xml:space="preserve">(orthonormal rows, so alignment</w:t>
      </w:r>
      <w:r>
        <w:t xml:space="preserve"> </w:t>
      </w:r>
      <m:oMath>
        <m:r>
          <m:rPr>
            <m:sty m:val="p"/>
          </m:rPr>
          <m:t>=</m:t>
        </m:r>
        <m:r>
          <m:rPr>
            <m:sty m:val="p"/>
          </m:rPr>
          <m:t>∥</m:t>
        </m:r>
        <m:r>
          <m:t>G</m:t>
        </m:r>
        <m:r>
          <m:t>w</m:t>
        </m:r>
        <m:r>
          <m:rPr>
            <m:sty m:val="p"/>
          </m:rPr>
          <m:t>∥</m:t>
        </m:r>
        <m:r>
          <m:rPr>
            <m:sty m:val="p"/>
          </m:rPr>
          <m:t>/</m:t>
        </m:r>
        <m:r>
          <m:rPr>
            <m:sty m:val="p"/>
          </m:rPr>
          <m:t>∥</m:t>
        </m:r>
        <m:r>
          <m:t>w</m:t>
        </m:r>
        <m:r>
          <m:rPr>
            <m:sty m:val="p"/>
          </m:rPr>
          <m:t>∥</m:t>
        </m:r>
      </m:oMath>
      <w:r>
        <w:t xml:space="preserve">); a random 62-dimensional subspace is the null. P2 is leave-one-SDG-out corpus-classification accuracy; the topic control is an SDG 1-vs-2 direction’s accuracy on other SDGs’ research (chance 0.5), and the balanced control is a register direction trained on only SDG 1+2 tested on the other 15 SDGs. P0b calibration is the maximum projection norm of the full English vocabulary onto</w:t>
      </w:r>
      <w:r>
        <w:t xml:space="preserve"> </w:t>
      </w:r>
      <m:oMath>
        <m:r>
          <m:t>s</m:t>
        </m:r>
        <m:r>
          <m:t>p</m:t>
        </m:r>
        <m:r>
          <m:t>a</m:t>
        </m:r>
        <m:r>
          <m:t>n</m:t>
        </m:r>
        <m:d>
          <m:dPr>
            <m:begChr m:val="("/>
            <m:endChr m:val=")"/>
            <m:sepChr m:val=""/>
            <m:grow/>
          </m:dPr>
          <m:e>
            <m:r>
              <m:t>G</m:t>
            </m:r>
          </m:e>
        </m:d>
      </m:oMath>
      <w:r>
        <w:t xml:space="preserve"> </w:t>
      </w:r>
      <w:r>
        <w:t xml:space="preserve">versus a random subspace. All figures reproduce from frozen embeddings and</w:t>
      </w:r>
      <w:r>
        <w:t xml:space="preserve"> </w:t>
      </w:r>
      <m:oMath>
        <m:r>
          <m:t>G</m:t>
        </m:r>
      </m:oMath>
      <w:r>
        <w:t xml:space="preserve"> </w:t>
      </w:r>
      <w:r>
        <w:t xml:space="preserve">under seed 42.</w:t>
      </w:r>
    </w:p>
    <w:bookmarkEnd w:id="269"/>
    <w:bookmarkStart w:id="270" w:name="sec:regval-residual"/>
    <w:p>
      <w:pPr>
        <w:pStyle w:val="Heading3"/>
        <w:keepNext/>
      </w:pPr>
      <w:r>
        <w:t xml:space="preserve">G.2.6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70"/>
    <w:bookmarkStart w:id="271" w:name="sec:regval-conclusion"/>
    <w:p>
      <w:pPr>
        <w:pStyle w:val="Heading3"/>
        <w:keepNext/>
      </w:pPr>
      <w:r>
        <w:t xml:space="preserve">G.2.7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samples (Table </w:t>
      </w:r>
      <w:hyperlink w:anchor="tab:register-validation-accuracy">
        <w:r>
          <w:rPr>
            <w:rStyle w:val="Hyperlink"/>
          </w:rPr>
          <w:t xml:space="preserve">15</w:t>
        </w:r>
      </w:hyperlink>
      <w:r>
        <w:t xml:space="preserve">).</w:t>
      </w:r>
    </w:p>
    <w:p>
      <w:pPr>
        <w:numPr>
          <w:ilvl w:val="0"/>
          <w:numId w:val="1006"/>
        </w:numPr>
      </w:pPr>
      <w:r>
        <w:t xml:space="preserve">The removed component is not SDG topic loss: 17-way SDG selectivity is essentially unchanged (Table </w:t>
      </w:r>
      <w:hyperlink w:anchor="tab:register-validation-selectivity">
        <w:r>
          <w:rPr>
            <w:rStyle w:val="Hyperlink"/>
          </w:rPr>
          <w:t xml:space="preserve">16</w:t>
        </w:r>
      </w:hyperlink>
      <w:r>
        <w:t xml:space="preserve">), and SDG-topic weight vectors are orthogonal to</w:t>
      </w:r>
      <w:r>
        <w:t xml:space="preserve"> </w:t>
      </w:r>
      <m:oMath>
        <m:r>
          <m:t>s</m:t>
        </m:r>
        <m:r>
          <m:t>p</m:t>
        </m:r>
        <m:r>
          <m:t>a</m:t>
        </m:r>
        <m:r>
          <m:t>n</m:t>
        </m:r>
        <m:d>
          <m:dPr>
            <m:begChr m:val="("/>
            <m:endChr m:val=")"/>
            <m:sepChr m:val=""/>
            <m:grow/>
          </m:dPr>
          <m:e>
            <m:r>
              <m:t>G</m:t>
            </m:r>
          </m:e>
        </m:d>
      </m:oMath>
      <w:r>
        <w:t xml:space="preserve"> </w:t>
      </w:r>
      <w:r>
        <w:t xml:space="preserve">while the corpus/register direction lies inside it (P1; Table </w:t>
      </w:r>
      <w:hyperlink w:anchor="tab:register-subspace">
        <w:r>
          <w:rPr>
            <w:rStyle w:val="Hyperlink"/>
          </w:rPr>
          <w:t xml:space="preserve">14</w:t>
        </w:r>
      </w:hyperlink>
      <w:r>
        <w:t xml:space="preserve">).</w:t>
      </w:r>
    </w:p>
    <w:p>
      <w:pPr>
        <w:numPr>
          <w:ilvl w:val="0"/>
          <w:numId w:val="1006"/>
        </w:numPr>
      </w:pPr>
      <w:r>
        <w:t xml:space="preserve">The register direction generalises across held-out SDGs at 0.967 (P2), falsifying the topic-leakage threat; the removed subspace is topic-independent at the SDG level.</w:t>
      </w:r>
    </w:p>
    <w:p>
      <w:pPr>
        <w:numPr>
          <w:ilvl w:val="0"/>
          <w:numId w:val="1006"/>
        </w:numPr>
      </w:pPr>
      <w:r>
        <w:t xml:space="preserve">Apparent residual register signals were sampling/document-clustering effects, not stable residual structure: the removed-magnitude and centroid-distance associations vanished or reversed on the controlled sample, and the one surviving within-SDG trace was draw-unstable.</w:t>
      </w:r>
    </w:p>
    <w:p>
      <w:pPr>
        <w:pStyle w:val="FirstParagraph"/>
      </w:pPr>
      <w:r>
        <w:t xml:space="preserve">The structural claim is supported in qualified form: the removed subspace carries corpus-associated information, shows no preferential alignment with SDG-topic directions, and generalises across held-out SDGs. These results support interpreting it as partly register-like, while they do not establish a pure register axis. A full-vocabulary scan (P0b) places the top projection only modestly above a random subspace (0.527 vs 0.401), and the highest-scoring words combine socioeconomic and governance terms with rare morphological items. The word list does not establish a policy-domain vocabulary.</w:t>
      </w:r>
    </w:p>
    <w:bookmarkEnd w:id="271"/>
    <w:bookmarkStart w:id="274" w:name="sec:regval-limitations"/>
    <w:p>
      <w:pPr>
        <w:pStyle w:val="Heading3"/>
        <w:keepNext/>
      </w:pPr>
      <w:r>
        <w:t xml:space="preserve">G.2.8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15</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P1/P2 likewise. Sixth, the residual corpus-linear signal is characterised at the direction level (P1/P2). The word-level lexical signal (P0b) is weak and noisy, so it does not establish a policy-domain vocabulary. INLP removes only linear information, so non-linear register structure remains</w:t>
      </w:r>
      <w:r>
        <w:t xml:space="preserve"> </w:t>
      </w:r>
      <w:r>
        <w:t xml:space="preserve">(Ravfogel et al., 2020; Bolukbasi et al., 2016; Elazar et al., 2021; Gonen and Goldberg, 2019)</w:t>
      </w:r>
      <w:r>
        <w:t xml:space="preserve">. Register is also entangled with topic</w:t>
      </w:r>
      <w:r>
        <w:t xml:space="preserve"> </w:t>
      </w:r>
      <w:r>
        <w:t xml:space="preserve">(Grieve et al., 2025)</w:t>
      </w:r>
      <w:r>
        <w:t xml:space="preserve">, so the removed direction is best treated as corpus-associated and register-like rather than as a pure register axis. Open only whether a finer sub-lexical decomposition would recover more structure.</w:t>
      </w:r>
    </w:p>
    <w:bookmarkStart w:id="272" w:name="tab:register-validation-accuracy"/>
    <w:p>
      <w:pPr>
        <w:pStyle w:val="TableCaption"/>
        <w:keepNext/>
      </w:pPr>
      <w:r>
        <w:t xml:space="preserve">Table 15: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72"/>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73" w:name="tab:register-validation-selectivity"/>
    <w:p>
      <w:pPr>
        <w:pStyle w:val="TableCaption"/>
        <w:keepNext/>
      </w:pPr>
      <w:r>
        <w:t xml:space="preserve">Table 16: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73"/>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p>
      <w:r>
        <w:br w:type="page"/>
      </w:r>
    </w:p>
    <w:bookmarkEnd w:id="274"/>
    <w:bookmarkEnd w:id="275"/>
    <w:bookmarkEnd w:id="276"/>
    <w:bookmarkStart w:id="300" w:name="app:cross-method-section"/>
    <w:p>
      <w:pPr>
        <w:pStyle w:val="Heading1"/>
        <w:keepNext/>
      </w:pPr>
      <w:r>
        <w:t xml:space="preserve">H Supplementary Cross-Method Data</w:t>
      </w:r>
    </w:p>
    <w:bookmarkStart w:id="277" w:name="app:cross-method-gap-values"/>
    <w:p>
      <w:pPr>
        <w:pStyle w:val="Heading2"/>
        <w:keepNext/>
      </w:pPr>
      <w:r>
        <w:t xml:space="preserve">H.1 Cross-Method Coverage and Semantic Gap Values</w:t>
      </w:r>
    </w:p>
    <w:p>
      <w:pPr>
        <w:pStyle w:val="FirstParagraph"/>
      </w:pPr>
      <w:r>
        <w:t xml:space="preserve">Figure </w:t>
      </w:r>
      <w:hyperlink w:anchor="fig:cross-method-values">
        <w:r>
          <w:rPr>
            <w:rStyle w:val="Hyperlink"/>
          </w:rPr>
          <w:t xml:space="preserve">11</w:t>
        </w:r>
      </w:hyperlink>
      <w:r>
        <w:t xml:space="preserve"> </w:t>
      </w:r>
      <w:r>
        <w:t xml:space="preserve">reports the raw coverage gap and semantic gap values for each SDG across seven encoder–classifier combinations, with concept-retrieval LR and MLP columns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17</w:t>
        </w:r>
      </w:hyperlink>
      <w:r>
        <w:t xml:space="preserve"> </w:t>
      </w:r>
      <w:r>
        <w:t xml:space="preserve">and </w:t>
      </w:r>
      <w:hyperlink w:anchor="tab:cross-sensitivity-coverage">
        <w:r>
          <w:rPr>
            <w:rStyle w:val="Hyperlink"/>
          </w:rPr>
          <w:t xml:space="preserve">22</w:t>
        </w:r>
      </w:hyperlink>
      <w:r>
        <w:t xml:space="preserve"> </w:t>
      </w:r>
      <w:r>
        <w:t xml:space="preserve">rank these values to compare cross-method stability, the figure annotates the gap magnitudes per cell,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 rank tables, the value figure, and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77"/>
    <w:bookmarkStart w:id="280" w:name="sec:cross-sensitivity"/>
    <w:p>
      <w:pPr>
        <w:pStyle w:val="Heading2"/>
        <w:keepNext/>
      </w:pPr>
      <w:r>
        <w:t xml:space="preserve">H.2 Rank Robustness: Cross-Sensitivity and Encoder Sensitivity</w:t>
      </w:r>
    </w:p>
    <w:p>
      <w:pPr>
        <w:pStyle w:val="FirstParagraph"/>
      </w:pPr>
      <w:r>
        <w:t xml:space="preserve">Tables </w:t>
      </w:r>
      <w:hyperlink w:anchor="tab:cross-sensitivity-robustness">
        <w:r>
          <w:rPr>
            <w:rStyle w:val="Hyperlink"/>
          </w:rPr>
          <w:t xml:space="preserve">17</w:t>
        </w:r>
      </w:hyperlink>
      <w:r>
        <w:t xml:space="preserve"> </w:t>
      </w:r>
      <w:r>
        <w:t xml:space="preserve">(adjusted) and </w:t>
      </w:r>
      <w:hyperlink w:anchor="tab:cross-sensitivity-robustness-raw">
        <w:r>
          <w:rPr>
            <w:rStyle w:val="Hyperlink"/>
          </w:rPr>
          <w:t xml:space="preserve">18</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19</w:t>
        </w:r>
      </w:hyperlink>
      <w:r>
        <w:t xml:space="preserve">, </w:t>
      </w:r>
      <w:hyperlink w:anchor="tab:encoder-sensitivity-semantic-raw">
        <w:r>
          <w:rPr>
            <w:rStyle w:val="Hyperlink"/>
          </w:rPr>
          <w:t xml:space="preserve">20</w:t>
        </w:r>
      </w:hyperlink>
      <w:r>
        <w:t xml:space="preserve">, and </w:t>
      </w:r>
      <w:hyperlink w:anchor="tab:encoder-sensitivity-coverage">
        <w:r>
          <w:rPr>
            <w:rStyle w:val="Hyperlink"/>
          </w:rPr>
          <w:t xml:space="preserve">21</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78" w:name="tab:cross-sensitivity-robustness"/>
    <w:p>
      <w:pPr>
        <w:pStyle w:val="TableCaption"/>
        <w:keepNext/>
      </w:pPr>
      <w:r>
        <w:t xml:space="preserve">Table 17: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78"/>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79" w:name="tab:cross-sensitivity-robustness-raw"/>
    <w:p>
      <w:pPr>
        <w:pStyle w:val="TableCaption"/>
        <w:keepNext/>
      </w:pPr>
      <w:r>
        <w:t xml:space="preserve">Table 18: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79"/>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80"/>
    <w:bookmarkStart w:id="285" w:name="sec:encoder-sensitivity"/>
    <w:p>
      <w:pPr>
        <w:pStyle w:val="Heading2"/>
        <w:keepNext/>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81" w:name="tab:encoder-sensitivity-semantic"/>
    <w:p>
      <w:pPr>
        <w:pStyle w:val="TableCaption"/>
        <w:keepNext/>
      </w:pPr>
      <w:r>
        <w:t xml:space="preserve">Table 19: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81"/>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82" w:name="tab:encoder-sensitivity-semantic-raw"/>
    <w:p>
      <w:pPr>
        <w:pStyle w:val="TableCaption"/>
        <w:keepNext/>
      </w:pPr>
      <w:r>
        <w:t xml:space="preserve">Table 20: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82"/>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83" w:name="tab:encoder-sensitivity-coverage"/>
    <w:p>
      <w:pPr>
        <w:pStyle w:val="TableCaption"/>
        <w:keepNext/>
      </w:pPr>
      <w:r>
        <w:t xml:space="preserve">Table 21: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83"/>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84" w:name="tab:cross-sensitivity-coverage"/>
    <w:p>
      <w:pPr>
        <w:pStyle w:val="TableCaption"/>
        <w:keepNext/>
      </w:pPr>
      <w:r>
        <w:t xml:space="preserve">Table 22: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84"/>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85"/>
    <w:bookmarkStart w:id="292" w:name="app:reference-tables"/>
    <w:p>
      <w:pPr>
        <w:pStyle w:val="Heading2"/>
        <w:keepNext/>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The table reports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86" w:name="tab:reference-minilm"/>
    <w:p>
      <w:pPr>
        <w:pStyle w:val="TableCaption"/>
        <w:keepNext/>
      </w:pPr>
      <w:r>
        <w:t xml:space="preserve">Table 23: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6"/>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87" w:name="tab:reference-scibert"/>
    <w:p>
      <w:pPr>
        <w:pStyle w:val="TableCaption"/>
        <w:keepNext/>
      </w:pPr>
      <w:r>
        <w:t xml:space="preserve">Table 24: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7"/>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91" w:name="fig:cross-method-values"/>
    <w:p>
      <w:pPr>
        <w:pStyle w:val="CaptionedFigure"/>
      </w:pPr>
      <w:r>
        <w:drawing>
          <wp:inline>
            <wp:extent cx="5334000" cy="5119166"/>
            <wp:effectExtent b="0" l="0" r="0" t="0"/>
            <wp:docPr descr="" title="" id="289" name="Picture"/>
            <a:graphic>
              <a:graphicData uri="http://schemas.openxmlformats.org/drawingml/2006/picture">
                <pic:pic>
                  <pic:nvPicPr>
                    <pic:cNvPr descr="fig13_cross_method_heatmap.png" id="290" name="Picture"/>
                    <pic:cNvPicPr>
                      <a:picLocks noChangeArrowheads="1" noChangeAspect="1"/>
                    </pic:cNvPicPr>
                  </pic:nvPicPr>
                  <pic:blipFill>
                    <a:blip r:embed="rId288"/>
                    <a:stretch>
                      <a:fillRect/>
                    </a:stretch>
                  </pic:blipFill>
                  <pic:spPr bwMode="auto">
                    <a:xfrm>
                      <a:off x="0" y="0"/>
                      <a:ext cx="5334000" cy="5119166"/>
                    </a:xfrm>
                    <a:prstGeom prst="rect">
                      <a:avLst/>
                    </a:prstGeom>
                    <a:noFill/>
                    <a:ln w="9525">
                      <a:noFill/>
                      <a:headEnd/>
                      <a:tailEnd/>
                    </a:ln>
                  </pic:spPr>
                </pic:pic>
              </a:graphicData>
            </a:graphic>
          </wp:inline>
        </w:drawing>
      </w:r>
    </w:p>
    <w:p>
      <w:pPr>
        <w:pStyle w:val="ImageCaption"/>
        <w:keepNext/>
      </w:pPr>
      <w:r>
        <w:t xml:space="preserve">Figure 11: Coverage gap values and semantic gap values across embedding architectures, classifier variants, and retrieval strategies.</w:t>
      </w:r>
    </w:p>
    <w:bookmarkEnd w:id="291"/>
    <w:p>
      <w:pPr>
        <w:pStyle w:val="BodyText"/>
        <w:spacing w:line="240" w:lineRule="auto"/>
        <w:jc w:val="center"/>
      </w:pPr>
      <w:r>
        <w:rPr>
          <w:iCs/>
          <w:i/>
        </w:rPr>
        <w:t xml:space="preserve">Notes:</w:t>
      </w:r>
      <w:r>
        <w:t xml:space="preserve"> </w:t>
      </w:r>
      <w:r>
        <w:t xml:space="preserve">Top: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 Bottom: 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values in cosine units. This is a</w:t>
      </w:r>
      <w:r>
        <w:t xml:space="preserve"> </w:t>
      </w:r>
      <w:r>
        <w:rPr>
          <w:iCs/>
          <w:i/>
        </w:rPr>
        <w:t xml:space="preserve">values</w:t>
      </w:r>
      <w:r>
        <w:t xml:space="preserve"> </w:t>
      </w:r>
      <w:r>
        <w:t xml:space="preserve">figure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92"/>
    <w:bookmarkStart w:id="294" w:name="app:assignment-method-comparison"/>
    <w:p>
      <w:pPr>
        <w:pStyle w:val="Heading2"/>
        <w:keepNext/>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25</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93" w:name="tab:app-assignment-method-comparison"/>
    <w:p>
      <w:pPr>
        <w:pStyle w:val="TableCaption"/>
        <w:keepNext/>
      </w:pPr>
      <w:r>
        <w:t xml:space="preserve">Table 25: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93"/>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25</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94"/>
    <w:bookmarkStart w:id="296" w:name="app:raw-value-correlation"/>
    <w:p>
      <w:pPr>
        <w:pStyle w:val="Heading2"/>
        <w:keepNext/>
      </w:pPr>
      <w:r>
        <w:t xml:space="preserve">H.6 Raw-Value Correlation: Metric-Sensitivity Companion</w:t>
      </w:r>
    </w:p>
    <w:p>
      <w:pPr>
        <w:pStyle w:val="FirstParagraph"/>
      </w:pPr>
      <w:r>
        <w:t xml:space="preserve">Table </w:t>
      </w:r>
      <w:hyperlink w:anchor="tab:raw-value-correlation">
        <w:r>
          <w:rPr>
            <w:rStyle w:val="Hyperlink"/>
          </w:rPr>
          <w:t xml:space="preserve">26</w:t>
        </w:r>
      </w:hyperlink>
      <w:r>
        <w:t xml:space="preserve"> </w:t>
      </w:r>
      <w:r>
        <w:t xml:space="preserve">repeats the H1a–H1d grid of Table </w:t>
      </w:r>
      <w:hyperlink w:anchor="tab:interaction">
        <w:r>
          <w:rPr>
            <w:rStyle w:val="Hyperlink"/>
          </w:rPr>
          <w:t xml:space="preserve">4</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26</w:t>
        </w:r>
      </w:hyperlink>
      <w:r>
        <w:t xml:space="preserve">) and is stable across metrics. The raw-value specification therefore confirms, rather than threatens, the rank-based result.</w:t>
      </w:r>
    </w:p>
    <w:bookmarkStart w:id="295" w:name="tab:raw-value-correlation"/>
    <w:p>
      <w:pPr>
        <w:pStyle w:val="TableCaption"/>
        <w:keepNext/>
      </w:pPr>
      <w:r>
        <w:t xml:space="preserve">Table 26: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95"/>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4</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4</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96"/>
    <w:bookmarkStart w:id="299" w:name="app:policy-source-data"/>
    <w:p>
      <w:pPr>
        <w:pStyle w:val="Heading2"/>
        <w:keepNext/>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27</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97" w:name="tab:policy-source-family"/>
    <w:p>
      <w:pPr>
        <w:pStyle w:val="TableCaption"/>
        <w:keepNext/>
      </w:pPr>
      <w:r>
        <w:t xml:space="preserve">Table 27: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97"/>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28</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98" w:name="tab:policy-source-family-h25"/>
    <w:p>
      <w:pPr>
        <w:pStyle w:val="TableCaption"/>
        <w:keepNext/>
      </w:pPr>
      <w:r>
        <w:t xml:space="preserve">Table 28: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98"/>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p>
      <w:r>
        <w:br w:type="page"/>
      </w:r>
    </w:p>
    <w:bookmarkEnd w:id="299"/>
    <w:bookmarkEnd w:id="300"/>
    <w:bookmarkStart w:id="302" w:name="app:regression"/>
    <w:p>
      <w:pPr>
        <w:pStyle w:val="Heading1"/>
        <w:keepNext/>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29</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4</w:t>
        </w:r>
      </w:hyperlink>
      <w:r>
        <w:t xml:space="preserve">, which stay positive for SciBERT.</w:t>
      </w:r>
    </w:p>
    <w:bookmarkStart w:id="301" w:name="tab:k1-specification-grid"/>
    <w:p>
      <w:pPr>
        <w:pStyle w:val="TableCaption"/>
        <w:keepNext/>
      </w:pPr>
      <w:r>
        <w:t xml:space="preserve">Table 29: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301"/>
    <w:p>
      <w:r>
        <w:br w:type="page"/>
      </w:r>
    </w:p>
    <w:bookmarkEnd w:id="302"/>
    <w:bookmarkStart w:id="304" w:name="declaration-of-ai-use"/>
    <w:p>
      <w:pPr>
        <w:pStyle w:val="Heading1"/>
        <w:keepNext/>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303" w:name="tab:ai-declaration"/>
    <w:p>
      <w:pPr>
        <w:pStyle w:val="TableCaption"/>
        <w:keepNext/>
      </w:pPr>
      <w:r>
        <w:t xml:space="preserve">Table 30: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single" w:sz="8" w:space="0" w:color="auto"/>
          <w:insideV w:val="none" w:sz="0" w:space="0" w:color="auto"/>
        </w:tblBorders>
        <w:tblCaption w:val="Table 30: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303"/>
    <w:bookmarkEnd w:id="304"/>
    <w:sectPr>
      <w:pgNumType w:fmt="decimal" w:start="1"/>
      <w:pgMar w:bottom="1701" w:footer="1134" w:gutter="0" w:header="1134" w:left="1701" w:right="1134" w:top="1701"/>
      <w:footerReference w:type="default" r:id="rIdFtr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_decimal.xml><?xml version="1.0" encoding="utf-8"?>
<w:ftr xmlns:w="http://schemas.openxmlformats.org/wordprocessingml/2006/main" xmlns:r="http://schemas.openxmlformats.org/officeDocument/2006/relationships">
  <w:p>
    <w:pPr>
      <w:jc w:val="right"/>
    </w:pPr>
    <w:r>
      <w:fldChar w:fldCharType="begin"/>
    </w:r>
    <w:r>
      <w:instrText xml:space="preserve"> PAGE </w:instrText>
    </w:r>
    <w:r>
      <w:fldChar w:fldCharType="end"/>
    </w:r>
  </w:p>
</w:ftr>
</file>

<file path=word/footer_roman.xml><?xml version="1.0" encoding="utf-8"?>
<w:ftr xmlns:w="http://schemas.openxmlformats.org/wordprocessingml/2006/main" xmlns:r="http://schemas.openxmlformats.org/officeDocument/2006/relationships">
  <w:p>
    <w:pPr>
      <w:jc w:val="right"/>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 Target="media/rId226.png" /><Relationship Type="http://schemas.openxmlformats.org/officeDocument/2006/relationships/image" Id="rId246" Target="media/rId246.png" /><Relationship Type="http://schemas.openxmlformats.org/officeDocument/2006/relationships/image" Id="rId256" Target="media/rId256.png" /><Relationship Type="http://schemas.openxmlformats.org/officeDocument/2006/relationships/image" Id="rId288" Target="media/rId288.png"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234" Target="media/rId234.png" /><Relationship Type="http://schemas.openxmlformats.org/officeDocument/2006/relationships/image" Id="rId65" Target="media/rId65.png" /><Relationship Type="http://schemas.openxmlformats.org/officeDocument/2006/relationships/hyperlink" Id="rId101" Target="https://arxiv.org/abs/1607.06520" TargetMode="External" /><Relationship Type="http://schemas.openxmlformats.org/officeDocument/2006/relationships/hyperlink" Id="rId82" Target="https://arxiv.org/abs/1610.01644" TargetMode="External" /><Relationship Type="http://schemas.openxmlformats.org/officeDocument/2006/relationships/hyperlink" Id="rId115" Target="https://arxiv.org/abs/1805.01070" TargetMode="External" /><Relationship Type="http://schemas.openxmlformats.org/officeDocument/2006/relationships/hyperlink" Id="rId162" Target="https://arxiv.org/abs/1808.04339" TargetMode="External" /><Relationship Type="http://schemas.openxmlformats.org/officeDocument/2006/relationships/hyperlink" Id="rId154" Target="https://doi.org/10.1002/csr.2202" TargetMode="External" /><Relationship Type="http://schemas.openxmlformats.org/officeDocument/2006/relationships/hyperlink" Id="rId169" Target="https://doi.org/10.1002/sd.1582" TargetMode="External" /><Relationship Type="http://schemas.openxmlformats.org/officeDocument/2006/relationships/hyperlink" Id="rId205" Target="https://doi.org/10.1002/sd.2706" TargetMode="External" /><Relationship Type="http://schemas.openxmlformats.org/officeDocument/2006/relationships/hyperlink" Id="rId148" Target="https://doi.org/10.1007/978-0-387-84858-7" TargetMode="External" /><Relationship Type="http://schemas.openxmlformats.org/officeDocument/2006/relationships/hyperlink" Id="rId217" Target="https://doi.org/10.1007/978-3-540-71050-9" TargetMode="External" /><Relationship Type="http://schemas.openxmlformats.org/officeDocument/2006/relationships/hyperlink" Id="rId207" Target="https://doi.org/10.1007/s00146-025-02181-5" TargetMode="External" /><Relationship Type="http://schemas.openxmlformats.org/officeDocument/2006/relationships/hyperlink" Id="rId103" Target="https://doi.org/10.1007/s10851-014-0506-3" TargetMode="External" /><Relationship Type="http://schemas.openxmlformats.org/officeDocument/2006/relationships/hyperlink" Id="rId107" Target="https://doi.org/10.1007/s11192-016-2115-y" TargetMode="External" /><Relationship Type="http://schemas.openxmlformats.org/officeDocument/2006/relationships/hyperlink" Id="rId150" Target="https://doi.org/10.1007/s43681-023-00259-8" TargetMode="External" /><Relationship Type="http://schemas.openxmlformats.org/officeDocument/2006/relationships/hyperlink" Id="rId223" Target="https://doi.org/10.1016/j.array.2025.100419" TargetMode="External" /><Relationship Type="http://schemas.openxmlformats.org/officeDocument/2006/relationships/hyperlink" Id="rId173" Target="https://doi.org/10.1016/j.ecoinf.2026.103669" TargetMode="External" /><Relationship Type="http://schemas.openxmlformats.org/officeDocument/2006/relationships/hyperlink" Id="rId211" Target="https://doi.org/10.1016/j.jspi.2013.03.018" TargetMode="External" /><Relationship Type="http://schemas.openxmlformats.org/officeDocument/2006/relationships/hyperlink" Id="rId97" Target="https://doi.org/10.1017/CBO9780511621024" TargetMode="External" /><Relationship Type="http://schemas.openxmlformats.org/officeDocument/2006/relationships/hyperlink" Id="rId171" Target="https://doi.org/10.1017/CBO9780511809071" TargetMode="External" /><Relationship Type="http://schemas.openxmlformats.org/officeDocument/2006/relationships/hyperlink" Id="rId99" Target="https://doi.org/10.1017/CBO9780511814358" TargetMode="External" /><Relationship Type="http://schemas.openxmlformats.org/officeDocument/2006/relationships/hyperlink" Id="rId167" Target="https://doi.org/10.1017/CBO9781139171434.009" TargetMode="External" /><Relationship Type="http://schemas.openxmlformats.org/officeDocument/2006/relationships/hyperlink" Id="rId191" Target="https://doi.org/10.1017/S0003055422001228" TargetMode="External" /><Relationship Type="http://schemas.openxmlformats.org/officeDocument/2006/relationships/hyperlink" Id="rId144" Target="https://doi.org/10.1017/S0020818300001442" TargetMode="External" /><Relationship Type="http://schemas.openxmlformats.org/officeDocument/2006/relationships/hyperlink" Id="rId193" Target="https://doi.org/10.1023/A:1026543900054" TargetMode="External" /><Relationship Type="http://schemas.openxmlformats.org/officeDocument/2006/relationships/hyperlink" Id="rId177" Target="https://doi.org/10.1038/534320a" TargetMode="External" /><Relationship Type="http://schemas.openxmlformats.org/officeDocument/2006/relationships/hyperlink" Id="rId219" Target="https://doi.org/10.1038/s41467-019-14108-y" TargetMode="External" /><Relationship Type="http://schemas.openxmlformats.org/officeDocument/2006/relationships/hyperlink" Id="rId134" Target="https://doi.org/10.1038/s41893-025-01598-6" TargetMode="External" /><Relationship Type="http://schemas.openxmlformats.org/officeDocument/2006/relationships/hyperlink" Id="rId119" Target="https://doi.org/10.1038/s42256-021-00296-0" TargetMode="External" /><Relationship Type="http://schemas.openxmlformats.org/officeDocument/2006/relationships/hyperlink" Id="rId113" Target="https://doi.org/10.1073/pnas.1231332100" TargetMode="External" /><Relationship Type="http://schemas.openxmlformats.org/officeDocument/2006/relationships/hyperlink" Id="rId146" Target="https://doi.org/10.1080/00437956.1954.11659520" TargetMode="External" /><Relationship Type="http://schemas.openxmlformats.org/officeDocument/2006/relationships/hyperlink" Id="rId95" Target="https://doi.org/10.1080/08039410.2016.1252424" TargetMode="External" /><Relationship Type="http://schemas.openxmlformats.org/officeDocument/2006/relationships/hyperlink" Id="rId128" Target="https://doi.org/10.1080/13552074.2016.1145895" TargetMode="External" /><Relationship Type="http://schemas.openxmlformats.org/officeDocument/2006/relationships/hyperlink" Id="rId156" Target="https://doi.org/10.1093/bjps/55.1.1" TargetMode="External" /><Relationship Type="http://schemas.openxmlformats.org/officeDocument/2006/relationships/hyperlink" Id="rId105" Target="https://doi.org/10.1109/34.9108" TargetMode="External" /><Relationship Type="http://schemas.openxmlformats.org/officeDocument/2006/relationships/hyperlink" Id="rId175" Target="https://doi.org/10.1109/ACCESS.2024.3516500" TargetMode="External" /><Relationship Type="http://schemas.openxmlformats.org/officeDocument/2006/relationships/hyperlink" Id="rId132" Target="https://doi.org/10.1109/ACCESS.2025.3595894" TargetMode="External" /><Relationship Type="http://schemas.openxmlformats.org/officeDocument/2006/relationships/hyperlink" Id="rId117" Target="https://doi.org/10.1109/TIT.1967.1053964" TargetMode="External" /><Relationship Type="http://schemas.openxmlformats.org/officeDocument/2006/relationships/hyperlink" Id="rId213" Target="https://doi.org/10.1145/3630106.3659035" TargetMode="External" /><Relationship Type="http://schemas.openxmlformats.org/officeDocument/2006/relationships/hyperlink" Id="rId85" Target="https://doi.org/10.1162/qss_a_00071" TargetMode="External" /><Relationship Type="http://schemas.openxmlformats.org/officeDocument/2006/relationships/hyperlink" Id="rId164" Target="https://doi.org/10.1162/qss_a_00304" TargetMode="External" /><Relationship Type="http://schemas.openxmlformats.org/officeDocument/2006/relationships/hyperlink" Id="rId122" Target="https://doi.org/10.1162/tacl_a_00359" TargetMode="External" /><Relationship Type="http://schemas.openxmlformats.org/officeDocument/2006/relationships/hyperlink" Id="rId111" Target="https://doi.org/10.1177/000276427902200308" TargetMode="External" /><Relationship Type="http://schemas.openxmlformats.org/officeDocument/2006/relationships/hyperlink" Id="rId160" Target="https://doi.org/10.1177/00223433241275335" TargetMode="External" /><Relationship Type="http://schemas.openxmlformats.org/officeDocument/2006/relationships/hyperlink" Id="rId142" Target="https://doi.org/10.1177/016224390102600401" TargetMode="External" /><Relationship Type="http://schemas.openxmlformats.org/officeDocument/2006/relationships/hyperlink" Id="rId201" Target="https://doi.org/10.1214/13-AOS1140" TargetMode="External" /><Relationship Type="http://schemas.openxmlformats.org/officeDocument/2006/relationships/hyperlink" Id="rId152" Target="https://doi.org/10.17632/7ydfs62gd6.2" TargetMode="External" /><Relationship Type="http://schemas.openxmlformats.org/officeDocument/2006/relationships/hyperlink" Id="rId187" Target="https://doi.org/10.18653/v1/2020.acl-main.647" TargetMode="External" /><Relationship Type="http://schemas.openxmlformats.org/officeDocument/2006/relationships/hyperlink" Id="rId124" Target="https://doi.org/10.18653/v1/D19-1006" TargetMode="External" /><Relationship Type="http://schemas.openxmlformats.org/officeDocument/2006/relationships/hyperlink" Id="rId189" Target="https://doi.org/10.18653/v1/D19-1410" TargetMode="External" /><Relationship Type="http://schemas.openxmlformats.org/officeDocument/2006/relationships/hyperlink" Id="rId109" Target="https://doi.org/10.18653/v1/N19-1181" TargetMode="External" /><Relationship Type="http://schemas.openxmlformats.org/officeDocument/2006/relationships/hyperlink" Id="rId136" Target="https://doi.org/10.18653/v1/N19-2010" TargetMode="External" /><Relationship Type="http://schemas.openxmlformats.org/officeDocument/2006/relationships/hyperlink" Id="rId179" Target="https://doi.org/10.18653/v1/W17-4903" TargetMode="External" /><Relationship Type="http://schemas.openxmlformats.org/officeDocument/2006/relationships/hyperlink" Id="rId93" Target="https://doi.org/10.2307/271073" TargetMode="External" /><Relationship Type="http://schemas.openxmlformats.org/officeDocument/2006/relationships/hyperlink" Id="rId140" Target="https://doi.org/10.24948/2017.01" TargetMode="External" /><Relationship Type="http://schemas.openxmlformats.org/officeDocument/2006/relationships/hyperlink" Id="rId87" Target="https://doi.org/10.31341/jios.44.2.2" TargetMode="External" /><Relationship Type="http://schemas.openxmlformats.org/officeDocument/2006/relationships/hyperlink" Id="rId138" Target="https://doi.org/10.3389/frai.2024.1472411" TargetMode="External" /><Relationship Type="http://schemas.openxmlformats.org/officeDocument/2006/relationships/hyperlink" Id="rId89" Target="https://doi.org/10.3389/frsus.2021.620743" TargetMode="External" /><Relationship Type="http://schemas.openxmlformats.org/officeDocument/2006/relationships/hyperlink" Id="rId80" Target="https://doi.org/10.3982/ECTA12675" TargetMode="External" /><Relationship Type="http://schemas.openxmlformats.org/officeDocument/2006/relationships/hyperlink" Id="rId130" Target="https://doi.org/10.4135/9781446221853" TargetMode="External" /><Relationship Type="http://schemas.openxmlformats.org/officeDocument/2006/relationships/hyperlink" Id="rId91" Target="https://doi.org/10.48550/arXiv.1903.10676" TargetMode="External" /><Relationship Type="http://schemas.openxmlformats.org/officeDocument/2006/relationships/hyperlink" Id="rId183" Target="https://doi.org/10.48550/arXiv.2205.01833" TargetMode="External" /><Relationship Type="http://schemas.openxmlformats.org/officeDocument/2006/relationships/hyperlink" Id="rId185" Target="https://doi.org/10.48550/arXiv.2211.11252" TargetMode="External" /><Relationship Type="http://schemas.openxmlformats.org/officeDocument/2006/relationships/hyperlink" Id="rId209" Target="https://doi.org/10.48550/arXiv.2505.00174" TargetMode="External" /><Relationship Type="http://schemas.openxmlformats.org/officeDocument/2006/relationships/hyperlink" Id="rId195" Target="https://doi.org/10.51593/20230" TargetMode="External" /><Relationship Type="http://schemas.openxmlformats.org/officeDocument/2006/relationships/hyperlink" Id="rId215" Target="https://doi.org/10.5281/zenodo.3798385" TargetMode="External" /><Relationship Type="http://schemas.openxmlformats.org/officeDocument/2006/relationships/hyperlink" Id="rId221" Target="https://doi.org/10.5281/zenodo.7523032" TargetMode="External" /><Relationship Type="http://schemas.openxmlformats.org/officeDocument/2006/relationships/hyperlink" Id="rId126" Target="https://eur-lex.europa.eu/legal-content/EN/TXT/?uri=CELEX:32024R1689" TargetMode="External" /><Relationship Type="http://schemas.openxmlformats.org/officeDocument/2006/relationships/hyperlink" Id="rId197"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9" Target="https://huggingface.co/datasets/UNDP/sdgi-corpus" TargetMode="External" /><Relationship Type="http://schemas.openxmlformats.org/officeDocument/2006/relationships/hyperlink" Id="rId181" Target="https://oecd.ai/en/partner-data-methodological-note" TargetMode="External" /><Relationship Type="http://schemas.openxmlformats.org/officeDocument/2006/relationships/hyperlink" Id="rId158" Target="https://www.ipcc.ch/report/ar6/wg2/" TargetMode="External" /><Relationship Type="http://schemas.openxmlformats.org/officeDocument/2006/relationships/footer" Id="rIdFtrRoman" Target="footer_roman.xml" /><Relationship Type="http://schemas.openxmlformats.org/officeDocument/2006/relationships/footer" Id="rIdFtrDecimal" Target="footer_decimal.xml" /></Relationships>
</file>

<file path=word/_rels/footnotes.xml.rels><?xml version="1.0" encoding="UTF-8"?><Relationships xmlns="http://schemas.openxmlformats.org/package/2006/relationships"><Relationship Type="http://schemas.openxmlformats.org/officeDocument/2006/relationships/hyperlink" Id="rId101" Target="https://arxiv.org/abs/1607.06520" TargetMode="External" /><Relationship Type="http://schemas.openxmlformats.org/officeDocument/2006/relationships/hyperlink" Id="rId82" Target="https://arxiv.org/abs/1610.01644" TargetMode="External" /><Relationship Type="http://schemas.openxmlformats.org/officeDocument/2006/relationships/hyperlink" Id="rId115" Target="https://arxiv.org/abs/1805.01070" TargetMode="External" /><Relationship Type="http://schemas.openxmlformats.org/officeDocument/2006/relationships/hyperlink" Id="rId162" Target="https://arxiv.org/abs/1808.04339" TargetMode="External" /><Relationship Type="http://schemas.openxmlformats.org/officeDocument/2006/relationships/hyperlink" Id="rId154" Target="https://doi.org/10.1002/csr.2202" TargetMode="External" /><Relationship Type="http://schemas.openxmlformats.org/officeDocument/2006/relationships/hyperlink" Id="rId169" Target="https://doi.org/10.1002/sd.1582" TargetMode="External" /><Relationship Type="http://schemas.openxmlformats.org/officeDocument/2006/relationships/hyperlink" Id="rId205" Target="https://doi.org/10.1002/sd.2706" TargetMode="External" /><Relationship Type="http://schemas.openxmlformats.org/officeDocument/2006/relationships/hyperlink" Id="rId148" Target="https://doi.org/10.1007/978-0-387-84858-7" TargetMode="External" /><Relationship Type="http://schemas.openxmlformats.org/officeDocument/2006/relationships/hyperlink" Id="rId217" Target="https://doi.org/10.1007/978-3-540-71050-9" TargetMode="External" /><Relationship Type="http://schemas.openxmlformats.org/officeDocument/2006/relationships/hyperlink" Id="rId207" Target="https://doi.org/10.1007/s00146-025-02181-5" TargetMode="External" /><Relationship Type="http://schemas.openxmlformats.org/officeDocument/2006/relationships/hyperlink" Id="rId103" Target="https://doi.org/10.1007/s10851-014-0506-3" TargetMode="External" /><Relationship Type="http://schemas.openxmlformats.org/officeDocument/2006/relationships/hyperlink" Id="rId107" Target="https://doi.org/10.1007/s11192-016-2115-y" TargetMode="External" /><Relationship Type="http://schemas.openxmlformats.org/officeDocument/2006/relationships/hyperlink" Id="rId150" Target="https://doi.org/10.1007/s43681-023-00259-8" TargetMode="External" /><Relationship Type="http://schemas.openxmlformats.org/officeDocument/2006/relationships/hyperlink" Id="rId223" Target="https://doi.org/10.1016/j.array.2025.100419" TargetMode="External" /><Relationship Type="http://schemas.openxmlformats.org/officeDocument/2006/relationships/hyperlink" Id="rId173" Target="https://doi.org/10.1016/j.ecoinf.2026.103669" TargetMode="External" /><Relationship Type="http://schemas.openxmlformats.org/officeDocument/2006/relationships/hyperlink" Id="rId211" Target="https://doi.org/10.1016/j.jspi.2013.03.018" TargetMode="External" /><Relationship Type="http://schemas.openxmlformats.org/officeDocument/2006/relationships/hyperlink" Id="rId97" Target="https://doi.org/10.1017/CBO9780511621024" TargetMode="External" /><Relationship Type="http://schemas.openxmlformats.org/officeDocument/2006/relationships/hyperlink" Id="rId171" Target="https://doi.org/10.1017/CBO9780511809071" TargetMode="External" /><Relationship Type="http://schemas.openxmlformats.org/officeDocument/2006/relationships/hyperlink" Id="rId99" Target="https://doi.org/10.1017/CBO9780511814358" TargetMode="External" /><Relationship Type="http://schemas.openxmlformats.org/officeDocument/2006/relationships/hyperlink" Id="rId167" Target="https://doi.org/10.1017/CBO9781139171434.009" TargetMode="External" /><Relationship Type="http://schemas.openxmlformats.org/officeDocument/2006/relationships/hyperlink" Id="rId191" Target="https://doi.org/10.1017/S0003055422001228" TargetMode="External" /><Relationship Type="http://schemas.openxmlformats.org/officeDocument/2006/relationships/hyperlink" Id="rId144" Target="https://doi.org/10.1017/S0020818300001442" TargetMode="External" /><Relationship Type="http://schemas.openxmlformats.org/officeDocument/2006/relationships/hyperlink" Id="rId193" Target="https://doi.org/10.1023/A:1026543900054" TargetMode="External" /><Relationship Type="http://schemas.openxmlformats.org/officeDocument/2006/relationships/hyperlink" Id="rId177" Target="https://doi.org/10.1038/534320a" TargetMode="External" /><Relationship Type="http://schemas.openxmlformats.org/officeDocument/2006/relationships/hyperlink" Id="rId219" Target="https://doi.org/10.1038/s41467-019-14108-y" TargetMode="External" /><Relationship Type="http://schemas.openxmlformats.org/officeDocument/2006/relationships/hyperlink" Id="rId134" Target="https://doi.org/10.1038/s41893-025-01598-6" TargetMode="External" /><Relationship Type="http://schemas.openxmlformats.org/officeDocument/2006/relationships/hyperlink" Id="rId119" Target="https://doi.org/10.1038/s42256-021-00296-0" TargetMode="External" /><Relationship Type="http://schemas.openxmlformats.org/officeDocument/2006/relationships/hyperlink" Id="rId113" Target="https://doi.org/10.1073/pnas.1231332100" TargetMode="External" /><Relationship Type="http://schemas.openxmlformats.org/officeDocument/2006/relationships/hyperlink" Id="rId146" Target="https://doi.org/10.1080/00437956.1954.11659520" TargetMode="External" /><Relationship Type="http://schemas.openxmlformats.org/officeDocument/2006/relationships/hyperlink" Id="rId95" Target="https://doi.org/10.1080/08039410.2016.1252424" TargetMode="External" /><Relationship Type="http://schemas.openxmlformats.org/officeDocument/2006/relationships/hyperlink" Id="rId128" Target="https://doi.org/10.1080/13552074.2016.1145895" TargetMode="External" /><Relationship Type="http://schemas.openxmlformats.org/officeDocument/2006/relationships/hyperlink" Id="rId156" Target="https://doi.org/10.1093/bjps/55.1.1" TargetMode="External" /><Relationship Type="http://schemas.openxmlformats.org/officeDocument/2006/relationships/hyperlink" Id="rId105" Target="https://doi.org/10.1109/34.9108" TargetMode="External" /><Relationship Type="http://schemas.openxmlformats.org/officeDocument/2006/relationships/hyperlink" Id="rId175" Target="https://doi.org/10.1109/ACCESS.2024.3516500" TargetMode="External" /><Relationship Type="http://schemas.openxmlformats.org/officeDocument/2006/relationships/hyperlink" Id="rId132" Target="https://doi.org/10.1109/ACCESS.2025.3595894" TargetMode="External" /><Relationship Type="http://schemas.openxmlformats.org/officeDocument/2006/relationships/hyperlink" Id="rId117" Target="https://doi.org/10.1109/TIT.1967.1053964" TargetMode="External" /><Relationship Type="http://schemas.openxmlformats.org/officeDocument/2006/relationships/hyperlink" Id="rId213" Target="https://doi.org/10.1145/3630106.3659035" TargetMode="External" /><Relationship Type="http://schemas.openxmlformats.org/officeDocument/2006/relationships/hyperlink" Id="rId85" Target="https://doi.org/10.1162/qss_a_00071" TargetMode="External" /><Relationship Type="http://schemas.openxmlformats.org/officeDocument/2006/relationships/hyperlink" Id="rId164" Target="https://doi.org/10.1162/qss_a_00304" TargetMode="External" /><Relationship Type="http://schemas.openxmlformats.org/officeDocument/2006/relationships/hyperlink" Id="rId122" Target="https://doi.org/10.1162/tacl_a_00359" TargetMode="External" /><Relationship Type="http://schemas.openxmlformats.org/officeDocument/2006/relationships/hyperlink" Id="rId111" Target="https://doi.org/10.1177/000276427902200308" TargetMode="External" /><Relationship Type="http://schemas.openxmlformats.org/officeDocument/2006/relationships/hyperlink" Id="rId160" Target="https://doi.org/10.1177/00223433241275335" TargetMode="External" /><Relationship Type="http://schemas.openxmlformats.org/officeDocument/2006/relationships/hyperlink" Id="rId142" Target="https://doi.org/10.1177/016224390102600401" TargetMode="External" /><Relationship Type="http://schemas.openxmlformats.org/officeDocument/2006/relationships/hyperlink" Id="rId201" Target="https://doi.org/10.1214/13-AOS1140" TargetMode="External" /><Relationship Type="http://schemas.openxmlformats.org/officeDocument/2006/relationships/hyperlink" Id="rId152" Target="https://doi.org/10.17632/7ydfs62gd6.2" TargetMode="External" /><Relationship Type="http://schemas.openxmlformats.org/officeDocument/2006/relationships/hyperlink" Id="rId187" Target="https://doi.org/10.18653/v1/2020.acl-main.647" TargetMode="External" /><Relationship Type="http://schemas.openxmlformats.org/officeDocument/2006/relationships/hyperlink" Id="rId124" Target="https://doi.org/10.18653/v1/D19-1006" TargetMode="External" /><Relationship Type="http://schemas.openxmlformats.org/officeDocument/2006/relationships/hyperlink" Id="rId189" Target="https://doi.org/10.18653/v1/D19-1410" TargetMode="External" /><Relationship Type="http://schemas.openxmlformats.org/officeDocument/2006/relationships/hyperlink" Id="rId109" Target="https://doi.org/10.18653/v1/N19-1181" TargetMode="External" /><Relationship Type="http://schemas.openxmlformats.org/officeDocument/2006/relationships/hyperlink" Id="rId136" Target="https://doi.org/10.18653/v1/N19-2010" TargetMode="External" /><Relationship Type="http://schemas.openxmlformats.org/officeDocument/2006/relationships/hyperlink" Id="rId179" Target="https://doi.org/10.18653/v1/W17-4903" TargetMode="External" /><Relationship Type="http://schemas.openxmlformats.org/officeDocument/2006/relationships/hyperlink" Id="rId93" Target="https://doi.org/10.2307/271073" TargetMode="External" /><Relationship Type="http://schemas.openxmlformats.org/officeDocument/2006/relationships/hyperlink" Id="rId140" Target="https://doi.org/10.24948/2017.01" TargetMode="External" /><Relationship Type="http://schemas.openxmlformats.org/officeDocument/2006/relationships/hyperlink" Id="rId87" Target="https://doi.org/10.31341/jios.44.2.2" TargetMode="External" /><Relationship Type="http://schemas.openxmlformats.org/officeDocument/2006/relationships/hyperlink" Id="rId138" Target="https://doi.org/10.3389/frai.2024.1472411" TargetMode="External" /><Relationship Type="http://schemas.openxmlformats.org/officeDocument/2006/relationships/hyperlink" Id="rId89" Target="https://doi.org/10.3389/frsus.2021.620743" TargetMode="External" /><Relationship Type="http://schemas.openxmlformats.org/officeDocument/2006/relationships/hyperlink" Id="rId80" Target="https://doi.org/10.3982/ECTA12675" TargetMode="External" /><Relationship Type="http://schemas.openxmlformats.org/officeDocument/2006/relationships/hyperlink" Id="rId130" Target="https://doi.org/10.4135/9781446221853" TargetMode="External" /><Relationship Type="http://schemas.openxmlformats.org/officeDocument/2006/relationships/hyperlink" Id="rId91" Target="https://doi.org/10.48550/arXiv.1903.10676" TargetMode="External" /><Relationship Type="http://schemas.openxmlformats.org/officeDocument/2006/relationships/hyperlink" Id="rId183" Target="https://doi.org/10.48550/arXiv.2205.01833" TargetMode="External" /><Relationship Type="http://schemas.openxmlformats.org/officeDocument/2006/relationships/hyperlink" Id="rId185" Target="https://doi.org/10.48550/arXiv.2211.11252" TargetMode="External" /><Relationship Type="http://schemas.openxmlformats.org/officeDocument/2006/relationships/hyperlink" Id="rId209" Target="https://doi.org/10.48550/arXiv.2505.00174" TargetMode="External" /><Relationship Type="http://schemas.openxmlformats.org/officeDocument/2006/relationships/hyperlink" Id="rId195" Target="https://doi.org/10.51593/20230" TargetMode="External" /><Relationship Type="http://schemas.openxmlformats.org/officeDocument/2006/relationships/hyperlink" Id="rId215" Target="https://doi.org/10.5281/zenodo.3798385" TargetMode="External" /><Relationship Type="http://schemas.openxmlformats.org/officeDocument/2006/relationships/hyperlink" Id="rId221" Target="https://doi.org/10.5281/zenodo.7523032" TargetMode="External" /><Relationship Type="http://schemas.openxmlformats.org/officeDocument/2006/relationships/hyperlink" Id="rId126" Target="https://eur-lex.europa.eu/legal-content/EN/TXT/?uri=CELEX:32024R1689" TargetMode="External" /><Relationship Type="http://schemas.openxmlformats.org/officeDocument/2006/relationships/hyperlink" Id="rId197"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9" Target="https://huggingface.co/datasets/UNDP/sdgi-corpus" TargetMode="External" /><Relationship Type="http://schemas.openxmlformats.org/officeDocument/2006/relationships/hyperlink" Id="rId181" Target="https://oecd.ai/en/partner-data-methodological-note" TargetMode="External" /><Relationship Type="http://schemas.openxmlformats.org/officeDocument/2006/relationships/hyperlink" Id="rId158"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Mean Shared Framing — Embedding-Based Register-Topic Decomposition of Research-Policy Divergence Across the SDGs</dc:title>
  <dc:creator/>
  <cp:keywords/>
  <dcterms:created xsi:type="dcterms:W3CDTF">2026-08-28T22:21:39Z</dcterms:created>
  <dcterms:modified xsi:type="dcterms:W3CDTF">2026-08-28T22:21:39Z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