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png" ContentType="image/png"/>
  <Override PartName="/word/media/rId247.png" ContentType="image/png"/>
  <Override PartName="/word/media/rId257.png" ContentType="image/png"/>
  <Override PartName="/word/media/rId289.png" ContentType="image/png"/>
  <Override PartName="/word/media/rId25.png" ContentType="image/png"/>
  <Override PartName="/word/media/rId51.png" ContentType="image/png"/>
  <Override PartName="/word/media/rId56.png" ContentType="image/png"/>
  <Override PartName="/word/media/rId60.png" ContentType="image/png"/>
  <Override PartName="/word/media/rId42.png" ContentType="image/png"/>
  <Override PartName="/word/media/rId23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executive-summary"/>
    <w:p>
      <w:pPr>
        <w:pStyle w:val="Heading1"/>
      </w:pPr>
      <w:r>
        <w:t xml:space="preserve">1 Executive Summary</w:t>
      </w:r>
    </w:p>
    <w:p>
      <w:pPr>
        <w:pStyle w:val="FirstParagraph"/>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5.4</w:t>
        </w:r>
      </w:hyperlink>
      <w:r>
        <w:t xml:space="preserve">), apart from one sign flip in the concept-retrieved track (Section </w:t>
      </w:r>
      <w:hyperlink w:anchor="sec:limitations">
        <w:r>
          <w:rPr>
            <w:rStyle w:val="Hyperlink"/>
          </w:rPr>
          <w:t xml:space="preserve">6.5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bookmarkEnd w:id="21"/>
    <w:bookmarkStart w:id="22" w:name="sec:intro"/>
    <w:p>
      <w:pPr>
        <w:pStyle w:val="Heading1"/>
      </w:pPr>
      <w:r>
        <w:t xml:space="preserve">2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3.3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2"/>
    <w:bookmarkStart w:id="32" w:name="sec:litreview"/>
    <w:p>
      <w:pPr>
        <w:pStyle w:val="Heading1"/>
      </w:pPr>
      <w:r>
        <w:t xml:space="preserve">3 Literature Review</w:t>
      </w:r>
    </w:p>
    <w:bookmarkStart w:id="23" w:name="sec:prev-biblio"/>
    <w:p>
      <w:pPr>
        <w:pStyle w:val="Heading2"/>
      </w:pPr>
      <w:r>
        <w:t xml:space="preserve">3.1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3"/>
    <w:bookmarkStart w:id="24" w:name="sec:rp-alignment"/>
    <w:p>
      <w:pPr>
        <w:pStyle w:val="Heading2"/>
      </w:pPr>
      <w:r>
        <w:t xml:space="preserve">3.2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4"/>
    <w:bookmarkStart w:id="29" w:name="sec:alignment-framework"/>
    <w:p>
      <w:pPr>
        <w:pStyle w:val="Heading2"/>
      </w:pPr>
      <w:r>
        <w:t xml:space="preserve">3.3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4.8</w:t>
        </w:r>
      </w:hyperlink>
      <w:r>
        <w:t xml:space="preserve">). The present study is positioned at this level, and the limits of that measurement are developed in Section </w:t>
      </w:r>
      <w:hyperlink w:anchor="sec:semantic-methods">
        <w:r>
          <w:rPr>
            <w:rStyle w:val="Hyperlink"/>
          </w:rPr>
          <w:t xml:space="preserve">3.4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6.4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8" w:name="fig:conceptual-framework"/>
    <w:p>
      <w:pPr>
        <w:pStyle w:val="CaptionedFigure"/>
      </w:pPr>
      <w:r>
        <w:drawing>
          <wp:inline>
            <wp:extent cx="4000500" cy="2466700"/>
            <wp:effectExtent b="0" l="0" r="0" t="0"/>
            <wp:docPr descr="" title="" id="26" name="Picture"/>
            <a:graphic>
              <a:graphicData uri="http://schemas.openxmlformats.org/drawingml/2006/picture">
                <pic:pic>
                  <pic:nvPicPr>
                    <pic:cNvPr descr="fig1_conceptual_framework.png" id="27" name="Picture"/>
                    <pic:cNvPicPr>
                      <a:picLocks noChangeArrowheads="1" noChangeAspect="1"/>
                    </pic:cNvPicPr>
                  </pic:nvPicPr>
                  <pic:blipFill>
                    <a:blip r:embed="rId25"/>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8"/>
    <w:bookmarkEnd w:id="29"/>
    <w:bookmarkStart w:id="30" w:name="sec:semantic-methods"/>
    <w:p>
      <w:pPr>
        <w:pStyle w:val="Heading2"/>
      </w:pPr>
      <w:r>
        <w:t xml:space="preserve">3.4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4.8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30"/>
    <w:bookmarkStart w:id="31" w:name="sec:hypotheses"/>
    <w:p>
      <w:pPr>
        <w:pStyle w:val="Heading2"/>
      </w:pPr>
      <w:r>
        <w:t xml:space="preserve">3.5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4.9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3.2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4.8</w:t>
        </w:r>
      </w:hyperlink>
      <w:r>
        <w:t xml:space="preserve"> </w:t>
      </w:r>
      <w:r>
        <w:t xml:space="preserve">is designed to adjudicate.</w:t>
      </w:r>
    </w:p>
    <w:bookmarkEnd w:id="31"/>
    <w:bookmarkEnd w:id="32"/>
    <w:bookmarkStart w:id="47" w:name="sec:method"/>
    <w:p>
      <w:pPr>
        <w:pStyle w:val="Heading1"/>
      </w:pPr>
      <w:r>
        <w:t xml:space="preserve">4 Methodology</w:t>
      </w:r>
    </w:p>
    <w:p>
      <w:pPr>
        <w:pStyle w:val="FirstParagraph"/>
      </w:pPr>
      <w:r>
        <w:t xml:space="preserve">This study uses publicly available text data and requires no ethical approval.</w:t>
      </w:r>
    </w:p>
    <w:bookmarkStart w:id="33" w:name="sec:segmentation"/>
    <w:p>
      <w:pPr>
        <w:pStyle w:val="Heading2"/>
      </w:pPr>
      <w:r>
        <w:t xml:space="preserve">4.1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4.2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3"/>
    <w:bookmarkStart w:id="34" w:name="sec:embedding-choice"/>
    <w:p>
      <w:pPr>
        <w:pStyle w:val="Heading2"/>
      </w:pPr>
      <w:r>
        <w:t xml:space="preserve">4.2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4.5</w:t>
        </w:r>
      </w:hyperlink>
      <w:r>
        <w:t xml:space="preserve">) and the INLP step (Section </w:t>
      </w:r>
      <w:hyperlink w:anchor="sec:register-adjustment-inlp">
        <w:r>
          <w:rPr>
            <w:rStyle w:val="Hyperlink"/>
          </w:rPr>
          <w:t xml:space="preserve">4.8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4.5</w:t>
        </w:r>
      </w:hyperlink>
      <w:r>
        <w:t xml:space="preserve">) and policy corpora (Section </w:t>
      </w:r>
      <w:hyperlink w:anchor="sec:policy-corpus">
        <w:r>
          <w:rPr>
            <w:rStyle w:val="Hyperlink"/>
          </w:rPr>
          <w:t xml:space="preserve">4.4</w:t>
        </w:r>
      </w:hyperlink>
      <w:r>
        <w:t xml:space="preserve">), but only 100,000 research abstracts drawn once with a fixed seed from the full research-abstract corpus (Section </w:t>
      </w:r>
      <w:hyperlink w:anchor="sec:research-corpus">
        <w:r>
          <w:rPr>
            <w:rStyle w:val="Hyperlink"/>
          </w:rPr>
          <w:t xml:space="preserve">4.3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F</w:t>
        </w:r>
      </w:hyperlink>
      <w:r>
        <w:t xml:space="preserve">). The subset exceeds the corpora used in prior SDG-classification studies (Section </w:t>
      </w:r>
      <w:hyperlink w:anchor="sec:prev-biblio">
        <w:r>
          <w:rPr>
            <w:rStyle w:val="Hyperlink"/>
          </w:rPr>
          <w:t xml:space="preserve">3.1</w:t>
        </w:r>
      </w:hyperlink>
      <w:r>
        <w:t xml:space="preserve">).</w:t>
      </w:r>
    </w:p>
    <w:bookmarkEnd w:id="34"/>
    <w:bookmarkStart w:id="35" w:name="sec:research-corpus"/>
    <w:p>
      <w:pPr>
        <w:pStyle w:val="Heading2"/>
      </w:pPr>
      <w:r>
        <w:t xml:space="preserve">4.3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C.1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4.1</w:t>
        </w:r>
      </w:hyperlink>
      <w:r>
        <w:t xml:space="preserve">) and classifier (Section </w:t>
      </w:r>
      <w:hyperlink w:anchor="sec:supervised-classifier">
        <w:r>
          <w:rPr>
            <w:rStyle w:val="Hyperlink"/>
          </w:rPr>
          <w:t xml:space="preserve">4.5</w:t>
        </w:r>
      </w:hyperlink>
      <w:r>
        <w:t xml:space="preserve">), but reuses the register-adjusted space from the main research corpus (Section </w:t>
      </w:r>
      <w:hyperlink w:anchor="sec:register-adjustment-inlp">
        <w:r>
          <w:rPr>
            <w:rStyle w:val="Hyperlink"/>
          </w:rPr>
          <w:t xml:space="preserve">4.8</w:t>
        </w:r>
      </w:hyperlink>
      <w:r>
        <w:t xml:space="preserve">), assuming research-policy register directions are unchanged in the same semantic space. Results are reported in Section </w:t>
      </w:r>
      <w:hyperlink w:anchor="sec:interaction">
        <w:r>
          <w:rPr>
            <w:rStyle w:val="Hyperlink"/>
          </w:rPr>
          <w:t xml:space="preserve">5.4</w:t>
        </w:r>
      </w:hyperlink>
      <w:r>
        <w:t xml:space="preserve">, with detailed diagnostics in Appendix </w:t>
      </w:r>
      <w:hyperlink w:anchor="app:concept-retrieval-sensitivity">
        <w:r>
          <w:rPr>
            <w:rStyle w:val="Hyperlink"/>
          </w:rPr>
          <w:t xml:space="preserve">B</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6.5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F</w:t>
        </w:r>
      </w:hyperlink>
      <w:r>
        <w:t xml:space="preserve">). No balancing by SDG or citation count is applied.</w:t>
      </w:r>
    </w:p>
    <w:bookmarkEnd w:id="35"/>
    <w:bookmarkStart w:id="36" w:name="sec:policy-corpus"/>
    <w:p>
      <w:pPr>
        <w:pStyle w:val="Heading2"/>
      </w:pPr>
      <w:r>
        <w:t xml:space="preserve">4.4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4.5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I.7</w:t>
        </w:r>
      </w:hyperlink>
      <w:r>
        <w:t xml:space="preserve"> </w:t>
      </w:r>
      <w:r>
        <w:t xml:space="preserve">reports a source-family sensitivity check.</w:t>
      </w:r>
    </w:p>
    <w:bookmarkEnd w:id="36"/>
    <w:bookmarkStart w:id="38" w:name="sec:supervised-classifier"/>
    <w:p>
      <w:pPr>
        <w:pStyle w:val="Heading2"/>
      </w:pPr>
      <w:r>
        <w:t xml:space="preserve">4.5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7"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7"/>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G</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6.5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5.1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5.1</w:t>
        </w:r>
      </w:hyperlink>
      <w:r>
        <w:t xml:space="preserve">.</w:t>
      </w:r>
    </w:p>
    <w:bookmarkEnd w:id="38"/>
    <w:bookmarkStart w:id="39" w:name="sec:coverage-gap-method"/>
    <w:p>
      <w:pPr>
        <w:pStyle w:val="Heading2"/>
      </w:pPr>
      <w:r>
        <w:t xml:space="preserve">4.6 Coverage Gap Analysis</w:t>
      </w:r>
    </w:p>
    <w:p>
      <w:pPr>
        <w:pStyle w:val="FirstParagraph"/>
      </w:pPr>
      <w:r>
        <w:t xml:space="preserve">For each corpus item, the predicted SDG is the LR argmax (hard assignment, Section </w:t>
      </w:r>
      <w:hyperlink w:anchor="sec:supervised-classifier">
        <w:r>
          <w:rPr>
            <w:rStyle w:val="Hyperlink"/>
          </w:rPr>
          <w:t xml:space="preserve">4.5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4.4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9"/>
    <w:bookmarkStart w:id="40" w:name="sec:semantic-gap-method"/>
    <w:p>
      <w:pPr>
        <w:pStyle w:val="Heading2"/>
      </w:pPr>
      <w:r>
        <w:t xml:space="preserve">4.7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4.6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E</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I</w:t>
        </w:r>
      </w:hyperlink>
      <w:r>
        <w:t xml:space="preserve">.</w:t>
      </w:r>
    </w:p>
    <w:bookmarkEnd w:id="40"/>
    <w:bookmarkStart w:id="41" w:name="sec:register-adjustment-inlp"/>
    <w:p>
      <w:pPr>
        <w:pStyle w:val="Heading2"/>
      </w:pPr>
      <w:r>
        <w:t xml:space="preserve">4.8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5.3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H.2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H.1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H.2</w:t>
        </w:r>
      </w:hyperlink>
      <w:r>
        <w:t xml:space="preserve">.</w:t>
      </w:r>
    </w:p>
    <w:p>
      <w:pPr>
        <w:pStyle w:val="BodyText"/>
      </w:pPr>
      <w:r>
        <w:t xml:space="preserve">With the projector learned, the semantic-gap analysis of Section </w:t>
      </w:r>
      <w:hyperlink w:anchor="sec:semantic-gap-method">
        <w:r>
          <w:rPr>
            <w:rStyle w:val="Hyperlink"/>
          </w:rPr>
          <w:t xml:space="preserve">4.7</w:t>
        </w:r>
      </w:hyperlink>
      <w:r>
        <w:t xml:space="preserve"> </w:t>
      </w:r>
      <w:r>
        <w:t xml:space="preserve">is recomputed on the adjusted embeddings, giving the within-SDG adjusted gap.</w:t>
      </w:r>
    </w:p>
    <w:bookmarkEnd w:id="41"/>
    <w:bookmarkStart w:id="46" w:name="sec:coverage-semantic-interaction"/>
    <w:p>
      <w:pPr>
        <w:pStyle w:val="Heading2"/>
      </w:pPr>
      <w:r>
        <w:t xml:space="preserve">4.9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4.3</w:t>
        </w:r>
      </w:hyperlink>
      <w:r>
        <w:t xml:space="preserve">) and examined separately (Appendix </w:t>
      </w:r>
      <w:hyperlink w:anchor="app:sdg4-lexical-audit">
        <w:r>
          <w:rPr>
            <w:rStyle w:val="Hyperlink"/>
          </w:rPr>
          <w:t xml:space="preserve">C.1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5.4</w:t>
        </w:r>
      </w:hyperlink>
      <w:r>
        <w:t xml:space="preserve">) and across configurations (Section </w:t>
      </w:r>
      <w:hyperlink w:anchor="sec:robustness">
        <w:r>
          <w:rPr>
            <w:rStyle w:val="Hyperlink"/>
          </w:rPr>
          <w:t xml:space="preserve">5.5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H.2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J</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5" w:name="fig:pipeline-flowchart"/>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5"/>
    <w:bookmarkEnd w:id="46"/>
    <w:bookmarkEnd w:id="47"/>
    <w:bookmarkStart w:id="72" w:name="sec:results"/>
    <w:p>
      <w:pPr>
        <w:pStyle w:val="Heading1"/>
      </w:pPr>
      <w:r>
        <w:t xml:space="preserve">5 Results</w:t>
      </w:r>
    </w:p>
    <w:bookmarkStart w:id="50" w:name="sec:validation"/>
    <w:p>
      <w:pPr>
        <w:pStyle w:val="Heading2"/>
      </w:pPr>
      <w:r>
        <w:t xml:space="preserve">5.1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8"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8"/>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9"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9"/>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G</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C.2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4.5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C.2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50"/>
    <w:bookmarkStart w:id="55" w:name="sec:coverage-gap"/>
    <w:p>
      <w:pPr>
        <w:pStyle w:val="Heading2"/>
      </w:pPr>
      <w:r>
        <w:t xml:space="preserve">5.2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4" w:name="fig:coverage_profiles"/>
    <w:p>
      <w:pPr>
        <w:pStyle w:val="CaptionedFigure"/>
      </w:pPr>
      <w:r>
        <w:drawing>
          <wp:inline>
            <wp:extent cx="5334000" cy="4521521"/>
            <wp:effectExtent b="0" l="0" r="0" t="0"/>
            <wp:docPr descr="" title="" id="52" name="Picture"/>
            <a:graphic>
              <a:graphicData uri="http://schemas.openxmlformats.org/drawingml/2006/picture">
                <pic:pic>
                  <pic:nvPicPr>
                    <pic:cNvPr descr="fig2_coverage_profiles.png" id="53" name="Picture"/>
                    <pic:cNvPicPr>
                      <a:picLocks noChangeArrowheads="1" noChangeAspect="1"/>
                    </pic:cNvPicPr>
                  </pic:nvPicPr>
                  <pic:blipFill>
                    <a:blip r:embed="rId51"/>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4"/>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3</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I.7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3.1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4.3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5"/>
    <w:bookmarkStart w:id="64" w:name="sec:semantic-gap"/>
    <w:p>
      <w:pPr>
        <w:pStyle w:val="Heading2"/>
      </w:pPr>
      <w:r>
        <w:t xml:space="preserve">5.3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H.1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H.2</w:t>
        </w:r>
      </w:hyperlink>
      <w:r>
        <w:t xml:space="preserve">).</w:t>
      </w:r>
    </w:p>
    <w:bookmarkStart w:id="59" w:name="fig:pca-register-before-after"/>
    <w:p>
      <w:pPr>
        <w:pStyle w:val="CaptionedFigure"/>
      </w:pPr>
      <w:r>
        <w:drawing>
          <wp:inline>
            <wp:extent cx="5334000" cy="2078447"/>
            <wp:effectExtent b="0" l="0" r="0" t="0"/>
            <wp:docPr descr="" title="" id="57" name="Picture"/>
            <a:graphic>
              <a:graphicData uri="http://schemas.openxmlformats.org/drawingml/2006/picture">
                <pic:pic>
                  <pic:nvPicPr>
                    <pic:cNvPr descr="fig3_pca_register_before_after.png" id="58" name="Picture"/>
                    <pic:cNvPicPr>
                      <a:picLocks noChangeArrowheads="1" noChangeAspect="1"/>
                    </pic:cNvPicPr>
                  </pic:nvPicPr>
                  <pic:blipFill>
                    <a:blip r:embed="rId56"/>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9"/>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F</w:t>
        </w:r>
      </w:hyperlink>
      <w:r>
        <w:t xml:space="preserve">).</w:t>
      </w:r>
    </w:p>
    <w:bookmarkStart w:id="63" w:name="fig:semantic_gap"/>
    <w:p>
      <w:pPr>
        <w:pStyle w:val="CaptionedFigure"/>
      </w:pPr>
      <w:r>
        <w:drawing>
          <wp:inline>
            <wp:extent cx="4533900" cy="3843293"/>
            <wp:effectExtent b="0" l="0" r="0" t="0"/>
            <wp:docPr descr="" title="" id="61" name="Picture"/>
            <a:graphic>
              <a:graphicData uri="http://schemas.openxmlformats.org/drawingml/2006/picture">
                <pic:pic>
                  <pic:nvPicPr>
                    <pic:cNvPr descr="fig4_semantic_gap.png" id="62" name="Picture"/>
                    <pic:cNvPicPr>
                      <a:picLocks noChangeArrowheads="1" noChangeAspect="1"/>
                    </pic:cNvPicPr>
                  </pic:nvPicPr>
                  <pic:blipFill>
                    <a:blip r:embed="rId60"/>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3"/>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C.1</w:t>
        </w:r>
      </w:hyperlink>
      <w:r>
        <w:t xml:space="preserve">). Appendix </w:t>
      </w:r>
      <w:hyperlink w:anchor="app:semantic-gap-text-interpretability">
        <w:r>
          <w:rPr>
            <w:rStyle w:val="Hyperlink"/>
          </w:rPr>
          <w:t xml:space="preserve">D</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4"/>
    <w:bookmarkStart w:id="70" w:name="sec:interaction"/>
    <w:p>
      <w:pPr>
        <w:pStyle w:val="Heading2"/>
      </w:pPr>
      <w:r>
        <w:t xml:space="preserve">5.4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B</w:t>
        </w:r>
      </w:hyperlink>
      <w:r>
        <w:t xml:space="preserve">).</w:t>
      </w:r>
    </w:p>
    <w:bookmarkStart w:id="65"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H.2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5.5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I.6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C.1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I.7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38836"/>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5.5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H.2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E</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J</w:t>
        </w:r>
      </w:hyperlink>
      <w:r>
        <w:t xml:space="preserve">).</w:t>
      </w:r>
    </w:p>
    <w:bookmarkEnd w:id="71"/>
    <w:bookmarkEnd w:id="72"/>
    <w:bookmarkStart w:id="79" w:name="sec:discussion"/>
    <w:p>
      <w:pPr>
        <w:pStyle w:val="Heading1"/>
      </w:pPr>
      <w:r>
        <w:t xml:space="preserve">6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3" w:name="sec:discussion-cancellation"/>
    <w:p>
      <w:pPr>
        <w:pStyle w:val="Heading2"/>
      </w:pPr>
      <w:r>
        <w:t xml:space="preserve">6.1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4.8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6.5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6.2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H.2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5.5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6.1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6.3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6.4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6.5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6.5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3.3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E</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E</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4.3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B</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B</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B</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4.5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4.8</w:t>
        </w:r>
      </w:hyperlink>
      <w:r>
        <w:t xml:space="preserve">) plus partial empirical validation against independent linguistic markers (Appendix </w:t>
      </w:r>
      <w:hyperlink w:anchor="app:register-validation">
        <w:r>
          <w:rPr>
            <w:rStyle w:val="Hyperlink"/>
          </w:rPr>
          <w:t xml:space="preserve">H.2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C.1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6.6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3.3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26" w:name="sec:conclusion"/>
    <w:p>
      <w:pPr>
        <w:pStyle w:val="Heading1"/>
      </w:pPr>
      <w:r>
        <w:t xml:space="preserve">A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6.4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226"/>
    <w:bookmarkStart w:id="232" w:name="app:concept-retrieval-sensitivity"/>
    <w:p>
      <w:pPr>
        <w:pStyle w:val="Heading1"/>
      </w:pPr>
      <w:r>
        <w:t xml:space="preserve">B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4.1</w:t>
        </w:r>
      </w:hyperlink>
      <w:r>
        <w:t xml:space="preserve">; classifier, Section </w:t>
      </w:r>
      <w:hyperlink w:anchor="sec:supervised-classifier">
        <w:r>
          <w:rPr>
            <w:rStyle w:val="Hyperlink"/>
          </w:rPr>
          <w:t xml:space="preserve">4.5</w:t>
        </w:r>
      </w:hyperlink>
      <w:r>
        <w:t xml:space="preserve">). No SDG filter was applied at retrieval. See Section </w:t>
      </w:r>
      <w:hyperlink w:anchor="sec:limitations">
        <w:r>
          <w:rPr>
            <w:rStyle w:val="Hyperlink"/>
          </w:rPr>
          <w:t xml:space="preserve">6.5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F</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C.1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30" w:name="fig:concept-coverage"/>
    <w:p>
      <w:pPr>
        <w:pStyle w:val="CaptionedFigure"/>
      </w:pPr>
      <w:r>
        <w:drawing>
          <wp:inline>
            <wp:extent cx="4800600" cy="4346489"/>
            <wp:effectExtent b="0" l="0" r="0" t="0"/>
            <wp:docPr descr="" title="" id="228" name="Picture"/>
            <a:graphic>
              <a:graphicData uri="http://schemas.openxmlformats.org/drawingml/2006/picture">
                <pic:pic>
                  <pic:nvPicPr>
                    <pic:cNvPr descr="fig10_concept_coverage.png" id="229" name="Picture"/>
                    <pic:cNvPicPr>
                      <a:picLocks noChangeArrowheads="1" noChangeAspect="1"/>
                    </pic:cNvPicPr>
                  </pic:nvPicPr>
                  <pic:blipFill>
                    <a:blip r:embed="rId227"/>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30"/>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5.4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1"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1"/>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4.8</w:t>
        </w:r>
      </w:hyperlink>
      <w:r>
        <w:t xml:space="preserve">).</w:t>
      </w:r>
    </w:p>
    <w:bookmarkEnd w:id="232"/>
    <w:bookmarkStart w:id="240" w:name="app:centroid-diagnostics"/>
    <w:p>
      <w:pPr>
        <w:pStyle w:val="Heading1"/>
      </w:pPr>
      <w:r>
        <w:t xml:space="preserve">C Diagnostics for Reference Classifier</w:t>
      </w:r>
    </w:p>
    <w:bookmarkStart w:id="234" w:name="app:sdg4-lexical-audit"/>
    <w:p>
      <w:pPr>
        <w:pStyle w:val="Heading2"/>
      </w:pPr>
      <w:r>
        <w:t xml:space="preserve">C.1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3"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3"/>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4"/>
    <w:bookmarkStart w:id="239" w:name="app:centroid-similarity"/>
    <w:p>
      <w:pPr>
        <w:pStyle w:val="Heading2"/>
      </w:pPr>
      <w:r>
        <w:t xml:space="preserve">C.2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8" w:name="fig:centroid-similarity-matrix"/>
    <w:p>
      <w:pPr>
        <w:pStyle w:val="CaptionedFigure"/>
      </w:pPr>
      <w:r>
        <w:drawing>
          <wp:inline>
            <wp:extent cx="5334000" cy="4593515"/>
            <wp:effectExtent b="0" l="0" r="0" t="0"/>
            <wp:docPr descr="" title="" id="236" name="Picture"/>
            <a:graphic>
              <a:graphicData uri="http://schemas.openxmlformats.org/drawingml/2006/picture">
                <pic:pic>
                  <pic:nvPicPr>
                    <pic:cNvPr descr="fig8_centroid_similarity_heatmap.png" id="237" name="Picture"/>
                    <pic:cNvPicPr>
                      <a:picLocks noChangeArrowheads="1" noChangeAspect="1"/>
                    </pic:cNvPicPr>
                  </pic:nvPicPr>
                  <pic:blipFill>
                    <a:blip r:embed="rId235"/>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8"/>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5.1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5.1</w:t>
        </w:r>
      </w:hyperlink>
      <w:r>
        <w:t xml:space="preserve">.</w:t>
      </w:r>
    </w:p>
    <w:bookmarkEnd w:id="239"/>
    <w:bookmarkEnd w:id="240"/>
    <w:bookmarkStart w:id="242" w:name="app:semantic-gap-text-interpretability"/>
    <w:p>
      <w:pPr>
        <w:pStyle w:val="Heading1"/>
      </w:pPr>
      <w:r>
        <w:t xml:space="preserve">D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B</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1"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1"/>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2"/>
    <w:bookmarkStart w:id="246" w:name="app:distributional-table"/>
    <w:p>
      <w:pPr>
        <w:pStyle w:val="Heading1"/>
      </w:pPr>
      <w:r>
        <w:t xml:space="preserve">E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3"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3"/>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4"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4"/>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5"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5"/>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6"/>
    <w:bookmarkStart w:id="252" w:name="app:sample-stability"/>
    <w:p>
      <w:pPr>
        <w:pStyle w:val="Heading1"/>
      </w:pPr>
      <w:r>
        <w:t xml:space="preserve">F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50" w:name="fig:sample-stability"/>
    <w:p>
      <w:pPr>
        <w:pStyle w:val="CaptionedFigure"/>
      </w:pPr>
      <w:r>
        <w:drawing>
          <wp:inline>
            <wp:extent cx="4693920" cy="4759495"/>
            <wp:effectExtent b="0" l="0" r="0" t="0"/>
            <wp:docPr descr="" title="" id="248" name="Picture"/>
            <a:graphic>
              <a:graphicData uri="http://schemas.openxmlformats.org/drawingml/2006/picture">
                <pic:pic>
                  <pic:nvPicPr>
                    <pic:cNvPr descr="fig11_sample_stability.png" id="249" name="Picture"/>
                    <pic:cNvPicPr>
                      <a:picLocks noChangeArrowheads="1" noChangeAspect="1"/>
                    </pic:cNvPicPr>
                  </pic:nvPicPr>
                  <pic:blipFill>
                    <a:blip r:embed="rId247"/>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5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1" w:name="app:balanced-subset-stability"/>
      <w:bookmarkEnd w:id="25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2"/>
    <w:bookmarkStart w:id="254" w:name="app:model-selection"/>
    <w:p>
      <w:pPr>
        <w:pStyle w:val="Heading1"/>
      </w:pPr>
      <w:r>
        <w:t xml:space="preserve">G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5.5</w:t>
        </w:r>
      </w:hyperlink>
      <w:r>
        <w:t xml:space="preserve"> </w:t>
      </w:r>
      <w:r>
        <w:t xml:space="preserve">(and the held-out test results of</w:t>
      </w:r>
      <w:r>
        <w:t xml:space="preserve"> </w:t>
      </w:r>
      <w:r>
        <w:t xml:space="preserve">Section </w:t>
      </w:r>
      <w:hyperlink w:anchor="sec:validation">
        <w:r>
          <w:rPr>
            <w:rStyle w:val="Hyperlink"/>
          </w:rPr>
          <w:t xml:space="preserve">5.1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5.1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3"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3"/>
    <w:bookmarkEnd w:id="254"/>
    <w:bookmarkStart w:id="277" w:name="app:register-removal"/>
    <w:p>
      <w:pPr>
        <w:pStyle w:val="Heading1"/>
      </w:pPr>
      <w:r>
        <w:t xml:space="preserve">H Register Removal: Convergence and Validation</w:t>
      </w:r>
    </w:p>
    <w:bookmarkStart w:id="262" w:name="app:register-robustness"/>
    <w:p>
      <w:pPr>
        <w:pStyle w:val="Heading2"/>
      </w:pPr>
      <w:r>
        <w:t xml:space="preserve">H.1 Convergence</w:t>
      </w:r>
    </w:p>
    <w:p>
      <w:pPr>
        <w:pStyle w:val="FirstParagraph"/>
      </w:pPr>
      <w:r>
        <w:t xml:space="preserve">The full INLP procedure and identification argument are given in Methodology (Section </w:t>
      </w:r>
      <w:hyperlink w:anchor="sec:register-adjustment-inlp">
        <w:r>
          <w:rPr>
            <w:rStyle w:val="Hyperlink"/>
          </w:rPr>
          <w:t xml:space="preserve">4.8</w:t>
        </w:r>
      </w:hyperlink>
      <w:r>
        <w:t xml:space="preserve">). This appendix reports the convergence behaviour of the procedure and the construct validation of the component it removes. The adjusted results are the primary decomposition, not sensitivity diagnostics.</w:t>
      </w:r>
    </w:p>
    <w:bookmarkStart w:id="25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4.8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5"/>
    <w:bookmarkStart w:id="25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5.3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6"/>
    <w:bookmarkStart w:id="26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60" w:name="fig:register-convergence"/>
    <w:p>
      <w:pPr>
        <w:pStyle w:val="CaptionedFigure"/>
      </w:pPr>
      <w:r>
        <w:drawing>
          <wp:inline>
            <wp:extent cx="4693920" cy="4884214"/>
            <wp:effectExtent b="0" l="0" r="0" t="0"/>
            <wp:docPr descr="" title="" id="258" name="Picture"/>
            <a:graphic>
              <a:graphicData uri="http://schemas.openxmlformats.org/drawingml/2006/picture">
                <pic:pic>
                  <pic:nvPicPr>
                    <pic:cNvPr descr="fig12_register_convergence.png" id="259" name="Picture"/>
                    <pic:cNvPicPr>
                      <a:picLocks noChangeArrowheads="1" noChangeAspect="1"/>
                    </pic:cNvPicPr>
                  </pic:nvPicPr>
                  <pic:blipFill>
                    <a:blip r:embed="rId257"/>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60"/>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1"/>
    <w:bookmarkEnd w:id="262"/>
    <w:bookmarkStart w:id="276" w:name="app:register-validation"/>
    <w:p>
      <w:pPr>
        <w:pStyle w:val="Heading2"/>
      </w:pPr>
      <w:r>
        <w:t xml:space="preserve">H.2 Construct Validation</w:t>
      </w:r>
    </w:p>
    <w:bookmarkStart w:id="263" w:name="sec:regval-purpose"/>
    <w:p>
      <w:pPr>
        <w:pStyle w:val="Heading3"/>
      </w:pPr>
      <w:r>
        <w:t xml:space="preserve">H.2.1 Purpose and Validation Question</w:t>
      </w:r>
    </w:p>
    <w:p>
      <w:pPr>
        <w:pStyle w:val="FirstParagraph"/>
      </w:pPr>
      <w:r>
        <w:t xml:space="preserve">Section </w:t>
      </w:r>
      <w:hyperlink w:anchor="sec:register-adjustment-inlp">
        <w:r>
          <w:rPr>
            <w:rStyle w:val="Hyperlink"/>
          </w:rPr>
          <w:t xml:space="preserve">4.8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3"/>
    <w:bookmarkStart w:id="266" w:name="sec:regval-operationalisation"/>
    <w:p>
      <w:pPr>
        <w:pStyle w:val="Heading3"/>
      </w:pPr>
      <w:r>
        <w:t xml:space="preserve">H.2.2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4"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4"/>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5"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5"/>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6"/>
    <w:bookmarkStart w:id="267" w:name="sec:regval-discrimination"/>
    <w:p>
      <w:pPr>
        <w:pStyle w:val="Heading3"/>
      </w:pPr>
      <w:r>
        <w:t xml:space="preserve">H.2.3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7"/>
    <w:bookmarkStart w:id="268" w:name="sec:regval-topic"/>
    <w:p>
      <w:pPr>
        <w:pStyle w:val="Heading3"/>
      </w:pPr>
      <w:r>
        <w:t xml:space="preserve">H.2.4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8"/>
    <w:bookmarkStart w:id="270" w:name="sec:regval-subspace"/>
    <w:p>
      <w:pPr>
        <w:pStyle w:val="Heading3"/>
      </w:pPr>
      <w:r>
        <w:t xml:space="preserve">H.2.5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9"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9"/>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70"/>
    <w:bookmarkStart w:id="271" w:name="sec:regval-residual"/>
    <w:p>
      <w:pPr>
        <w:pStyle w:val="Heading3"/>
      </w:pPr>
      <w:r>
        <w:t xml:space="preserve">H.2.6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1"/>
    <w:bookmarkStart w:id="272" w:name="sec:regval-conclusion"/>
    <w:p>
      <w:pPr>
        <w:pStyle w:val="Heading3"/>
      </w:pPr>
      <w:r>
        <w:t xml:space="preserve">H.2.7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2"/>
    <w:bookmarkStart w:id="275" w:name="sec:regval-limitations"/>
    <w:p>
      <w:pPr>
        <w:pStyle w:val="Heading3"/>
      </w:pPr>
      <w:r>
        <w:t xml:space="preserve">H.2.8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3"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3"/>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4"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4"/>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5"/>
    <w:bookmarkEnd w:id="276"/>
    <w:bookmarkEnd w:id="277"/>
    <w:bookmarkStart w:id="301" w:name="app:cross-method-section"/>
    <w:p>
      <w:pPr>
        <w:pStyle w:val="Heading1"/>
      </w:pPr>
      <w:r>
        <w:t xml:space="preserve">I Supplementary Cross-Method Data</w:t>
      </w:r>
    </w:p>
    <w:bookmarkStart w:id="278" w:name="app:cross-method-gap-values"/>
    <w:p>
      <w:pPr>
        <w:pStyle w:val="Heading2"/>
      </w:pPr>
      <w:r>
        <w:t xml:space="preserve">I.1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B</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4.6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I.5</w:t>
        </w:r>
      </w:hyperlink>
      <w:r>
        <w:t xml:space="preserve">. The pooled regression of Appendix </w:t>
      </w:r>
      <w:hyperlink w:anchor="app:regression">
        <w:r>
          <w:rPr>
            <w:rStyle w:val="Hyperlink"/>
          </w:rPr>
          <w:t xml:space="preserve">J</w:t>
        </w:r>
      </w:hyperlink>
      <w:r>
        <w:t xml:space="preserve"> </w:t>
      </w:r>
      <w:r>
        <w:t xml:space="preserve">additionally includes it as an assignment-method configuration under each encoder.</w:t>
      </w:r>
    </w:p>
    <w:bookmarkEnd w:id="278"/>
    <w:bookmarkStart w:id="281" w:name="sec:cross-sensitivity"/>
    <w:p>
      <w:pPr>
        <w:pStyle w:val="Heading2"/>
      </w:pPr>
      <w:r>
        <w:t xml:space="preserve">I.2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9"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9"/>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80"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80"/>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1"/>
    <w:bookmarkStart w:id="286" w:name="sec:encoder-sensitivity"/>
    <w:p>
      <w:pPr>
        <w:pStyle w:val="Heading2"/>
      </w:pPr>
      <w:r>
        <w:t xml:space="preserve">I.3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2"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I.3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I.5</w:t>
        </w:r>
      </w:hyperlink>
      <w:r>
        <w:t xml:space="preserve">). Rank Corr (</w:t>
      </w:r>
      <m:oMath>
        <m:r>
          <m:t>ρ</m:t>
        </m:r>
      </m:oMath>
      <w:r>
        <w:t xml:space="preserve">) is the Spearman correlation of each column’s SDG gap ranks against the canonical adjusted MPNet-LR column.</w:t>
      </w:r>
    </w:p>
    <w:bookmarkStart w:id="283"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I.3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I.5</w:t>
        </w:r>
      </w:hyperlink>
      <w:r>
        <w:t xml:space="preserve">). Rank Corr (</w:t>
      </w:r>
      <m:oMath>
        <m:r>
          <m:t>ρ</m:t>
        </m:r>
      </m:oMath>
      <w:r>
        <w:t xml:space="preserve">) is the Spearman correlation of each column’s SDG gap ranks against the canonical raw MPNet-LR column.</w:t>
      </w:r>
    </w:p>
    <w:bookmarkStart w:id="284"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I.3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5"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6"/>
    <w:bookmarkStart w:id="293" w:name="app:reference-tables"/>
    <w:p>
      <w:pPr>
        <w:pStyle w:val="Heading2"/>
      </w:pPr>
      <w:r>
        <w:t xml:space="preserve">I.4 Per-Track Reference Value Tables</w:t>
      </w:r>
    </w:p>
    <w:p>
      <w:pPr>
        <w:pStyle w:val="FirstParagraph"/>
      </w:pPr>
      <w:r>
        <w:t xml:space="preserve">The per-SDG reference table from Section </w:t>
      </w:r>
      <w:hyperlink w:anchor="sec:interaction">
        <w:r>
          <w:rPr>
            <w:rStyle w:val="Hyperlink"/>
          </w:rPr>
          <w:t xml:space="preserve">5.4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7"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8"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8"/>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2" w:name="fig:cross-method-values"/>
    <w:p>
      <w:pPr>
        <w:pStyle w:val="CaptionedFigure"/>
      </w:pPr>
      <w:r>
        <w:drawing>
          <wp:inline>
            <wp:extent cx="5334000" cy="5119166"/>
            <wp:effectExtent b="0" l="0" r="0" t="0"/>
            <wp:docPr descr="" title="" id="290" name="Picture"/>
            <a:graphic>
              <a:graphicData uri="http://schemas.openxmlformats.org/drawingml/2006/picture">
                <pic:pic>
                  <pic:nvPicPr>
                    <pic:cNvPr descr="fig13_cross_method_heatmap.png" id="291" name="Picture"/>
                    <pic:cNvPicPr>
                      <a:picLocks noChangeArrowheads="1" noChangeAspect="1"/>
                    </pic:cNvPicPr>
                  </pic:nvPicPr>
                  <pic:blipFill>
                    <a:blip r:embed="rId289"/>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2"/>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4.6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I.2</w:t>
        </w:r>
      </w:hyperlink>
      <w:r>
        <w:t xml:space="preserve">).</w:t>
      </w:r>
    </w:p>
    <w:bookmarkEnd w:id="293"/>
    <w:bookmarkStart w:id="295" w:name="app:assignment-method-comparison"/>
    <w:p>
      <w:pPr>
        <w:pStyle w:val="Heading2"/>
      </w:pPr>
      <w:r>
        <w:t xml:space="preserve">I.5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4"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4"/>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C.2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5"/>
    <w:bookmarkStart w:id="297" w:name="app:raw-value-correlation"/>
    <w:p>
      <w:pPr>
        <w:pStyle w:val="Heading2"/>
      </w:pPr>
      <w:r>
        <w:t xml:space="preserve">I.6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I.3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6"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6"/>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J</w:t>
        </w:r>
      </w:hyperlink>
      <w:r>
        <w:t xml:space="preserve"> </w:t>
      </w:r>
      <w:r>
        <w:t xml:space="preserve">pools it across encoders.</w:t>
      </w:r>
    </w:p>
    <w:bookmarkEnd w:id="297"/>
    <w:bookmarkStart w:id="300" w:name="app:policy-source-data"/>
    <w:p>
      <w:pPr>
        <w:pStyle w:val="Heading2"/>
      </w:pPr>
      <w:r>
        <w:t xml:space="preserve">I.7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8"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8"/>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H.2</w:t>
        </w:r>
      </w:hyperlink>
      <w:r>
        <w:t xml:space="preserve"> </w:t>
      </w:r>
      <w:r>
        <w:t xml:space="preserve">applies.</w:t>
      </w:r>
    </w:p>
    <w:bookmarkStart w:id="299"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9"/>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4.8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300"/>
    <w:bookmarkEnd w:id="301"/>
    <w:bookmarkStart w:id="303" w:name="app:regression"/>
    <w:p>
      <w:pPr>
        <w:pStyle w:val="Heading1"/>
      </w:pPr>
      <w:r>
        <w:t xml:space="preserve">J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5.4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2"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2"/>
    <w:bookmarkEnd w:id="303"/>
    <w:bookmarkStart w:id="305" w:name="declaration-of-ai-use"/>
    <w:p>
      <w:pPr>
        <w:pStyle w:val="Heading1"/>
      </w:pPr>
      <w:r>
        <w:t xml:space="preserve">K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4"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4"/>
    <w:bookmarkEnd w:id="305"/>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257" Target="media/rId257.png" /><Relationship Type="http://schemas.openxmlformats.org/officeDocument/2006/relationships/image" Id="rId289" Target="media/rId289.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235" Target="media/rId235.png" /><Relationship Type="http://schemas.openxmlformats.org/officeDocument/2006/relationships/image" Id="rId66" Target="media/rId66.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2026-08-28T20:54:32Z</dcterms:created>
  <dcterms:modified xsi:type="dcterms:W3CDTF">2026-08-28T20:54:32Z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