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several inventories, including a citation-based corpus of roughly 25,000 publications on the Millennium and Sustainable Development Goals</w:t>
      </w:r>
      <w:r>
        <w:t xml:space="preserve"> </w:t>
      </w:r>
      <w:r>
        <w:t xml:space="preserve">(Bautista-Puig et al., 2021)</w:t>
      </w:r>
      <w:r>
        <w:t xml:space="preserve"> </w:t>
      </w:r>
      <w:r>
        <w:t xml:space="preserve">and 792 AI-and-SDG research articles</w:t>
      </w:r>
      <w:r>
        <w:t xml:space="preserve"> </w:t>
      </w:r>
      <w:r>
        <w:t xml:space="preserve">(Gohr et al., 2025)</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capacity building) and excludes these from cross-goal mapping to focus on links between thematic areas. Unlike every other SDG, whose discourse more likely centres on a shared substantive topic, SDG 17 policy discourse concerns coordinating and resourcing implementation itself, a conceptual space that AI research rarely addresses.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rather than merely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 existing work measures research coverage, citation patterns, or policy-document uptake, but does not compare the two corpora directly on these dimensions —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operationalisation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is larger than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and hyperparameter rationale are given in Section </w:t>
      </w:r>
      <w:hyperlink w:anchor="sec:supervised-classifier">
        <w:r>
          <w:rPr>
            <w:rStyle w:val="Hyperlink"/>
          </w:rPr>
          <w:t xml:space="preserve">3.5</w:t>
        </w:r>
      </w:hyperlink>
      <w:r>
        <w:t xml:space="preserve">, and the MLP robustness comparison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the MLP’s performance gain is negligible relative to the interpretability it loses.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In practice: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from the full pool;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SDGCB, SDGKH) carry enough SDG 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even,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research-corpus">
        <w:r>
          <w:rPr>
            <w:rStyle w:val="Hyperlink"/>
          </w:rPr>
          <w:t xml:space="preserve">3.3</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smaller random research draws: across independent 10</w:t>
      </w:r>
      <w:r>
        <w:t xml:space="preserve">,</w:t>
      </w:r>
      <w:r>
        <w:t xml:space="preserve">000-paper draws, roughly matching the 6</w:t>
      </w:r>
      <w:r>
        <w:t xml:space="preserve">,</w:t>
      </w:r>
      <w:r>
        <w:t xml:space="preserve">367 policy documents, it reproduces the ordering at Spearman</w:t>
      </w:r>
      <w:r>
        <w:t xml:space="preserve"> </w:t>
      </w:r>
      <m:oMath>
        <m:r>
          <m:t>ρ</m:t>
        </m:r>
        <m:r>
          <m:rPr>
            <m:sty m:val="p"/>
          </m:rPr>
          <m:t>=</m:t>
        </m:r>
        <m:r>
          <m:t>0.936</m:t>
        </m:r>
        <m:r>
          <m:t>​</m:t>
        </m:r>
      </m:oMath>
      <w:r>
        <w:t xml:space="preserve">, and 100 independent 50</w:t>
      </w:r>
      <w:r>
        <w:t xml:space="preserve">,</w:t>
      </w:r>
      <w:r>
        <w:t xml:space="preserve">000-paper draws reach</w:t>
      </w:r>
      <w:r>
        <w:t xml:space="preserve"> </w:t>
      </w:r>
      <m:oMath>
        <m:r>
          <m:t>ρ</m:t>
        </m:r>
        <m:r>
          <m:rPr>
            <m:sty m:val="p"/>
          </m:rPr>
          <m:t>=</m:t>
        </m:r>
        <m:r>
          <m:t>0.986</m:t>
        </m:r>
        <m:r>
          <m:t>​</m:t>
        </m:r>
      </m:oMath>
      <w:r>
        <w:t xml:space="preserve"> </w:t>
      </w:r>
      <w:r>
        <w:t xml:space="preserve">(SD 0.009);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w:t>
      </w:r>
      <w:r>
        <w:t xml:space="preserve"> </w:t>
      </w:r>
      <m:oMath>
        <m:r>
          <m:t>p</m:t>
        </m:r>
        <m:r>
          <m:rPr>
            <m:sty m:val="p"/>
          </m:rPr>
          <m:t>=</m:t>
        </m:r>
        <m:r>
          <m:t>0.120</m:t>
        </m:r>
      </m:oMath>
      <w:r>
        <w:t xml:space="preserve">) is negatively associated,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is asymmetric: where policy heavily covers an SDG, the adjusted gap tends to be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offsetting decomposition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raw-null pattern holds: research share remains uncorrelated with the gap (</w:t>
      </w:r>
      <m:oMath>
        <m:r>
          <m:t>ρ</m:t>
        </m:r>
        <m:r>
          <m:rPr>
            <m:sty m:val="p"/>
          </m:rPr>
          <m:t>=</m:t>
        </m:r>
        <m:r>
          <m:rPr>
            <m:sty m:val="p"/>
          </m:rPr>
          <m:t>−</m:t>
        </m:r>
        <m:r>
          <m:t>0.056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0.223</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 The adjusted decomposition shows the same boundary: on register-removed gaps, the curated-family coverage–gap correlation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the corresponding SDGi-family and full-corpus correlations are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Panel (a) is the H1a test (absolute coverage gap): large coverage gaps span the full range of adjusted semantic gaps, so no single SDG drives the near-zero raw H1a association. The directional panels show the asymmetry: H1b (signed dominance) and H1c (research coverage) show no consistent adjusted-direction trend, while H1d (policy coverage) rises with the adjusted gap.</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c>
      </w:tr>
    </w:tbl>
    <w:p>
      <w:pPr>
        <w:pStyle w:val="ImageCaption"/>
      </w:pPr>
      <w:r>
        <w:t xml:space="preserve">Coverage predictor vs within-SDG semantic gap, one point per SDG.</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Under this account, a near-zero raw correlation is unsurprising.</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 single alignment score would conflate these two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As an illustration, where research dominates coverage (SDGs 3, 9), the framing reflects academic norms of knowledge production:</w:t>
      </w:r>
      <w:r>
        <w:t xml:space="preserve"> </w:t>
      </w:r>
      <w:r>
        <w:t xml:space="preserve">“</w:t>
      </w:r>
      <w:r>
        <w:t xml:space="preserve">problems are set and solved in a context governed by the, largely academic, interests of a specific community</w:t>
      </w:r>
      <w:r>
        <w:t xml:space="preserve">”</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is a composite of topic, register, and convention. Only the adjusted gap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shows the least visible framing difference: partnership vocabulary resembles both communities’ language, while the coordination logic belongs to policy alone.</w:t>
      </w:r>
      <w:r>
        <w:t xml:space="preserve"> </w:t>
      </w:r>
      <w:r>
        <w:t xml:space="preserve">Le Blanc (2015)</w:t>
      </w:r>
      <w:r>
        <w:t xml:space="preserve"> </w:t>
      </w:r>
      <w:r>
        <w:t xml:space="preserve">treats SDG 17 as dedicated to cross-cutting</w:t>
      </w:r>
      <w:r>
        <w:t xml:space="preserve"> </w:t>
      </w:r>
      <w:r>
        <w:t xml:space="preserve">“</w:t>
      </w:r>
      <w:r>
        <w:t xml:space="preserve">means of implementation</w:t>
      </w:r>
      <w:r>
        <w:t xml:space="preserve">”</w:t>
      </w:r>
      <w:r>
        <w:t xml:space="preserve"> </w:t>
      </w:r>
      <w:r>
        <w:t xml:space="preserve">rather than thematic areas. The register inversion supports this reading.</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This is not a sampling limitation correctable with more time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an established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It is a plausible extension motivating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As</w:t>
      </w:r>
      <w:r>
        <w:t xml:space="preserve"> </w:t>
      </w:r>
      <w:r>
        <w:t xml:space="preserve">Le Blanc (2015; Griggs et al., 2017)</w:t>
      </w:r>
      <w:r>
        <w:t xml:space="preserve"> </w:t>
      </w:r>
      <w:r>
        <w:t xml:space="preserve">note for SDG 17, an analogous reading suggests</w:t>
      </w:r>
      <w:r>
        <w:t xml:space="preserve"> </w:t>
      </w:r>
      <w:r>
        <w:t xml:space="preserve">“</w:t>
      </w:r>
      <w:r>
        <w:t xml:space="preserve">AI and the SDGs</w:t>
      </w:r>
      <w:r>
        <w:t xml:space="preserve">”</w:t>
      </w:r>
      <w:r>
        <w:t xml:space="preserve"> </w:t>
      </w:r>
      <w:r>
        <w:t xml:space="preserve">may occupy pre-domain status in policy discourse, so the gaps measured here describe divergence within a category that barely exists on the policy side. A future Level 0 measurement — tracking co-occurrence of AI and SDG terms in institutional agendas over time — would convert this inference into a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largely a register artifact: they track the register component, not the adjusted semantic gap (Appendix </w:t>
      </w:r>
      <w:hyperlink w:anchor="app:distributional-table">
        <w:r>
          <w:rPr>
            <w:rStyle w:val="Hyperlink"/>
          </w:rPr>
          <w:t xml:space="preserve">10</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Additionally, that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it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7</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a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8.1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intuitive, and the results confirm it: coverage and framing are separable, with only a correlation of</w:t>
      </w:r>
      <w:r>
        <w:t xml:space="preserve"> </w:t>
      </w:r>
      <m:oMath>
        <m:r>
          <m:t>ρ</m:t>
        </m:r>
        <m:r>
          <m:rPr>
            <m:sty m:val="p"/>
          </m:rPr>
          <m:t>=</m:t>
        </m:r>
        <m:r>
          <m:t>0.544</m:t>
        </m:r>
        <m:r>
          <m:t>​</m:t>
        </m:r>
      </m:oMath>
      <w:r>
        <w:t xml:space="preserve"> </w:t>
      </w:r>
      <w:r>
        <w:t xml:space="preserve">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applying one is recommended before treating it as a fully independent validation.</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with 2,312 publications versus 6,829 for SDG 3 and 6,683 for SDG 7),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(i.e., carries no significance marker at the</w:t>
      </w:r>
      <w:r>
        <w:t xml:space="preserve"> </w:t>
      </w:r>
      <m:oMath>
        <m:r>
          <m:t>p</m:t>
        </m:r>
        <m:r>
          <m:rPr>
            <m:sty m:val="p"/>
          </m:rPr>
          <m:t>&lt;</m:t>
        </m:r>
        <m:r>
          <m:t>.05</m:t>
        </m:r>
      </m:oMath>
      <w:r>
        <w:t xml:space="preserve"> </w:t>
      </w:r>
      <w:r>
        <w:t xml:space="preserve">/</w:t>
      </w:r>
      <w:r>
        <w:t xml:space="preserve"> </w:t>
      </w:r>
      <m:oMath>
        <m:r>
          <m:t>p</m:t>
        </m:r>
        <m:r>
          <m:rPr>
            <m:sty m:val="p"/>
          </m:rPr>
          <m:t>&lt;</m:t>
        </m:r>
        <m:r>
          <m:t>.10</m:t>
        </m:r>
      </m:oMath>
      <w:r>
        <w:t xml:space="preserve"> </w:t>
      </w:r>
      <w:r>
        <w:t xml:space="preserve">thresholds applied throughout; see Table </w:t>
      </w:r>
      <w:hyperlink w:anchor="tab:distributional-h1">
        <w:r>
          <w:rPr>
            <w:rStyle w:val="Hyperlink"/>
          </w:rPr>
          <w:t xml:space="preserve">12</w:t>
        </w:r>
      </w:hyperlink>
      <w:r>
        <w:t xml:space="preserve"> </w:t>
      </w:r>
      <w:r>
        <w:t xml:space="preserve">notes), regardless of raw</w:t>
      </w:r>
      <w:r>
        <w:t xml:space="preserve"> </w:t>
      </w:r>
      <m:oMath>
        <m:r>
          <m:t>ρ</m:t>
        </m:r>
      </m:oMath>
      <w:r>
        <w:t xml:space="preserve"> </w:t>
      </w:r>
      <w:r>
        <w:t xml:space="preserve">magnitude, with two exceptions: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and C2ST AUC is a near-miss whose H1a (</w:t>
      </w:r>
      <m:oMath>
        <m:r>
          <m:t>ρ</m:t>
        </m:r>
        <m:r>
          <m:rPr>
            <m:sty m:val="p"/>
          </m:rPr>
          <m:t>=</m:t>
        </m:r>
        <m:r>
          <m:rPr>
            <m:sty m:val="p"/>
          </m:rPr>
          <m:t>+</m:t>
        </m:r>
        <m:r>
          <m:t>0.270</m:t>
        </m:r>
      </m:oMath>
      <w:r>
        <w:t xml:space="preserve">) and H1c (</w:t>
      </w:r>
      <m:oMath>
        <m:r>
          <m:t>ρ</m:t>
        </m:r>
        <m:r>
          <m:rPr>
            <m:sty m:val="p"/>
          </m:rPr>
          <m:t>=</m:t>
        </m:r>
        <m:r>
          <m:rPr>
            <m:sty m:val="p"/>
          </m:rPr>
          <m:t>+</m:t>
        </m:r>
        <m:r>
          <m:t>0.375</m:t>
        </m:r>
      </m:oMath>
      <w:r>
        <w:t xml:space="preserve">) are the largest non-significant magnitudes in the grid despite negative ranking agreement (</w:t>
      </w:r>
      <m:oMath>
        <m:r>
          <m:t>ρ</m:t>
        </m:r>
        <m:r>
          <m:rPr>
            <m:sty m:val="p"/>
          </m:rPr>
          <m:t>=</m:t>
        </m:r>
        <m:r>
          <m:rPr>
            <m:sty m:val="p"/>
          </m:rPr>
          <m:t>−</m:t>
        </m:r>
        <m:r>
          <m:t>0.164</m:t>
        </m:r>
      </m:oMath>
      <w:r>
        <w:t xml:space="preserve">, Table </w:t>
      </w:r>
      <w:hyperlink w:anchor="tab:distributional-gap">
        <w:r>
          <w:rPr>
            <w:rStyle w:val="Hyperlink"/>
          </w:rPr>
          <w:t xml:space="preserve">10</w:t>
        </w:r>
      </w:hyperlink>
      <w:r>
        <w:t xml:space="preserve">), remaining just above the</w:t>
      </w:r>
      <w:r>
        <w:t xml:space="preserve"> </w:t>
      </w:r>
      <m:oMath>
        <m:r>
          <m:t>p</m:t>
        </m:r>
        <m:r>
          <m:rPr>
            <m:sty m:val="p"/>
          </m:rPr>
          <m:t>&lt;</m:t>
        </m:r>
        <m:r>
          <m:t>.10</m:t>
        </m:r>
      </m:oMath>
      <w:r>
        <w:t xml:space="preserve"> </w:t>
      </w:r>
      <w:r>
        <w:t xml:space="preserve">threshold.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each family’s reliable SDGs only, UNGDC:</w:t>
      </w:r>
      <w:r>
        <w:t xml:space="preserve"> </w:t>
      </w:r>
      <m:oMath>
        <m:r>
          <m:t>n</m:t>
        </m:r>
        <m:r>
          <m:rPr>
            <m:sty m:val="p"/>
          </m:rPr>
          <m:t>=</m:t>
        </m:r>
        <m:r>
          <m:t>15</m:t>
        </m:r>
      </m:oMath>
      <w:r>
        <w:t xml:space="preserve">) confirms the null is not an artefact of comparing an AI-specific research intersection with a broader policy union: the curated AI/SDG construction reproduces the full-corpus pattern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0.600</m:t>
        </m:r>
      </m:oMath>
      <w:r>
        <w:t xml:space="preserve">,</w:t>
      </w:r>
      <w:r>
        <w:t xml:space="preserve"> </w:t>
      </w:r>
      <m:oMath>
        <m:r>
          <m:t>p</m:t>
        </m:r>
        <m:r>
          <m:rPr>
            <m:sty m:val="p"/>
          </m:rPr>
          <m:t>=</m:t>
        </m:r>
        <m:r>
          <m:t>0.014</m:t>
        </m:r>
      </m:oMath>
      <w:r>
        <w:t xml:space="preserve">;</w:t>
      </w:r>
      <w:r>
        <w:t xml:space="preserve"> </w:t>
      </w:r>
      <m:oMath>
        <m:r>
          <m:t>ρ</m:t>
        </m:r>
        <m:r>
          <m:rPr>
            <m:sty m:val="p"/>
          </m:rPr>
          <m:t>=</m:t>
        </m:r>
        <m:r>
          <m:t>0.420</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p>
      <w:pPr>
        <w:pStyle w:val="BodyText"/>
      </w:pPr>
      <w:r>
        <w:t xml:space="preserve">The Coverage gap adj. column of Table </w:t>
      </w:r>
      <w:hyperlink w:anchor="tab:policy-source-family-h25">
        <w:r>
          <w:rPr>
            <w:rStyle w:val="Hyperlink"/>
          </w:rPr>
          <w:t xml:space="preserve">33</w:t>
        </w:r>
      </w:hyperlink>
      <w:r>
        <w:t xml:space="preserve"> </w:t>
      </w:r>
      <w:r>
        <w:t xml:space="preserve">repeats the coverage-gap predictor against the register-adjusted semantic gap (Section </w:t>
      </w:r>
      <w:hyperlink w:anchor="sec:register-adjustment-inlp">
        <w:r>
          <w:rPr>
            <w:rStyle w:val="Hyperlink"/>
          </w:rPr>
          <w:t xml:space="preserve">3.8</w:t>
        </w:r>
      </w:hyperlink>
      <w:r>
        <w:t xml:space="preserve">). The full-corpus row reproduces the main-text decomposition estimate (</w:t>
      </w:r>
      <m:oMath>
        <m:r>
          <m:t>ρ</m:t>
        </m:r>
        <m:r>
          <m:rPr>
            <m:sty m:val="p"/>
          </m:rPr>
          <m:t>=</m:t>
        </m:r>
        <m:r>
          <m:t>0.544</m:t>
        </m:r>
      </m:oMath>
      <w:r>
        <w:t xml:space="preserve">,</w:t>
      </w:r>
      <w:r>
        <w:t xml:space="preserve"> </w:t>
      </w:r>
      <m:oMath>
        <m:r>
          <m:t>p</m:t>
        </m:r>
        <m:r>
          <m:rPr>
            <m:sty m:val="p"/>
          </m:rPr>
          <m:t>=</m:t>
        </m:r>
        <m:r>
          <m:t>0.025</m:t>
        </m:r>
      </m:oMath>
      <w:r>
        <w:t xml:space="preserve">), confirming that the projection is applied consistently here. The positive adjusted association appears in the SDGi family (</w:t>
      </w:r>
      <m:oMath>
        <m:r>
          <m:t>ρ</m:t>
        </m:r>
        <m:r>
          <m:rPr>
            <m:sty m:val="p"/>
          </m:rPr>
          <m:t>=</m:t>
        </m:r>
        <m:r>
          <m:t>0.498</m:t>
        </m:r>
      </m:oMath>
      <w:r>
        <w:t xml:space="preserve">,</w:t>
      </w:r>
      <w:r>
        <w:t xml:space="preserve"> </w:t>
      </w:r>
      <m:oMath>
        <m:r>
          <m:t>p</m:t>
        </m:r>
        <m:r>
          <m:rPr>
            <m:sty m:val="p"/>
          </m:rPr>
          <m:t>=</m:t>
        </m:r>
        <m:r>
          <m:t>0.044</m:t>
        </m:r>
      </m:oMath>
      <w:r>
        <w:t xml:space="preserve">) and the full corpus (</w:t>
      </w:r>
      <m:oMath>
        <m:r>
          <m:t>ρ</m:t>
        </m:r>
        <m:r>
          <m:rPr>
            <m:sty m:val="p"/>
          </m:rPr>
          <m:t>=</m:t>
        </m:r>
        <m:r>
          <m:t>0.544</m:t>
        </m:r>
      </m:oMath>
      <w:r>
        <w:t xml:space="preserve">,</w:t>
      </w:r>
      <w:r>
        <w:t xml:space="preserve"> </w:t>
      </w:r>
      <m:oMath>
        <m:r>
          <m:t>p</m:t>
        </m:r>
        <m:r>
          <m:rPr>
            <m:sty m:val="p"/>
          </m:rPr>
          <m:t>=</m:t>
        </m:r>
        <m:r>
          <m:t>0.025</m:t>
        </m:r>
      </m:oMath>
      <w:r>
        <w:t xml:space="preserve">), but not under symmetric scope: the curated AI/SDG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as is UNGDC (</w:t>
      </w:r>
      <m:oMath>
        <m:r>
          <m:t>ρ</m:t>
        </m:r>
        <m:r>
          <m:rPr>
            <m:sty m:val="p"/>
          </m:rPr>
          <m:t>=</m:t>
        </m:r>
        <m:r>
          <m:t>0.357</m:t>
        </m:r>
      </m:oMath>
      <w:r>
        <w:t xml:space="preserve">,</w:t>
      </w:r>
      <w:r>
        <w:t xml:space="preserve"> </w:t>
      </w:r>
      <m:oMath>
        <m:r>
          <m:t>p</m:t>
        </m:r>
        <m:r>
          <m:rPr>
            <m:sty m:val="p"/>
          </m:rPr>
          <m:t>=</m:t>
        </m:r>
        <m:r>
          <m:t>0.191</m:t>
        </m:r>
      </m:oMath>
      <w:r>
        <w:t xml:space="preserve">). Two qualifications bound this result. First, the curated family’s document-weighted profile spans only 94 documents, so its policy share varies over a narrower range than the full corpus at the same</w:t>
      </w:r>
      <w:r>
        <w:t xml:space="preserve"> </w:t>
      </w:r>
      <m:oMath>
        <m:r>
          <m:t>n</m:t>
        </m:r>
        <m:r>
          <m:rPr>
            <m:sty m:val="p"/>
          </m:rPr>
          <m:t>=</m:t>
        </m:r>
        <m:r>
          <m:t>17</m:t>
        </m:r>
      </m:oMath>
      <w:r>
        <w:t xml:space="preserve">, which attenuates rank correlations. Second, the adjusted gaps carry the register-removal caveat of Appendix </w:t>
      </w:r>
      <w:hyperlink w:anchor="app:register-validation">
        <w:r>
          <w:rPr>
            <w:rStyle w:val="Hyperlink"/>
          </w:rPr>
          <w:t xml:space="preserve">13.2</w:t>
        </w:r>
      </w:hyperlink>
      <w:r>
        <w:t xml:space="preserve">: what INLP removes is broader than measurable register. The symmetric-scope column therefore bounds the reach of the positive adjusted association rather than overturning its full-corpus estimate.</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3"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2"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08">
        <w:r>
          <w:rPr>
            <w:rStyle w:val="Hyperlink"/>
          </w:rPr>
          <w:t xml:space="preserve">https://www.ipcc.ch/report/ar6/wg2/</w:t>
        </w:r>
      </w:hyperlink>
      <w:r>
        <w:t xml:space="preserve">.</w:t>
      </w:r>
    </w:p>
    <w:bookmarkEnd w:id="209"/>
    <w:bookmarkStart w:id="211"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0">
        <w:r>
          <w:rPr>
            <w:rStyle w:val="Hyperlink"/>
          </w:rPr>
          <w:t xml:space="preserve">10.1177/00223433241275335</w:t>
        </w:r>
      </w:hyperlink>
      <w:r>
        <w:t xml:space="preserve">.</w:t>
      </w:r>
    </w:p>
    <w:bookmarkEnd w:id="211"/>
    <w:bookmarkStart w:id="213"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2">
        <w:r>
          <w:rPr>
            <w:rStyle w:val="Hyperlink"/>
          </w:rPr>
          <w:t xml:space="preserve">10.1162/qss_a_00304</w:t>
        </w:r>
      </w:hyperlink>
      <w:r>
        <w:t xml:space="preserve">.</w:t>
      </w:r>
    </w:p>
    <w:bookmarkEnd w:id="213"/>
    <w:bookmarkStart w:id="21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4">
        <w:r>
          <w:rPr>
            <w:rStyle w:val="Hyperlink"/>
          </w:rPr>
          <w:t xml:space="preserve">10.1002/sd.1582</w:t>
        </w:r>
      </w:hyperlink>
      <w:r>
        <w:t xml:space="preserve">.</w:t>
      </w:r>
    </w:p>
    <w:bookmarkEnd w:id="215"/>
    <w:bookmarkStart w:id="21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16">
        <w:r>
          <w:rPr>
            <w:rStyle w:val="Hyperlink"/>
          </w:rPr>
          <w:t xml:space="preserve">https://nlp.stanford.edu/IR-book/</w:t>
        </w:r>
      </w:hyperlink>
      <w:r>
        <w:t xml:space="preserve">.</w:t>
      </w:r>
    </w:p>
    <w:bookmarkEnd w:id="217"/>
    <w:bookmarkStart w:id="21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18">
        <w:r>
          <w:rPr>
            <w:rStyle w:val="Hyperlink"/>
          </w:rPr>
          <w:t xml:space="preserve">10.1016/j.ecoinf.2026.103669</w:t>
        </w:r>
      </w:hyperlink>
      <w:r>
        <w:t xml:space="preserve">.</w:t>
      </w:r>
    </w:p>
    <w:bookmarkEnd w:id="219"/>
    <w:bookmarkStart w:id="22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0">
        <w:r>
          <w:rPr>
            <w:rStyle w:val="Hyperlink"/>
          </w:rPr>
          <w:t xml:space="preserve">10.1109/ACCESS.2024.3516500</w:t>
        </w:r>
      </w:hyperlink>
      <w:r>
        <w:t xml:space="preserve">.</w:t>
      </w:r>
    </w:p>
    <w:bookmarkEnd w:id="221"/>
    <w:bookmarkStart w:id="22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2">
        <w:r>
          <w:rPr>
            <w:rStyle w:val="Hyperlink"/>
          </w:rPr>
          <w:t xml:space="preserve">10.1038/534320a</w:t>
        </w:r>
      </w:hyperlink>
      <w:r>
        <w:t xml:space="preserve">.</w:t>
      </w:r>
    </w:p>
    <w:bookmarkEnd w:id="223"/>
    <w:bookmarkStart w:id="22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24">
        <w:r>
          <w:rPr>
            <w:rStyle w:val="Hyperlink"/>
          </w:rPr>
          <w:t xml:space="preserve">10.18653/v1/W17-4903</w:t>
        </w:r>
      </w:hyperlink>
      <w:r>
        <w:t xml:space="preserve">.</w:t>
      </w:r>
    </w:p>
    <w:bookmarkEnd w:id="225"/>
    <w:bookmarkStart w:id="22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26">
        <w:r>
          <w:rPr>
            <w:rStyle w:val="Hyperlink"/>
          </w:rPr>
          <w:t xml:space="preserve">https://oecd.ai/en/partner-data-methodological-note</w:t>
        </w:r>
      </w:hyperlink>
      <w:r>
        <w:t xml:space="preserve">.</w:t>
      </w:r>
    </w:p>
    <w:bookmarkEnd w:id="227"/>
    <w:bookmarkStart w:id="22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28">
        <w:r>
          <w:rPr>
            <w:rStyle w:val="Hyperlink"/>
          </w:rPr>
          <w:t xml:space="preserve">10.48550/arXiv.2205.01833</w:t>
        </w:r>
      </w:hyperlink>
      <w:r>
        <w:t xml:space="preserve">.</w:t>
      </w:r>
    </w:p>
    <w:bookmarkEnd w:id="229"/>
    <w:bookmarkStart w:id="23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0">
        <w:r>
          <w:rPr>
            <w:rStyle w:val="Hyperlink"/>
          </w:rPr>
          <w:t xml:space="preserve">10.48550/arXiv.2211.11252</w:t>
        </w:r>
      </w:hyperlink>
      <w:r>
        <w:t xml:space="preserve">.</w:t>
      </w:r>
    </w:p>
    <w:bookmarkEnd w:id="231"/>
    <w:bookmarkStart w:id="23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2">
        <w:r>
          <w:rPr>
            <w:rStyle w:val="Hyperlink"/>
          </w:rPr>
          <w:t xml:space="preserve">10.18653/v1/2020.acl-main.647</w:t>
        </w:r>
      </w:hyperlink>
      <w:r>
        <w:t xml:space="preserve">.</w:t>
      </w:r>
    </w:p>
    <w:bookmarkEnd w:id="233"/>
    <w:bookmarkStart w:id="23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4">
        <w:r>
          <w:rPr>
            <w:rStyle w:val="Hyperlink"/>
          </w:rPr>
          <w:t xml:space="preserve">10.18653/v1/D19-1410</w:t>
        </w:r>
      </w:hyperlink>
      <w:r>
        <w:t xml:space="preserve">.</w:t>
      </w:r>
    </w:p>
    <w:bookmarkEnd w:id="235"/>
    <w:bookmarkStart w:id="23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36">
        <w:r>
          <w:rPr>
            <w:rStyle w:val="Hyperlink"/>
          </w:rPr>
          <w:t xml:space="preserve">10.1017/S0003055422001228</w:t>
        </w:r>
      </w:hyperlink>
      <w:r>
        <w:t xml:space="preserve">.</w:t>
      </w:r>
    </w:p>
    <w:bookmarkEnd w:id="237"/>
    <w:bookmarkStart w:id="23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38">
        <w:r>
          <w:rPr>
            <w:rStyle w:val="Hyperlink"/>
          </w:rPr>
          <w:t xml:space="preserve">10.51593/20230</w:t>
        </w:r>
      </w:hyperlink>
      <w:r>
        <w:t xml:space="preserve">.</w:t>
      </w:r>
    </w:p>
    <w:bookmarkEnd w:id="239"/>
    <w:bookmarkStart w:id="24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0">
        <w:r>
          <w:rPr>
            <w:rStyle w:val="Hyperlink"/>
          </w:rPr>
          <w:t xml:space="preserve">https://github.com/SDGClassification/benchmark</w:t>
        </w:r>
      </w:hyperlink>
      <w:r>
        <w:t xml:space="preserve">.</w:t>
      </w:r>
    </w:p>
    <w:bookmarkEnd w:id="241"/>
    <w:bookmarkStart w:id="24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2">
        <w:r>
          <w:rPr>
            <w:rStyle w:val="Hyperlink"/>
          </w:rPr>
          <w:t xml:space="preserve">https://huggingface.co/datasets/UNDP/sdgi-corpus</w:t>
        </w:r>
      </w:hyperlink>
      <w:r>
        <w:t xml:space="preserve">.</w:t>
      </w:r>
    </w:p>
    <w:bookmarkEnd w:id="243"/>
    <w:bookmarkStart w:id="24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4"/>
    <w:bookmarkStart w:id="24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5"/>
    <w:bookmarkStart w:id="24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46">
        <w:r>
          <w:rPr>
            <w:rStyle w:val="Hyperlink"/>
          </w:rPr>
          <w:t xml:space="preserve">10.1002/sd.2706</w:t>
        </w:r>
      </w:hyperlink>
      <w:r>
        <w:t xml:space="preserve">.</w:t>
      </w:r>
    </w:p>
    <w:bookmarkEnd w:id="247"/>
    <w:bookmarkStart w:id="24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48">
        <w:r>
          <w:rPr>
            <w:rStyle w:val="Hyperlink"/>
          </w:rPr>
          <w:t xml:space="preserve">10.1007/s00146-025-02181-5</w:t>
        </w:r>
      </w:hyperlink>
      <w:r>
        <w:t xml:space="preserve">.</w:t>
      </w:r>
    </w:p>
    <w:bookmarkEnd w:id="249"/>
    <w:bookmarkStart w:id="25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0">
        <w:r>
          <w:rPr>
            <w:rStyle w:val="Hyperlink"/>
          </w:rPr>
          <w:t xml:space="preserve">10.48550/arXiv.2505.00174</w:t>
        </w:r>
      </w:hyperlink>
      <w:r>
        <w:t xml:space="preserve">.</w:t>
      </w:r>
    </w:p>
    <w:bookmarkEnd w:id="251"/>
    <w:bookmarkStart w:id="25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2">
        <w:r>
          <w:rPr>
            <w:rStyle w:val="Hyperlink"/>
          </w:rPr>
          <w:t xml:space="preserve">10.1145/3630106.3659035</w:t>
        </w:r>
      </w:hyperlink>
      <w:r>
        <w:t xml:space="preserve">.</w:t>
      </w:r>
    </w:p>
    <w:bookmarkEnd w:id="253"/>
    <w:bookmarkStart w:id="25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4">
        <w:r>
          <w:rPr>
            <w:rStyle w:val="Hyperlink"/>
          </w:rPr>
          <w:t xml:space="preserve">10.5281/zenodo.3798385</w:t>
        </w:r>
      </w:hyperlink>
      <w:r>
        <w:t xml:space="preserve">.</w:t>
      </w:r>
    </w:p>
    <w:bookmarkEnd w:id="255"/>
    <w:bookmarkStart w:id="25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56">
        <w:r>
          <w:rPr>
            <w:rStyle w:val="Hyperlink"/>
          </w:rPr>
          <w:t xml:space="preserve">10.1038/s41467-019-14108-y</w:t>
        </w:r>
      </w:hyperlink>
      <w:r>
        <w:t xml:space="preserve">.</w:t>
      </w:r>
    </w:p>
    <w:bookmarkEnd w:id="257"/>
    <w:bookmarkStart w:id="25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58">
        <w:r>
          <w:rPr>
            <w:rStyle w:val="Hyperlink"/>
          </w:rPr>
          <w:t xml:space="preserve">10.5281/zenodo.7523032</w:t>
        </w:r>
      </w:hyperlink>
      <w:r>
        <w:t xml:space="preserve">.</w:t>
      </w:r>
    </w:p>
    <w:bookmarkEnd w:id="259"/>
    <w:bookmarkStart w:id="26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0">
        <w:r>
          <w:rPr>
            <w:rStyle w:val="Hyperlink"/>
          </w:rPr>
          <w:t xml:space="preserve">10.1016/j.array.2025.100419</w:t>
        </w:r>
      </w:hyperlink>
      <w:r>
        <w:t xml:space="preserve">.</w:t>
      </w:r>
    </w:p>
    <w:bookmarkEnd w:id="261"/>
    <w:bookmarkEnd w:id="262"/>
    <w:bookmarkEnd w:id="263"/>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2026-08-27T11:53:08Z</dcterms:created>
  <dcterms:modified xsi:type="dcterms:W3CDTF">2026-08-27T11:53:08Z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