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Research is led by SDG 3 (25.7%), SDG 9 (20.1%), and SDG 4 (15.6%), then SDG 16 and SDG 11 (11.2%/5.1%); SDG 7 ranks sixth (4.1%).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and SDG 9; policy dominates SDG 17 (11.7% vs. 0.3%) and SDG 13 (11.3% vs. 3.7%). SDG 16 is policy’s top theme (17.3%) but research engages it too (11.2%),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(0.494 widest). Both rankings are stable to a 20-or-none segment cap (Table </w:t>
      </w:r>
      <w:hyperlink w:anchor="tab:cross-sensitivity-robustness">
        <w:r>
          <w:rPr>
            <w:rStyle w:val="Hyperlink"/>
          </w:rPr>
          <w:t xml:space="preserve">20</w:t>
        </w:r>
      </w:hyperlink>
      <w:r>
        <w:t xml:space="preserve">). The research over-representation (398:1 vs. policy) also does not drive the ranking: on 10k/50k research draws it reproduces at</w:t>
      </w:r>
      <w:r>
        <w:t xml:space="preserve"> </w:t>
      </w:r>
      <m:oMath>
        <m:r>
          <m:t>ρ</m:t>
        </m:r>
        <m:r>
          <m:rPr>
            <m:sty m:val="p"/>
          </m:rPr>
          <m:t>=</m:t>
        </m:r>
        <m:r>
          <m:t>0.936</m:t>
        </m:r>
        <m:r>
          <m:t>​</m:t>
        </m:r>
      </m:oMath>
      <w:r>
        <w:t xml:space="preserve">/</w:t>
      </w:r>
      <m:oMath>
        <m:r>
          <m:t>0.986</m:t>
        </m:r>
        <m:r>
          <m:t>​</m:t>
        </m:r>
      </m:oMath>
      <w:r>
        <w:t xml:space="preserve"> </w:t>
      </w:r>
      <w:r>
        <w:t xml:space="preserve">(SD 0.009;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stays uncorrelated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is null (</w:t>
      </w:r>
      <m:oMath>
        <m:r>
          <m:t>ρ</m:t>
        </m:r>
        <m:r>
          <m:rPr>
            <m:sty m:val="p"/>
          </m:rPr>
          <m:t>=</m:t>
        </m:r>
        <m:r>
          <m:rPr>
            <m:sty m:val="p"/>
          </m:rPr>
          <m:t>−</m:t>
        </m:r>
        <m:r>
          <m:t>0.223</m:t>
        </m:r>
      </m:oMath>
      <w:r>
        <w:t xml:space="preserve">,</w:t>
      </w:r>
      <w:r>
        <w:t xml:space="preserve"> </w:t>
      </w:r>
      <m:oMath>
        <m:r>
          <m:t>p</m:t>
        </m:r>
        <m:r>
          <m:rPr>
            <m:sty m:val="p"/>
          </m:rPr>
          <m:t>=</m:t>
        </m:r>
        <m:r>
          <m:t>0.386</m:t>
        </m:r>
      </m:oMath>
      <w:r>
        <w:t xml:space="preserve">).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full-corpus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This is not a sampling limitation correctable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Additionally, that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it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0.600</m:t>
        </m:r>
      </m:oMath>
      <w:r>
        <w:t xml:space="preserve">,</w:t>
      </w:r>
      <w:r>
        <w:t xml:space="preserve"> </w:t>
      </w:r>
      <m:oMath>
        <m:r>
          <m:t>p</m:t>
        </m:r>
        <m:r>
          <m:rPr>
            <m:sty m:val="p"/>
          </m:rPr>
          <m:t>=</m:t>
        </m:r>
        <m:r>
          <m:t>0.014</m:t>
        </m:r>
      </m:oMath>
      <w:r>
        <w:t xml:space="preserve">) and UNGDC (</w:t>
      </w:r>
      <m:oMath>
        <m:r>
          <m:t>ρ</m:t>
        </m:r>
        <m:r>
          <m:rPr>
            <m:sty m:val="p"/>
          </m:rPr>
          <m:t>=</m:t>
        </m:r>
        <m:r>
          <m:t>0.420</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13.2</w:t>
        </w:r>
      </w:hyperlink>
      <w:r>
        <w:t xml:space="preserve"> </w:t>
      </w:r>
      <w:r>
        <w:t xml:space="preserve">applies.</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2026-08-27T12:33:30Z</dcterms:created>
  <dcterms:modified xsi:type="dcterms:W3CDTF">2026-08-27T12:33:30Z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