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a citation-based corpus of roughly 25,000 publications on the Millennium and Sustainable Development Goals</w:t>
      </w:r>
      <w:r>
        <w:t xml:space="preserve"> </w:t>
      </w:r>
      <w:r>
        <w:t xml:space="preserve">(Bautista-Puig et al., 2021)</w:t>
      </w:r>
      <w:r>
        <w:t xml:space="preserve">, 20,511 AI publications (2001–2020)</w:t>
      </w:r>
      <w:r>
        <w:t xml:space="preserve"> </w:t>
      </w:r>
      <w:r>
        <w:t xml:space="preserve">(Singh et al., 2024)</w:t>
      </w:r>
      <w:r>
        <w:t xml:space="preserve">, 1,288 big-data and AI publications</w:t>
      </w:r>
      <w:r>
        <w:t xml:space="preserve"> </w:t>
      </w:r>
      <w:r>
        <w:t xml:space="preserve">(Nedungadi et al., 2024)</w:t>
      </w:r>
      <w:r>
        <w:t xml:space="preserve">, 792 AI-and-SDG research articles</w:t>
      </w:r>
      <w:r>
        <w:t xml:space="preserve"> </w:t>
      </w:r>
      <w:r>
        <w:t xml:space="preserve">(Gohr et al., 2025)</w:t>
      </w:r>
      <w:r>
        <w:t xml:space="preserve">, and 108 AI-for-social-good projects</w:t>
      </w:r>
      <w:r>
        <w:t xml:space="preserve"> </w:t>
      </w:r>
      <w:r>
        <w:t xml:space="preserve">(Cowls et al., 2021)</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The</w:t>
      </w:r>
      <w:r>
        <w:t xml:space="preserve"> </w:t>
      </w:r>
      <w:r>
        <w:t xml:space="preserve">Griggs et al. (2017)</w:t>
      </w:r>
      <w:r>
        <w:t xml:space="preserve"> </w:t>
      </w:r>
      <w:r>
        <w:t xml:space="preserve">guide likewise describes SDG 17 as the main enabler of the whole framework.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does not operationalise an epistemic community directly, but measures only the weaker condition of observed semantic proximity. Semantic proximity cannot show the existence, strength, or influence of an expert community</w:t>
      </w:r>
      <w:r>
        <w:t xml:space="preserve"> </w:t>
      </w:r>
      <w:r>
        <w:t xml:space="preserve">(Cross, 2013)</w:t>
      </w:r>
      <w:r>
        <w:t xml:space="preserve">.</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and Goal 8’s 3% annual growth target is empirically incompatible with the resource-use and emissions goals</w:t>
      </w:r>
      <w:r>
        <w:t xml:space="preserve"> </w:t>
      </w:r>
      <w:r>
        <w:t xml:space="preserve">(Hickel, 2019)</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The implication is that embedding distance mixes topic, register, and contextual convention into a single number: distributional representations are not topic-only, since language models inherently encode varieties of language including register</w:t>
      </w:r>
      <w:r>
        <w:t xml:space="preserve"> </w:t>
      </w:r>
      <w:r>
        <w:t xml:space="preserve">(Grieve et al., 2025)</w:t>
      </w:r>
      <w:r>
        <w:t xml:space="preserve">, and stylistic variation is demonstrably present in distributional vector spaces</w:t>
      </w:r>
      <w:r>
        <w:t xml:space="preserve"> </w:t>
      </w:r>
      <w:r>
        <w:t xml:space="preserve">(Niu and Carpuat, 2017)</w:t>
      </w:r>
      <w:r>
        <w:t xml:space="preserve">. This motivates the decomposition into these components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two texts can differ on some dimensions and converge on others. INLP removes a linear slice of the embedding space. What it isolates is the largest single direction of writing-style difference. It is not claimed to capture every aspect of register, which is multi-dimensional.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so that almost every segment fits within the encoder’s context window.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 A single sentence exceeding the token budget is kept whole because mid-sentence splitting is not permissible.</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 The per-document segment cap of</w:t>
      </w:r>
      <w:r>
        <w:t xml:space="preserve"> </w:t>
      </w:r>
      <m:oMath>
        <m:r>
          <m:t>K</m:t>
        </m:r>
        <m:r>
          <m:rPr>
            <m:sty m:val="p"/>
          </m:rPr>
          <m:t>=</m:t>
        </m:r>
        <m:r>
          <m:t>50</m:t>
        </m:r>
      </m:oMath>
      <w:r>
        <w:t xml:space="preserve"> </w:t>
      </w:r>
      <w:r>
        <w:t xml:space="preserve">applied in the semantic-gap analysis (Section </w:t>
      </w:r>
      <w:hyperlink w:anchor="sec:semantic-gap-method">
        <w:r>
          <w:rPr>
            <w:rStyle w:val="Hyperlink"/>
          </w:rPr>
          <w:t xml:space="preserve">3.7</w:t>
        </w:r>
      </w:hyperlink>
      <w:r>
        <w:t xml:space="preserve">) is a separate, additional restraint on document-level dominance within a single SDG cluster. It does not affect the segmentation itself.</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(fixed, not retrained).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 The 2018 start reflects the post-AlexNet emergence of deep learning as AI research’s dominant approach</w:t>
      </w:r>
      <w:r>
        <w:t xml:space="preserve"> </w:t>
      </w:r>
      <w:r>
        <w:t xml:space="preserve">(Krizhevsky et al., 2012)</w:t>
      </w:r>
      <w:r>
        <w:t xml:space="preserve">, combined with an expected research-uptake lag following the SDGs’ 2015 adoption.</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 This contrasts with recall-oriented AI corpora built from hundreds of field-specific keywords across hundreds of thousands of documents</w:t>
      </w:r>
      <w:r>
        <w:t xml:space="preserve"> </w:t>
      </w:r>
      <w:r>
        <w:t xml:space="preserve">(Hellwig et al., 2019)</w:t>
      </w:r>
      <w:r>
        <w:t xml:space="preserve"> </w:t>
      </w:r>
      <w:r>
        <w:t xml:space="preserve">or field-of-study membership</w:t>
      </w:r>
      <w:r>
        <w:t xml:space="preserve"> </w:t>
      </w:r>
      <w:r>
        <w:t xml:space="preserve">(OECD, 2024; Priem et al., 2022; Wang et al., 2020)</w:t>
      </w:r>
      <w:r>
        <w:t xml:space="preserv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 This test also found that concept-based retrieval (over keyword-based) helps with the SDG 4-inflation issue (Table </w:t>
      </w:r>
      <w:hyperlink w:anchor="tab:concept-coverage">
        <w:r>
          <w:rPr>
            <w:rStyle w:val="Hyperlink"/>
          </w:rPr>
          <w:t xml:space="preserve">6</w:t>
        </w:r>
      </w:hyperlink>
      <w:r>
        <w:t xml:space="preserve">, Appendix </w:t>
      </w:r>
      <w:hyperlink w:anchor="app:concept-retrieval-sensitivity">
        <w:r>
          <w:rPr>
            <w:rStyle w:val="Hyperlink"/>
          </w:rPr>
          <w:t xml:space="preserve">7</w:t>
        </w:r>
      </w:hyperlink>
      <w:r>
        <w:t xml:space="preserve">). A redo of the analysis using this retrieval method is recommended, but left for future follow-ups.</w:t>
      </w:r>
    </w:p>
    <w:p>
      <w:pPr>
        <w:pStyle w:val="BodyText"/>
      </w:pPr>
      <w:r>
        <w:t xml:space="preserve">Importantly, the robustness check applies no SDG filter at retrieval time and is therefore a pure AI/ML corpus with SDG labels assigned post hoc by the classifier, not a corpus independently verified as SDG-relevant. This limitation is documented rather than fixed, due to time constraints.</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 (Raw, Prep, Seg, Lab; definitions below).</w:t>
      </w:r>
    </w:p>
    <w:tbl>
      <w:tblPr>
        <w:tblStyle w:val="Table"/>
        <w:tblW w:type="auto" w:w="0"/>
        <w:tblLook w:firstRow="1" w:lastRow="0" w:firstColumn="0" w:lastColumn="0" w:noHBand="0" w:noVBand="0" w:val="0020"/>
        <w:jc w:val="start"/>
        <w:tblCaption w:val="Corpus provenance: record counts at each pipeline stage (Raw, Prep, Seg, Lab; definitions below)."/>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because the research corpus is first restricted to an OpenAlex AI-and-SDG universe, so the classifier answers a relative question among the 17 SDGs. This restriction does not hold for the concept-retrieved robustness corpus (Section </w:t>
      </w:r>
      <w:hyperlink w:anchor="sec:research-corpus">
        <w:r>
          <w:rPr>
            <w:rStyle w:val="Hyperlink"/>
          </w:rPr>
          <w:t xml:space="preserve">3.3</w:t>
        </w:r>
      </w:hyperlink>
      <w:r>
        <w:t xml:space="preserve">), which applies no SDG filter at retrieval; the classifier still forces an argmax assignment there despite the corpus not being pre-restricted to SDG-relevant text. Section </w:t>
      </w:r>
      <w:hyperlink w:anchor="sec:limitations">
        <w:r>
          <w:rPr>
            <w:rStyle w:val="Hyperlink"/>
          </w:rPr>
          <w:t xml:space="preserve">5.5</w:t>
        </w:r>
      </w:hyperlink>
      <w:r>
        <w:t xml:space="preserve"> </w:t>
      </w:r>
      <w:r>
        <w:t xml:space="preserve">discusses this limitation.</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 This study does not test whether the shift is uniform across SDGs, so the possibility that it reorders within-corpus rankings for some goals cannot be ruled out. This is left for future work due to time constraints.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very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For example, SDSN reports alone contribute up to 3,179 segments otherwise).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 Underlying both choices is the same rule: the coverage profile counts documents, so both corpora are aggregated to the document level; the semantic gap averages text content, so each corpus is aggregated at its natural authorship unit: the abstract for research and the passage for policy.</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very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not validated,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t xml:space="preserve">Identification argument. 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 The validation finds 1) a reduction of the corpus-level signal but not its complete elimination and 2) SDG classifier accuracy remains unchanged, meaning topic (and hence coverage) is not significantly affected by INLP register adjustment.</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 the register component is the difference between the raw and adjusted gaps.</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 SDG 4 is flagged as artefact-affected due to ML-learning vocabulary overlap with education corpora (Appendix </w:t>
      </w:r>
      <w:hyperlink w:anchor="app:sdg4-lexical-audit">
        <w:r>
          <w:rPr>
            <w:rStyle w:val="Hyperlink"/>
          </w:rPr>
          <w:t xml:space="preserve">8.1</w:t>
        </w:r>
      </w:hyperlink>
      <w:r>
        <w:t xml:space="preserve">).</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research-corpus">
        <w:r>
          <w:rPr>
            <w:rStyle w:val="Hyperlink"/>
          </w:rPr>
          <w:t xml:space="preserve">3.3</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smaller random research draws: across independent 10</w:t>
      </w:r>
      <w:r>
        <w:t xml:space="preserve">,</w:t>
      </w:r>
      <w:r>
        <w:t xml:space="preserve">000-paper draws, roughly matching the 6</w:t>
      </w:r>
      <w:r>
        <w:t xml:space="preserve">,</w:t>
      </w:r>
      <w:r>
        <w:t xml:space="preserve">367 policy documents, it reproduces the ordering at Spearman</w:t>
      </w:r>
      <w:r>
        <w:t xml:space="preserve"> </w:t>
      </w:r>
      <m:oMath>
        <m:r>
          <m:t>ρ</m:t>
        </m:r>
        <m:r>
          <m:rPr>
            <m:sty m:val="p"/>
          </m:rPr>
          <m:t>=</m:t>
        </m:r>
        <m:r>
          <m:t>0.936</m:t>
        </m:r>
        <m:r>
          <m:t>​</m:t>
        </m:r>
      </m:oMath>
      <w:r>
        <w:t xml:space="preserve">, and 100 independent 50</w:t>
      </w:r>
      <w:r>
        <w:t xml:space="preserve">,</w:t>
      </w:r>
      <w:r>
        <w:t xml:space="preserve">000-paper draws reach</w:t>
      </w:r>
      <w:r>
        <w:t xml:space="preserve"> </w:t>
      </w:r>
      <m:oMath>
        <m:r>
          <m:t>ρ</m:t>
        </m:r>
        <m:r>
          <m:rPr>
            <m:sty m:val="p"/>
          </m:rPr>
          <m:t>=</m:t>
        </m:r>
        <m:r>
          <m:t>0.986</m:t>
        </m:r>
        <m:r>
          <m:t>​</m:t>
        </m:r>
      </m:oMath>
      <w:r>
        <w:t xml:space="preserve"> </w:t>
      </w:r>
      <w:r>
        <w:t xml:space="preserve">(SD 0.009);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 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bl>
      <w:tblPr>
        <w:tblStyle w:val="Table"/>
        <w:tblW w:type="auto" w:w="0"/>
        <w:tblLook w:firstRow="1" w:lastRow="0" w:firstColumn="0" w:lastColumn="0" w:noHBand="0" w:noVBand="0" w:val="0020"/>
        <w:jc w:val="start"/>
        <w:tblCaption w:val="Reference values for the semantic-gap and coverage-predictor families (per SDG). Semantic gaps from Figs 5 and 6; coverage predictors from Fig. 3. Cov. = |\text{research}-\text{policy}| (pp). Signed dom. = research share - policy share (pp). Reg. Comp. = raw - adjusted."/>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w:t>
      </w:r>
      <w:r>
        <w:t xml:space="preserve"> </w:t>
      </w:r>
      <m:oMath>
        <m:r>
          <m:t>p</m:t>
        </m:r>
        <m:r>
          <m:rPr>
            <m:sty m:val="p"/>
          </m:rPr>
          <m:t>=</m:t>
        </m:r>
        <m:r>
          <m:t>0.120</m:t>
        </m:r>
      </m:oMath>
      <w:r>
        <w:t xml:space="preserve">) is negatively associated,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is asymmetric: where policy heavily covers an SDG, the adjusted gap tends to be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raw-null pattern holds: research share remains uncorrelated with the gap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0.223</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 The adjusted decomposition shows the same boundary: on register-removed gaps, the curated-family coverage–gap correlation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the corresponding SDGi-family and full-corpus correlations are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980"/>
        <w:gridCol w:w="1980"/>
        <w:gridCol w:w="1980"/>
        <w:gridCol w:w="1980"/>
      </w:tblGrid>
      <w:tr>
        <w:tc>
          <w:tcPr/>
          <w:p>
            <w:pPr>
              <w:pStyle w:val="CaptionedFigure"/>
              <w:jc w:val="center"/>
            </w:pPr>
            <w:r>
              <w:drawing>
                <wp:inline>
                  <wp:extent cx="1333500" cy="1073262"/>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333500" cy="1071157"/>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333500" cy="1071157"/>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333500" cy="1073262"/>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333500" cy="1073262"/>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333500" cy="1072559"/>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333500" cy="1072559"/>
                          </a:xfrm>
                          <a:prstGeom prst="rect">
                            <a:avLst/>
                          </a:prstGeom>
                          <a:noFill/>
                          <a:ln w="9525">
                            <a:noFill/>
                            <a:headEnd/>
                            <a:tailEnd/>
                          </a:ln>
                        </pic:spPr>
                      </pic:pic>
                    </a:graphicData>
                  </a:graphic>
                </wp:inline>
              </w:drawing>
            </w:r>
          </w:p>
          <w:p>
            <w:pPr>
              <w:pStyle w:val="ImageCaption"/>
              <w:jc w:val="center"/>
            </w:pPr>
            <w:r>
              <w:t xml:space="preserve">H1d: policy coverage (%)</w:t>
            </w:r>
          </w:p>
        </w:tc>
      </w:tr>
    </w:tbl>
    <w:p>
      <w:pPr>
        <w:pStyle w:val="ImageCaption"/>
      </w:pPr>
      <w:r>
        <w:t xml:space="preserve">Coverage predictor vs within-SDG semantic gap, one point per SDG. Both the adjusted (canonical, after INLP register removal) and raw baseline gaps are plotted. (a) absolute coverage gap; (b) signed dominance; (c) research coverage; (d) policy coverage.</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t xml:space="preserve">Three potential confounds must be addressed before this pattern can be interpreted substantively. Each is examined below.</w:t>
      </w:r>
    </w:p>
    <w:p>
      <w:pPr>
        <w:pStyle w:val="BodyText"/>
      </w:pPr>
      <w:r>
        <w:rPr>
          <w:bCs/>
          <w:b/>
        </w:rPr>
        <w:t xml:space="preserve">Independence of classification and measurement.</w:t>
      </w:r>
      <w:r>
        <w:t xml:space="preserve"> </w:t>
      </w:r>
      <w:r>
        <w:t xml:space="preserve">The LR classifier and the embedding space are separate tools: classification uses softmax probabilities; semantic measurement uses cosine distance between L2-normalised centroids. The most plausible confounder would be the INLP register-adjustment step systematically adjusting less for low-coverage SDGs and more for high-coverage ones, which could manufacture rather than show the adjusted-gap correlation. Stratification addresses this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that SDG’s actual coverage share in either corpus. Coverage-as-label-share therefore cannot leak into which direction gets learned or removed.</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The exception is the concept-retrieved track, where H1a’s raw-gap sign flips against all other configurations (Concept LR: +0.108, vs. negative or near-zero elsewhere) — consistent with the retrieval-related instability discussed in Section </w:t>
      </w:r>
      <w:hyperlink w:anchor="sec:limitations">
        <w:r>
          <w:rPr>
            <w:rStyle w:val="Hyperlink"/>
          </w:rPr>
          <w:t xml:space="preserve">5.5</w:t>
        </w:r>
      </w:hyperlink>
      <w:r>
        <w:t xml:space="preserve">. Excluding that track, the pattern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genuinely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As shown in Results (Section </w:t>
      </w:r>
      <w:hyperlink w:anchor="sec:semantic-gap">
        <w:r>
          <w:rPr>
            <w:rStyle w:val="Hyperlink"/>
          </w:rPr>
          <w:t xml:space="preserve">4.3</w:t>
        </w:r>
      </w:hyperlink>
      <w:r>
        <w:t xml:space="preserve">), SDGs 9 and 17 illustrate this: SDG 9 has the second-largest coverage gap but a mid-ranked raw semantic gap (its adjusted gap is fourth-widest), while SDG 17 combines the third-largest coverage gap with the narrowest raw gap, which becomes the widest adjusted gap. A single alignment score would conflate these two genuinely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Where policy dominates (SDGs 13, 16, 17), the framing reflects institutional norms of coordination:</w:t>
      </w:r>
      <w:r>
        <w:t xml:space="preserve"> </w:t>
      </w:r>
      <w:r>
        <w:t xml:space="preserve">“</w:t>
      </w:r>
      <w:r>
        <w:t xml:space="preserve">Mode 2 knowledge is carried out in a context of application</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The register decomposition also shows what the embedding instrument actually measures. Embedding distance is a composite signal of topic and register</w:t>
      </w:r>
      <w:r>
        <w:t xml:space="preserve"> </w:t>
      </w:r>
      <w:r>
        <w:t xml:space="preserve">(Harris, 1954)</w:t>
      </w:r>
      <w:r>
        <w:t xml:space="preserve">. 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(Section </w:t>
      </w:r>
      <w:hyperlink w:anchor="sec:alignment-framework">
        <w:r>
          <w:rPr>
            <w:rStyle w:val="Hyperlink"/>
          </w:rPr>
          <w:t xml:space="preserve">2.3</w:t>
        </w:r>
      </w:hyperlink>
      <w:r>
        <w:t xml:space="preserve">) assumes that research and policy discourse are already commensurable categories, comparable once retrieved and embedded. Constructing the corpora exposes a prior condition that framework does not capture. The research corpus is an intersection of AI and SDG content (2</w:t>
      </w:r>
      <w:r>
        <w:t xml:space="preserve">,</w:t>
      </w:r>
      <w:r>
        <w:t xml:space="preserve">536</w:t>
      </w:r>
      <w:r>
        <w:t xml:space="preserve">,</w:t>
      </w:r>
      <w:r>
        <w:t xml:space="preserve">771 abstracts). The curated AI-and-SDG policy family is 94 documents. This is not merely a sampling limitation to be corrected with more time (Section </w:t>
      </w:r>
      <w:hyperlink w:anchor="sec:limitations">
        <w:r>
          <w:rPr>
            <w:rStyle w:val="Hyperlink"/>
          </w:rPr>
          <w:t xml:space="preserve">5.5</w:t>
        </w:r>
      </w:hyperlink>
      <w:r>
        <w:t xml:space="preserve">). It suggests that</w:t>
      </w:r>
      <w:r>
        <w:t xml:space="preserve"> </w:t>
      </w:r>
      <w:r>
        <w:t xml:space="preserve">“</w:t>
      </w:r>
      <w:r>
        <w:t xml:space="preserve">AI and the SDGs</w:t>
      </w:r>
      <w:r>
        <w:t xml:space="preserve">”</w:t>
      </w:r>
      <w:r>
        <w:t xml:space="preserve"> </w:t>
      </w:r>
      <w:r>
        <w:t xml:space="preserve">is not yet an established organising category in institutional policy discourse the way it already is in academic research. Policy documents overwhelmingly discuss AI governance and SDG implementation as separate agendas. The joint category the research corpus takes for granted barely exists on the policy side to be sampled.</w:t>
      </w:r>
    </w:p>
    <w:p>
      <w:pPr>
        <w:pStyle w:val="BodyText"/>
      </w:pPr>
      <w:r>
        <w:t xml:space="preserve">“</w:t>
      </w:r>
      <w:r>
        <w:t xml:space="preserve">Level</w:t>
      </w:r>
      <w:r>
        <w:t xml:space="preserve">”</w:t>
      </w:r>
      <w:r>
        <w:t xml:space="preserve"> </w:t>
      </w:r>
      <w:r>
        <w:t xml:space="preserve">in this framework is reference-relative, not absolute. The paper’s core Level 1/Level 2 analysis (Sections </w:t>
      </w:r>
      <w:hyperlink w:anchor="sec:alignment-framework">
        <w:r>
          <w:rPr>
            <w:rStyle w:val="Hyperlink"/>
          </w:rPr>
          <w:t xml:space="preserve">2.3</w:t>
        </w:r>
      </w:hyperlink>
      <w:r>
        <w:t xml:space="preserve"> </w:t>
      </w:r>
      <w:r>
        <w:t xml:space="preserve">and</w:t>
      </w:r>
      <w:r>
        <w:t xml:space="preserve"> </w:t>
      </w:r>
      <w:hyperlink w:anchor="sec:results">
        <w:r>
          <w:rPr>
            <w:rStyle w:val="Hyperlink"/>
          </w:rPr>
          <w:t xml:space="preserve">4</w:t>
        </w:r>
      </w:hyperlink>
      <w:r>
        <w:t xml:space="preserve">) takes</w:t>
      </w:r>
      <w:r>
        <w:t xml:space="preserve"> </w:t>
      </w:r>
      <w:r>
        <w:t xml:space="preserve">“</w:t>
      </w:r>
      <w:r>
        <w:t xml:space="preserve">AI-and-SDG</w:t>
      </w:r>
      <w:r>
        <w:t xml:space="preserve">”</w:t>
      </w:r>
      <w:r>
        <w:t xml:space="preserve"> </w:t>
      </w:r>
      <w:r>
        <w:t xml:space="preserve">as an already-commensurable category and measures coverage and framing within it. The observation above applies the identical logic one category outward — treating general SDG discourse as the commensurable category and asking whether AI coverage within it is itself established on the policy side. It is not, in the formal sense of this paper’s Level 1 analysis, a measurement: no general-SDG coverage statistic was collected for either corpus, and the argument is inferred from the difficulty of assembling a symmetric AI-and-SDG policy corpus rather than from a coverage figure analogous to Section </w:t>
      </w:r>
      <w:hyperlink w:anchor="sec:results">
        <w:r>
          <w:rPr>
            <w:rStyle w:val="Hyperlink"/>
          </w:rPr>
          <w:t xml:space="preserve">4</w:t>
        </w:r>
      </w:hyperlink>
      <w:r>
        <w:t xml:space="preserve">’s. What follows should therefore be read as a plausible extension of the framework’s logic, motivating future work, not as a Level-1-style finding in its own right.</w:t>
      </w:r>
    </w:p>
    <w:p>
      <w:pPr>
        <w:pStyle w:val="BodyText"/>
      </w:pPr>
      <w:r>
        <w:t xml:space="preserve">This asymmetry maps onto the Mode 1/Mode 2 distinction</w:t>
      </w:r>
      <w:r>
        <w:t xml:space="preserve"> </w:t>
      </w:r>
      <w:r>
        <w:t xml:space="preserve">(Gibbons et al., 1994)</w:t>
      </w:r>
      <w:r>
        <w:t xml:space="preserve"> </w:t>
      </w:r>
      <w:r>
        <w:t xml:space="preserve">one level up from where it is usually applied. Mode 1 knowledge production allows a research community to define and pursue a novel cross-cutting category —</w:t>
      </w:r>
      <w:r>
        <w:t xml:space="preserve"> </w:t>
      </w:r>
      <w:r>
        <w:t xml:space="preserve">“</w:t>
      </w:r>
      <w:r>
        <w:t xml:space="preserve">AI for the SDGs</w:t>
      </w:r>
      <w:r>
        <w:t xml:space="preserve">”</w:t>
      </w:r>
      <w:r>
        <w:t xml:space="preserve"> </w:t>
      </w:r>
      <w:r>
        <w:t xml:space="preserve">— as an internal disciplinary move, requiring no external validation. Institutional policy discourse, operating closer to Mode 2’s context of application, adopts new organising categories only once they are demanded by a concrete problem, negotiation, or mandate. Research can outrun policy in category formation before it outruns policy in content. The near-total absence of a comparably sized</w:t>
      </w:r>
      <w:r>
        <w:t xml:space="preserve"> </w:t>
      </w:r>
      <w:r>
        <w:t xml:space="preserve">“</w:t>
      </w:r>
      <w:r>
        <w:t xml:space="preserve">AI-and-SDG</w:t>
      </w:r>
      <w:r>
        <w:t xml:space="preserve">”</w:t>
      </w:r>
      <w:r>
        <w:t xml:space="preserve"> </w:t>
      </w:r>
      <w:r>
        <w:t xml:space="preserve">policy corpus is therefore not a gap this study failed to fill. It is the gap, observed one level before Level 1 coverage or Level 2 framing can even be measured.</w:t>
      </w:r>
    </w:p>
    <w:p>
      <w:pPr>
        <w:pStyle w:val="BodyText"/>
      </w:pPr>
      <w:r>
        <w:t xml:space="preserve">As noted in Section </w:t>
      </w:r>
      <w:hyperlink w:anchor="sec:prev-biblio">
        <w:r>
          <w:rPr>
            <w:rStyle w:val="Hyperlink"/>
          </w:rPr>
          <w:t xml:space="preserve">2.1</w:t>
        </w:r>
      </w:hyperlink>
      <w:r>
        <w:t xml:space="preserve">, SDG 17 is treated in the literature</w:t>
      </w:r>
      <w:r>
        <w:t xml:space="preserve"> </w:t>
      </w:r>
      <w:r>
        <w:t xml:space="preserve">(Le Blanc, 2015; Griggs et al., 2017)</w:t>
      </w:r>
      <w:r>
        <w:t xml:space="preserve"> </w:t>
      </w:r>
      <w:r>
        <w:t xml:space="preserve">as dedicated to means of implementation rather than a substantive domain in its own right, coordinating action across goals rather than constituting one. Applied here one category up (see previous paragraph), the same reading suggests</w:t>
      </w:r>
      <w:r>
        <w:t xml:space="preserve"> </w:t>
      </w:r>
      <w:r>
        <w:t xml:space="preserve">“</w:t>
      </w:r>
      <w:r>
        <w:t xml:space="preserve">AI and the SDGs</w:t>
      </w:r>
      <w:r>
        <w:t xml:space="preserve">”</w:t>
      </w:r>
      <w:r>
        <w:t xml:space="preserve"> </w:t>
      </w:r>
      <w:r>
        <w:t xml:space="preserve">may currently occupy an analogous pre-domain status in policy discourse — a research-side framing device that institutional discourse has not yet organised itself around. If so, the coverage and semantic gaps measured in this paper (Section </w:t>
      </w:r>
      <w:hyperlink w:anchor="sec:results">
        <w:r>
          <w:rPr>
            <w:rStyle w:val="Hyperlink"/>
          </w:rPr>
          <w:t xml:space="preserve">4</w:t>
        </w:r>
      </w:hyperlink>
      <w:r>
        <w:t xml:space="preserve">) describe divergence within a category that, on the policy side, barely exists as a category at all. A future Level 0 measurement — tracking when and whether</w:t>
      </w:r>
      <w:r>
        <w:t xml:space="preserve"> </w:t>
      </w:r>
      <w:r>
        <w:t xml:space="preserve">“</w:t>
      </w:r>
      <w:r>
        <w:t xml:space="preserve">AI-and-SDG</w:t>
      </w:r>
      <w:r>
        <w:t xml:space="preserve">”</w:t>
      </w:r>
      <w:r>
        <w:t xml:space="preserve"> </w:t>
      </w:r>
      <w:r>
        <w:t xml:space="preserve">stabilises as a policy-organising category, for instance through co-occurrence of AI and SDG terms in institutional agendas over time — would convert this inference into a Level-1-style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semantic gap (</w:t>
      </w:r>
      <m:oMath>
        <m:r>
          <m:t>ρ</m:t>
        </m:r>
        <m:r>
          <m:rPr>
            <m:sty m:val="p"/>
          </m:rPr>
          <m:t>=</m:t>
        </m:r>
        <m:r>
          <m:t>0.44</m:t>
        </m:r>
      </m:oMath>
      <w:r>
        <w:t xml:space="preserve">–</w:t>
      </w:r>
      <m:oMath>
        <m:r>
          <m:t>0.91</m:t>
        </m:r>
      </m:oMath>
      <w:r>
        <w:t xml:space="preserve">), but this agreement was largely a register artifact: the distribution-aware metrics track the register component of the gap, not the adjusted semantic gap (Appendix </w:t>
      </w:r>
      <w:hyperlink w:anchor="app:distributional-table">
        <w:r>
          <w:rPr>
            <w:rStyle w:val="Hyperlink"/>
          </w:rPr>
          <w:t xml:space="preserve">10</w:t>
        </w:r>
      </w:hyperlink>
      <w:r>
        <w:t xml:space="preserve">). After register removal, the adjusted semantic gap is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run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have not been independently audited in this study, and the 2</w:t>
      </w:r>
      <w:r>
        <w:t xml:space="preserve">,</w:t>
      </w:r>
      <w:r>
        <w:t xml:space="preserve">536</w:t>
      </w:r>
      <w:r>
        <w:t xml:space="preserve">,</w:t>
      </w:r>
      <w:r>
        <w:t xml:space="preserve">771 abstracts retrieved reflect OpenAlex’s operational definition of SDG-relevant work rather than a validated one. The corpus size is large enough that composition estimates are stable, but it does not, on its own, show that the filter is accurate. Auditing it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that concept-retrieved papers (field-of-study membership) produce closely aligned gap rankings, with a lower SDG 4 share (</w:t>
      </w:r>
      <m:oMath>
        <m:r>
          <m:rPr>
            <m:sty m:val="p"/>
          </m:rPr>
          <m:t>−</m:t>
        </m:r>
      </m:oMath>
      <w:r>
        <w:t xml:space="preserve">7.3pp) as the largest deviation between the two profiles. Re-running the full pipeline with concept-retrieved papers as the primary corpus is the most direct path to eliminating this artefact and is left for future work. Additionally, the concept-retrieved robustness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that corpus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No SDG filter is applied at retrieval. SDG labels for this corpus are assigned entirely by the trained classifier post hoc, so its agreement with the keyword-retrieved corpus (Table </w:t>
      </w:r>
      <w:hyperlink w:anchor="tab:interaction">
        <w:r>
          <w:rPr>
            <w:rStyle w:val="Hyperlink"/>
          </w:rPr>
          <w:t xml:space="preserve">5</w:t>
        </w:r>
      </w:hyperlink>
      <w:r>
        <w:t xml:space="preserve">) demonstrates stability of coverage-share ranking under a different retrieval strategy, not independent confirmation that the concept corpus itself is SDG-relevant. This concern is consistent with a pattern in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Doing so is recommended before treating it as a fully independent validation. Follow-up works should either apply OpenAlex’s SDG filter for consistency and audit it independently for validation, or not apply OpenAlex’s SDG filter and allow for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cleanly separable, but the PCA space (Figure </w:t>
      </w:r>
      <w:hyperlink w:anchor="fig:pca-register-before-after">
        <w:r>
          <w:rPr>
            <w:rStyle w:val="Hyperlink"/>
          </w:rPr>
          <w:t xml:space="preserve">4</w:t>
        </w:r>
      </w:hyperlink>
      <w:r>
        <w:t xml:space="preserve">) shows real-world SDG discourse is fuzzy. SDG 4 is artefact-affected by the machine-learning/education</w:t>
      </w:r>
      <w:r>
        <w:t xml:space="preserve"> </w:t>
      </w:r>
      <w:r>
        <w:t xml:space="preserve">“</w:t>
      </w:r>
      <w:r>
        <w:t xml:space="preserve">learning</w:t>
      </w:r>
      <w:r>
        <w:t xml:space="preserve">”</w:t>
      </w:r>
      <w:r>
        <w:t xml:space="preserve"> </w:t>
      </w:r>
      <w:r>
        <w:t xml:space="preserve">overlap; its rank is read conditional on Appendix </w:t>
      </w:r>
      <w:hyperlink w:anchor="app:sdg4-lexical-audit">
        <w:r>
          <w:rPr>
            <w:rStyle w:val="Hyperlink"/>
          </w:rPr>
          <w:t xml:space="preserve">8.1</w:t>
        </w:r>
      </w:hyperlink>
      <w:r>
        <w:t xml:space="preserve">. Leave-one-out of SDG 4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 Existing SDG-mapping studies report only coverage</w:t>
      </w:r>
      <w:r>
        <w:t xml:space="preserve"> </w:t>
      </w:r>
      <w:r>
        <w:t xml:space="preserve">(Armitage et al., 2020)</w:t>
      </w:r>
      <w:r>
        <w:t xml:space="preserve">; this paper shows coverage and framing are separable dimensions (Section </w:t>
      </w:r>
      <w:hyperlink w:anchor="sec:semantic-gap">
        <w:r>
          <w:rPr>
            <w:rStyle w:val="Hyperlink"/>
          </w:rPr>
          <w:t xml:space="preserve">4.3</w:t>
        </w:r>
      </w:hyperlink>
      <w:r>
        <w:t xml:space="preserve">).</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raw correlation between the two dimensions is near-zero (Spearman</w:t>
      </w:r>
      <w:r>
        <w:t xml:space="preserve"> </w:t>
      </w:r>
      <m:oMath>
        <m:r>
          <m:t>ρ</m:t>
        </m:r>
        <m:r>
          <m:rPr>
            <m:sty m:val="p"/>
          </m:rPr>
          <m:t>=</m:t>
        </m:r>
        <m:r>
          <m:rPr>
            <m:sty m:val="p"/>
          </m:rPr>
          <m:t>−</m:t>
        </m:r>
        <m:r>
          <m:t>0.012</m:t>
        </m:r>
      </m:oMath>
      <w:r>
        <w:t xml:space="preserve">), but this masks a register-topic split: after INLP register removal, the adjusted semantic gap is positively associated with the coverage gap (</w:t>
      </w:r>
      <m:oMath>
        <m:r>
          <m:t>ρ</m:t>
        </m:r>
        <m:r>
          <m:rPr>
            <m:sty m:val="p"/>
          </m:rPr>
          <m:t>=</m:t>
        </m:r>
        <m:r>
          <m:t>0.544</m:t>
        </m:r>
      </m:oMath>
      <w:r>
        <w:t xml:space="preserve">,</w:t>
      </w:r>
      <w:r>
        <w:t xml:space="preserve"> </w:t>
      </w:r>
      <m:oMath>
        <m:r>
          <m:t>p</m:t>
        </m:r>
        <m:r>
          <m:rPr>
            <m:sty m:val="p"/>
          </m:rPr>
          <m:t>=</m:t>
        </m:r>
        <m:r>
          <m:t>0.025</m:t>
        </m:r>
      </m:oMath>
      <w:r>
        <w:t xml:space="preserve">).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framework is the paper’s primary contribution, advancing AI–SDG mapping from Level 1 (lexical correspondence) to Level 2 (observed semantic proximity) with explicit marking of Level 3 boundaries (Section </w:t>
      </w:r>
      <w:hyperlink w:anchor="sec:limitations">
        <w:r>
          <w:rPr>
            <w:rStyle w:val="Hyperlink"/>
          </w:rPr>
          <w:t xml:space="preserve">5.5</w:t>
        </w:r>
      </w:hyperlink>
      <w:r>
        <w:t xml:space="preserve">), and portable to any research-policy interface that shares a category system (Section </w:t>
      </w:r>
      <w:hyperlink w:anchor="sec:limitations">
        <w:r>
          <w:rPr>
            <w:rStyle w:val="Hyperlink"/>
          </w:rPr>
          <w:t xml:space="preserve">5.5</w:t>
        </w:r>
      </w:hyperlink>
      <w:r>
        <w:t xml:space="preserve">). 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 SDG 13 and SDG 17 sit close together (cosine 0.821), as do SDGs 1, 8, and 10.</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(i.e., carries no significance marker at the</w:t>
      </w:r>
      <w:r>
        <w:t xml:space="preserve"> </w:t>
      </w:r>
      <m:oMath>
        <m:r>
          <m:t>p</m:t>
        </m:r>
        <m:r>
          <m:rPr>
            <m:sty m:val="p"/>
          </m:rPr>
          <m:t>&lt;</m:t>
        </m:r>
        <m:r>
          <m:t>.05</m:t>
        </m:r>
      </m:oMath>
      <w:r>
        <w:t xml:space="preserve"> </w:t>
      </w:r>
      <w:r>
        <w:t xml:space="preserve">/</w:t>
      </w:r>
      <w:r>
        <w:t xml:space="preserve"> </w:t>
      </w:r>
      <m:oMath>
        <m:r>
          <m:t>p</m:t>
        </m:r>
        <m:r>
          <m:rPr>
            <m:sty m:val="p"/>
          </m:rPr>
          <m:t>&lt;</m:t>
        </m:r>
        <m:r>
          <m:t>.10</m:t>
        </m:r>
      </m:oMath>
      <w:r>
        <w:t xml:space="preserve"> </w:t>
      </w:r>
      <w:r>
        <w:t xml:space="preserve">thresholds applied throughout; see Table </w:t>
      </w:r>
      <w:hyperlink w:anchor="tab:distributional-h1">
        <w:r>
          <w:rPr>
            <w:rStyle w:val="Hyperlink"/>
          </w:rPr>
          <w:t xml:space="preserve">12</w:t>
        </w:r>
      </w:hyperlink>
      <w:r>
        <w:t xml:space="preserve"> </w:t>
      </w:r>
      <w:r>
        <w:t xml:space="preserve">notes), regardless of raw</w:t>
      </w:r>
      <w:r>
        <w:t xml:space="preserve"> </w:t>
      </w:r>
      <m:oMath>
        <m:r>
          <m:t>ρ</m:t>
        </m:r>
      </m:oMath>
      <w:r>
        <w:t xml:space="preserve"> </w:t>
      </w:r>
      <w:r>
        <w:t xml:space="preserve">magnitude, with two exceptions: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and C2ST AUC is a near-miss whose H1a (</w:t>
      </w:r>
      <m:oMath>
        <m:r>
          <m:t>ρ</m:t>
        </m:r>
        <m:r>
          <m:rPr>
            <m:sty m:val="p"/>
          </m:rPr>
          <m:t>=</m:t>
        </m:r>
        <m:r>
          <m:rPr>
            <m:sty m:val="p"/>
          </m:rPr>
          <m:t>+</m:t>
        </m:r>
        <m:r>
          <m:t>0.270</m:t>
        </m:r>
      </m:oMath>
      <w:r>
        <w:t xml:space="preserve">) and H1c (</w:t>
      </w:r>
      <m:oMath>
        <m:r>
          <m:t>ρ</m:t>
        </m:r>
        <m:r>
          <m:rPr>
            <m:sty m:val="p"/>
          </m:rPr>
          <m:t>=</m:t>
        </m:r>
        <m:r>
          <m:rPr>
            <m:sty m:val="p"/>
          </m:rPr>
          <m:t>+</m:t>
        </m:r>
        <m:r>
          <m:t>0.375</m:t>
        </m:r>
      </m:oMath>
      <w:r>
        <w:t xml:space="preserve">) are the largest non-significant magnitudes in the grid despite negative ranking agreement (</w:t>
      </w:r>
      <m:oMath>
        <m:r>
          <m:t>ρ</m:t>
        </m:r>
        <m:r>
          <m:rPr>
            <m:sty m:val="p"/>
          </m:rPr>
          <m:t>=</m:t>
        </m:r>
        <m:r>
          <m:rPr>
            <m:sty m:val="p"/>
          </m:rPr>
          <m:t>−</m:t>
        </m:r>
        <m:r>
          <m:t>0.164</m:t>
        </m:r>
      </m:oMath>
      <w:r>
        <w:t xml:space="preserve">, Table </w:t>
      </w:r>
      <w:hyperlink w:anchor="tab:distributional-gap">
        <w:r>
          <w:rPr>
            <w:rStyle w:val="Hyperlink"/>
          </w:rPr>
          <w:t xml:space="preserve">10</w:t>
        </w:r>
      </w:hyperlink>
      <w:r>
        <w:t xml:space="preserve">), remaining just above the</w:t>
      </w:r>
      <w:r>
        <w:t xml:space="preserve"> </w:t>
      </w:r>
      <m:oMath>
        <m:r>
          <m:t>p</m:t>
        </m:r>
        <m:r>
          <m:rPr>
            <m:sty m:val="p"/>
          </m:rPr>
          <m:t>&lt;</m:t>
        </m:r>
        <m:r>
          <m:t>.10</m:t>
        </m:r>
      </m:oMath>
      <w:r>
        <w:t xml:space="preserve"> </w:t>
      </w:r>
      <w:r>
        <w:t xml:space="preserve">threshold.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each family’s reliable SDGs only, UNGDC:</w:t>
      </w:r>
      <w:r>
        <w:t xml:space="preserve"> </w:t>
      </w:r>
      <m:oMath>
        <m:r>
          <m:t>n</m:t>
        </m:r>
        <m:r>
          <m:rPr>
            <m:sty m:val="p"/>
          </m:rPr>
          <m:t>=</m:t>
        </m:r>
        <m:r>
          <m:t>15</m:t>
        </m:r>
      </m:oMath>
      <w:r>
        <w:t xml:space="preserve">) confirms the null is not an artefact of comparing an AI-specific research intersection with a broader policy union: the curated AI/SDG construction reproduces the full-corpus pattern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0.600</m:t>
        </m:r>
      </m:oMath>
      <w:r>
        <w:t xml:space="preserve">,</w:t>
      </w:r>
      <w:r>
        <w:t xml:space="preserve"> </w:t>
      </w:r>
      <m:oMath>
        <m:r>
          <m:t>p</m:t>
        </m:r>
        <m:r>
          <m:rPr>
            <m:sty m:val="p"/>
          </m:rPr>
          <m:t>=</m:t>
        </m:r>
        <m:r>
          <m:t>0.014</m:t>
        </m:r>
      </m:oMath>
      <w:r>
        <w:t xml:space="preserve">;</w:t>
      </w:r>
      <w:r>
        <w:t xml:space="preserve"> </w:t>
      </w:r>
      <m:oMath>
        <m:r>
          <m:t>ρ</m:t>
        </m:r>
        <m:r>
          <m:rPr>
            <m:sty m:val="p"/>
          </m:rPr>
          <m:t>=</m:t>
        </m:r>
        <m:r>
          <m:t>0.420</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t xml:space="preserve">The Coverage gap adj. column of Table </w:t>
      </w:r>
      <w:hyperlink w:anchor="tab:policy-source-family-h25">
        <w:r>
          <w:rPr>
            <w:rStyle w:val="Hyperlink"/>
          </w:rPr>
          <w:t xml:space="preserve">33</w:t>
        </w:r>
      </w:hyperlink>
      <w:r>
        <w:t xml:space="preserve"> </w:t>
      </w:r>
      <w:r>
        <w:t xml:space="preserve">repeats the coverage-gap predictor against the register-adjusted semantic gap (Section </w:t>
      </w:r>
      <w:hyperlink w:anchor="sec:register-adjustment-inlp">
        <w:r>
          <w:rPr>
            <w:rStyle w:val="Hyperlink"/>
          </w:rPr>
          <w:t xml:space="preserve">3.8</w:t>
        </w:r>
      </w:hyperlink>
      <w:r>
        <w:t xml:space="preserve">). The full-corpus row reproduces the main-text decomposition estimate (</w:t>
      </w:r>
      <m:oMath>
        <m:r>
          <m:t>ρ</m:t>
        </m:r>
        <m:r>
          <m:rPr>
            <m:sty m:val="p"/>
          </m:rPr>
          <m:t>=</m:t>
        </m:r>
        <m:r>
          <m:t>0.544</m:t>
        </m:r>
      </m:oMath>
      <w:r>
        <w:t xml:space="preserve">,</w:t>
      </w:r>
      <w:r>
        <w:t xml:space="preserve"> </w:t>
      </w:r>
      <m:oMath>
        <m:r>
          <m:t>p</m:t>
        </m:r>
        <m:r>
          <m:rPr>
            <m:sty m:val="p"/>
          </m:rPr>
          <m:t>=</m:t>
        </m:r>
        <m:r>
          <m:t>0.025</m:t>
        </m:r>
      </m:oMath>
      <w:r>
        <w:t xml:space="preserve">), confirming that the projection is applied consistently here. The positive adjusted association appears in the SDGi family (</w:t>
      </w:r>
      <m:oMath>
        <m:r>
          <m:t>ρ</m:t>
        </m:r>
        <m:r>
          <m:rPr>
            <m:sty m:val="p"/>
          </m:rPr>
          <m:t>=</m:t>
        </m:r>
        <m:r>
          <m:t>0.498</m:t>
        </m:r>
      </m:oMath>
      <w:r>
        <w:t xml:space="preserve">,</w:t>
      </w:r>
      <w:r>
        <w:t xml:space="preserve"> </w:t>
      </w:r>
      <m:oMath>
        <m:r>
          <m:t>p</m:t>
        </m:r>
        <m:r>
          <m:rPr>
            <m:sty m:val="p"/>
          </m:rPr>
          <m:t>=</m:t>
        </m:r>
        <m:r>
          <m:t>0.044</m:t>
        </m:r>
      </m:oMath>
      <w:r>
        <w:t xml:space="preserve">) and the full corpus (</w:t>
      </w:r>
      <m:oMath>
        <m:r>
          <m:t>ρ</m:t>
        </m:r>
        <m:r>
          <m:rPr>
            <m:sty m:val="p"/>
          </m:rPr>
          <m:t>=</m:t>
        </m:r>
        <m:r>
          <m:t>0.544</m:t>
        </m:r>
      </m:oMath>
      <w:r>
        <w:t xml:space="preserve">,</w:t>
      </w:r>
      <w:r>
        <w:t xml:space="preserve"> </w:t>
      </w:r>
      <m:oMath>
        <m:r>
          <m:t>p</m:t>
        </m:r>
        <m:r>
          <m:rPr>
            <m:sty m:val="p"/>
          </m:rPr>
          <m:t>=</m:t>
        </m:r>
        <m:r>
          <m:t>0.025</m:t>
        </m:r>
      </m:oMath>
      <w:r>
        <w:t xml:space="preserve">), but not under symmetric scope: the curated AI/SDG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as is UNGDC (</w:t>
      </w:r>
      <m:oMath>
        <m:r>
          <m:t>ρ</m:t>
        </m:r>
        <m:r>
          <m:rPr>
            <m:sty m:val="p"/>
          </m:rPr>
          <m:t>=</m:t>
        </m:r>
        <m:r>
          <m:t>0.357</m:t>
        </m:r>
      </m:oMath>
      <w:r>
        <w:t xml:space="preserve">,</w:t>
      </w:r>
      <w:r>
        <w:t xml:space="preserve"> </w:t>
      </w:r>
      <m:oMath>
        <m:r>
          <m:t>p</m:t>
        </m:r>
        <m:r>
          <m:rPr>
            <m:sty m:val="p"/>
          </m:rPr>
          <m:t>=</m:t>
        </m:r>
        <m:r>
          <m:t>0.191</m:t>
        </m:r>
      </m:oMath>
      <w:r>
        <w:t xml:space="preserve">). Two qualifications bound this result. First, the curated family’s document-weighted profile spans only 94 documents, so its policy share varies over a narrower range than the full corpus at the same</w:t>
      </w:r>
      <w:r>
        <w:t xml:space="preserve"> </w:t>
      </w:r>
      <m:oMath>
        <m:r>
          <m:t>n</m:t>
        </m:r>
        <m:r>
          <m:rPr>
            <m:sty m:val="p"/>
          </m:rPr>
          <m:t>=</m:t>
        </m:r>
        <m:r>
          <m:t>17</m:t>
        </m:r>
      </m:oMath>
      <w:r>
        <w:t xml:space="preserve">, which attenuates rank correlations. Second, the adjusted gaps carry the register-removal caveat of Appendix </w:t>
      </w:r>
      <w:hyperlink w:anchor="app:register-validation">
        <w:r>
          <w:rPr>
            <w:rStyle w:val="Hyperlink"/>
          </w:rPr>
          <w:t xml:space="preserve">13.2</w:t>
        </w:r>
      </w:hyperlink>
      <w:r>
        <w:t xml:space="preserve">: what INLP removes is broader than measurable register. The symmetric-scope column therefore bounds the reach of the positive adjusted association rather than overturning its full-corpus estimate.</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71"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70"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Cross2013"/>
    <w:p>
      <w:pPr>
        <w:pStyle w:val="Bibliography"/>
      </w:pPr>
      <w:r>
        <w:t xml:space="preserve">Cross, M.K.D. (2013) Rethinking epistemic communities twenty years later.</w:t>
      </w:r>
      <w:r>
        <w:t xml:space="preserve"> </w:t>
      </w:r>
      <w:r>
        <w:rPr>
          <w:iCs/>
          <w:i/>
        </w:rPr>
        <w:t xml:space="preserve">Review of International Studies</w:t>
      </w:r>
      <w:r>
        <w:t xml:space="preserve">, 39 (1): 137–160. doi:</w:t>
      </w:r>
      <w:hyperlink r:id="rId182">
        <w:r>
          <w:rPr>
            <w:rStyle w:val="Hyperlink"/>
          </w:rPr>
          <w:t xml:space="preserve">10.1017/S0260210512000034</w:t>
        </w:r>
      </w:hyperlink>
      <w:r>
        <w:t xml:space="preserve">.</w:t>
      </w:r>
    </w:p>
    <w:bookmarkEnd w:id="183"/>
    <w:bookmarkStart w:id="185"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4">
        <w:r>
          <w:rPr>
            <w:rStyle w:val="Hyperlink"/>
          </w:rPr>
          <w:t xml:space="preserve">https://eur-lex.europa.eu/legal-content/EN/TXT/?uri=CELEX:32024R1689</w:t>
        </w:r>
      </w:hyperlink>
      <w:r>
        <w:t xml:space="preserve">.</w:t>
      </w:r>
    </w:p>
    <w:bookmarkEnd w:id="185"/>
    <w:bookmarkStart w:id="187"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6">
        <w:r>
          <w:rPr>
            <w:rStyle w:val="Hyperlink"/>
          </w:rPr>
          <w:t xml:space="preserve">10.1080/13552074.2016.1145895</w:t>
        </w:r>
      </w:hyperlink>
      <w:r>
        <w:t xml:space="preserve">.</w:t>
      </w:r>
    </w:p>
    <w:bookmarkEnd w:id="187"/>
    <w:bookmarkStart w:id="188"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8"/>
    <w:bookmarkStart w:id="190"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9">
        <w:r>
          <w:rPr>
            <w:rStyle w:val="Hyperlink"/>
          </w:rPr>
          <w:t xml:space="preserve">10.1109/ACCESS.2025.3595894</w:t>
        </w:r>
      </w:hyperlink>
      <w:r>
        <w:t xml:space="preserve">.</w:t>
      </w:r>
    </w:p>
    <w:bookmarkEnd w:id="190"/>
    <w:bookmarkStart w:id="192"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91">
        <w:r>
          <w:rPr>
            <w:rStyle w:val="Hyperlink"/>
          </w:rPr>
          <w:t xml:space="preserve">10.1038/s41893-025-01598-6</w:t>
        </w:r>
      </w:hyperlink>
      <w:r>
        <w:t xml:space="preserve">.</w:t>
      </w:r>
    </w:p>
    <w:bookmarkEnd w:id="192"/>
    <w:bookmarkStart w:id="194"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3">
        <w:r>
          <w:rPr>
            <w:rStyle w:val="Hyperlink"/>
          </w:rPr>
          <w:t xml:space="preserve">10.3389/frai.2024.1472411</w:t>
        </w:r>
      </w:hyperlink>
      <w:r>
        <w:t xml:space="preserve">.</w:t>
      </w:r>
    </w:p>
    <w:bookmarkEnd w:id="194"/>
    <w:bookmarkStart w:id="196"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5">
        <w:r>
          <w:rPr>
            <w:rStyle w:val="Hyperlink"/>
          </w:rPr>
          <w:t xml:space="preserve">10.24948/2017.01</w:t>
        </w:r>
      </w:hyperlink>
      <w:r>
        <w:t xml:space="preserve">.</w:t>
      </w:r>
    </w:p>
    <w:bookmarkEnd w:id="196"/>
    <w:bookmarkStart w:id="198"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7">
        <w:r>
          <w:rPr>
            <w:rStyle w:val="Hyperlink"/>
          </w:rPr>
          <w:t xml:space="preserve">10.1177/016224390102600401</w:t>
        </w:r>
      </w:hyperlink>
      <w:r>
        <w:t xml:space="preserve">.</w:t>
      </w:r>
    </w:p>
    <w:bookmarkEnd w:id="198"/>
    <w:bookmarkStart w:id="200"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9">
        <w:r>
          <w:rPr>
            <w:rStyle w:val="Hyperlink"/>
          </w:rPr>
          <w:t xml:space="preserve">10.1017/S0020818300001442</w:t>
        </w:r>
      </w:hyperlink>
      <w:r>
        <w:t xml:space="preserve">.</w:t>
      </w:r>
    </w:p>
    <w:bookmarkEnd w:id="200"/>
    <w:bookmarkStart w:id="202" w:name="ref-Harris1954"/>
    <w:p>
      <w:pPr>
        <w:pStyle w:val="Bibliography"/>
      </w:pPr>
      <w:r>
        <w:t xml:space="preserve">Harris, Z.S. (1954) Distributional structure.</w:t>
      </w:r>
      <w:r>
        <w:t xml:space="preserve"> </w:t>
      </w:r>
      <w:r>
        <w:rPr>
          <w:iCs/>
          <w:i/>
        </w:rPr>
        <w:t xml:space="preserve">WORD</w:t>
      </w:r>
      <w:r>
        <w:t xml:space="preserve">, 10 (2–3): 146–162. doi:</w:t>
      </w:r>
      <w:hyperlink r:id="rId201">
        <w:r>
          <w:rPr>
            <w:rStyle w:val="Hyperlink"/>
          </w:rPr>
          <w:t xml:space="preserve">10.1080/00437956.1954.11659520</w:t>
        </w:r>
      </w:hyperlink>
      <w:r>
        <w:t xml:space="preserve">.</w:t>
      </w:r>
    </w:p>
    <w:bookmarkEnd w:id="202"/>
    <w:bookmarkStart w:id="204"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3">
        <w:r>
          <w:rPr>
            <w:rStyle w:val="Hyperlink"/>
          </w:rPr>
          <w:t xml:space="preserve">10.1007/978-0-387-84858-7</w:t>
        </w:r>
      </w:hyperlink>
      <w:r>
        <w:t xml:space="preserve">.</w:t>
      </w:r>
    </w:p>
    <w:bookmarkEnd w:id="204"/>
    <w:bookmarkStart w:id="206"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5">
        <w:r>
          <w:rPr>
            <w:rStyle w:val="Hyperlink"/>
          </w:rPr>
          <w:t xml:space="preserve">10.1007/s43681-023-00259-8</w:t>
        </w:r>
      </w:hyperlink>
      <w:r>
        <w:t xml:space="preserve">.</w:t>
      </w:r>
    </w:p>
    <w:bookmarkEnd w:id="206"/>
    <w:bookmarkStart w:id="207"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7"/>
    <w:bookmarkStart w:id="209"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8">
        <w:r>
          <w:rPr>
            <w:rStyle w:val="Hyperlink"/>
          </w:rPr>
          <w:t xml:space="preserve">10.1002/csr.2202</w:t>
        </w:r>
      </w:hyperlink>
      <w:r>
        <w:t xml:space="preserve">.</w:t>
      </w:r>
    </w:p>
    <w:bookmarkEnd w:id="209"/>
    <w:bookmarkStart w:id="211" w:name="ref-Hickel2019"/>
    <w:p>
      <w:pPr>
        <w:pStyle w:val="Bibliography"/>
      </w:pPr>
      <w:r>
        <w:t xml:space="preserve">Hickel, J. (2019) The contradiction of the sustainable development goals: Growth versus ecology on a finite planet.</w:t>
      </w:r>
      <w:r>
        <w:t xml:space="preserve"> </w:t>
      </w:r>
      <w:r>
        <w:rPr>
          <w:iCs/>
          <w:i/>
        </w:rPr>
        <w:t xml:space="preserve">Sustainable Development</w:t>
      </w:r>
      <w:r>
        <w:t xml:space="preserve">, 27 (5): 873–884. doi:</w:t>
      </w:r>
      <w:hyperlink r:id="rId210">
        <w:r>
          <w:rPr>
            <w:rStyle w:val="Hyperlink"/>
          </w:rPr>
          <w:t xml:space="preserve">10.1002/sd.1947</w:t>
        </w:r>
      </w:hyperlink>
      <w:r>
        <w:t xml:space="preserve">.</w:t>
      </w:r>
    </w:p>
    <w:bookmarkEnd w:id="211"/>
    <w:bookmarkStart w:id="213"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12">
        <w:r>
          <w:rPr>
            <w:rStyle w:val="Hyperlink"/>
          </w:rPr>
          <w:t xml:space="preserve">https://www.ipcc.ch/report/ar6/wg2/</w:t>
        </w:r>
      </w:hyperlink>
      <w:r>
        <w:t xml:space="preserve">.</w:t>
      </w:r>
    </w:p>
    <w:bookmarkEnd w:id="213"/>
    <w:bookmarkStart w:id="215"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4">
        <w:r>
          <w:rPr>
            <w:rStyle w:val="Hyperlink"/>
          </w:rPr>
          <w:t xml:space="preserve">10.1177/00223433241275335</w:t>
        </w:r>
      </w:hyperlink>
      <w:r>
        <w:t xml:space="preserve">.</w:t>
      </w:r>
    </w:p>
    <w:bookmarkEnd w:id="215"/>
    <w:bookmarkStart w:id="217"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6">
        <w:r>
          <w:rPr>
            <w:rStyle w:val="Hyperlink"/>
          </w:rPr>
          <w:t xml:space="preserve">10.1162/qss_a_00304</w:t>
        </w:r>
      </w:hyperlink>
      <w:r>
        <w:t xml:space="preserve">.</w:t>
      </w:r>
    </w:p>
    <w:bookmarkEnd w:id="217"/>
    <w:bookmarkStart w:id="219" w:name="ref-NIPS2012_c399862d"/>
    <w:p>
      <w:pPr>
        <w:pStyle w:val="Bibliography"/>
      </w:pPr>
      <w:r>
        <w:t xml:space="preserve">Krizhevsky, A., Sutskever, I. and Hinton, G.E. (2012)</w:t>
      </w:r>
      <w:r>
        <w:t xml:space="preserve"> </w:t>
      </w:r>
      <w:r>
        <w:t xml:space="preserve">“ImageNet classification with deep convolutional neural networks.”</w:t>
      </w:r>
      <w:r>
        <w:t xml:space="preserve"> </w:t>
      </w:r>
      <w:r>
        <w:rPr>
          <w:u w:val="single"/>
        </w:rPr>
        <w:t xml:space="preserve">In</w:t>
      </w:r>
      <w:r>
        <w:t xml:space="preserve"> Pereira, F., Burges, C.J., Bottou, L., et al. (eds.).</w:t>
      </w:r>
      <w:r>
        <w:t xml:space="preserve"> </w:t>
      </w:r>
      <w:r>
        <w:rPr>
          <w:iCs/>
          <w:i/>
        </w:rPr>
        <w:t xml:space="preserve">Advances in neural information processing systems</w:t>
      </w:r>
      <w:r>
        <w:t xml:space="preserve">. 2012. Curran Associates, Inc. Available at:</w:t>
      </w:r>
      <w:r>
        <w:t xml:space="preserve"> </w:t>
      </w:r>
      <w:hyperlink r:id="rId218">
        <w:r>
          <w:rPr>
            <w:rStyle w:val="Hyperlink"/>
          </w:rPr>
          <w:t xml:space="preserve">https://proceedings.neurips.cc/paper_files/paper/2012/file/c399862d3b9d6b76c8436e924a68c45b-Paper.pdf</w:t>
        </w:r>
      </w:hyperlink>
      <w:r>
        <w:t xml:space="preserve">.</w:t>
      </w:r>
    </w:p>
    <w:bookmarkEnd w:id="219"/>
    <w:bookmarkStart w:id="221"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20">
        <w:r>
          <w:rPr>
            <w:rStyle w:val="Hyperlink"/>
          </w:rPr>
          <w:t xml:space="preserve">10.1002/sd.1582</w:t>
        </w:r>
      </w:hyperlink>
      <w:r>
        <w:t xml:space="preserve">.</w:t>
      </w:r>
    </w:p>
    <w:bookmarkEnd w:id="221"/>
    <w:bookmarkStart w:id="223"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22">
        <w:r>
          <w:rPr>
            <w:rStyle w:val="Hyperlink"/>
          </w:rPr>
          <w:t xml:space="preserve">https://nlp.stanford.edu/IR-book/</w:t>
        </w:r>
      </w:hyperlink>
      <w:r>
        <w:t xml:space="preserve">.</w:t>
      </w:r>
    </w:p>
    <w:bookmarkEnd w:id="223"/>
    <w:bookmarkStart w:id="225"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24">
        <w:r>
          <w:rPr>
            <w:rStyle w:val="Hyperlink"/>
          </w:rPr>
          <w:t xml:space="preserve">10.1016/j.ecoinf.2026.103669</w:t>
        </w:r>
      </w:hyperlink>
      <w:r>
        <w:t xml:space="preserve">.</w:t>
      </w:r>
    </w:p>
    <w:bookmarkEnd w:id="225"/>
    <w:bookmarkStart w:id="227"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6">
        <w:r>
          <w:rPr>
            <w:rStyle w:val="Hyperlink"/>
          </w:rPr>
          <w:t xml:space="preserve">10.1109/ACCESS.2024.3516500</w:t>
        </w:r>
      </w:hyperlink>
      <w:r>
        <w:t xml:space="preserve">.</w:t>
      </w:r>
    </w:p>
    <w:bookmarkEnd w:id="227"/>
    <w:bookmarkStart w:id="229"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8">
        <w:r>
          <w:rPr>
            <w:rStyle w:val="Hyperlink"/>
          </w:rPr>
          <w:t xml:space="preserve">10.1038/534320a</w:t>
        </w:r>
      </w:hyperlink>
      <w:r>
        <w:t xml:space="preserve">.</w:t>
      </w:r>
    </w:p>
    <w:bookmarkEnd w:id="229"/>
    <w:bookmarkStart w:id="231"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30">
        <w:r>
          <w:rPr>
            <w:rStyle w:val="Hyperlink"/>
          </w:rPr>
          <w:t xml:space="preserve">10.18653/v1/W17-4903</w:t>
        </w:r>
      </w:hyperlink>
      <w:r>
        <w:t xml:space="preserve">.</w:t>
      </w:r>
    </w:p>
    <w:bookmarkEnd w:id="231"/>
    <w:bookmarkStart w:id="233"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32">
        <w:r>
          <w:rPr>
            <w:rStyle w:val="Hyperlink"/>
          </w:rPr>
          <w:t xml:space="preserve">https://oecd.ai/en/partner-data-methodological-note</w:t>
        </w:r>
      </w:hyperlink>
      <w:r>
        <w:t xml:space="preserve">.</w:t>
      </w:r>
    </w:p>
    <w:bookmarkEnd w:id="233"/>
    <w:bookmarkStart w:id="235"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34">
        <w:r>
          <w:rPr>
            <w:rStyle w:val="Hyperlink"/>
          </w:rPr>
          <w:t xml:space="preserve">10.48550/arXiv.2205.01833</w:t>
        </w:r>
      </w:hyperlink>
      <w:r>
        <w:t xml:space="preserve">.</w:t>
      </w:r>
    </w:p>
    <w:bookmarkEnd w:id="235"/>
    <w:bookmarkStart w:id="237"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6">
        <w:r>
          <w:rPr>
            <w:rStyle w:val="Hyperlink"/>
          </w:rPr>
          <w:t xml:space="preserve">10.48550/arXiv.2211.11252</w:t>
        </w:r>
      </w:hyperlink>
      <w:r>
        <w:t xml:space="preserve">.</w:t>
      </w:r>
    </w:p>
    <w:bookmarkEnd w:id="237"/>
    <w:bookmarkStart w:id="239"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8">
        <w:r>
          <w:rPr>
            <w:rStyle w:val="Hyperlink"/>
          </w:rPr>
          <w:t xml:space="preserve">10.18653/v1/2020.acl-main.647</w:t>
        </w:r>
      </w:hyperlink>
      <w:r>
        <w:t xml:space="preserve">.</w:t>
      </w:r>
    </w:p>
    <w:bookmarkEnd w:id="239"/>
    <w:bookmarkStart w:id="241"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40">
        <w:r>
          <w:rPr>
            <w:rStyle w:val="Hyperlink"/>
          </w:rPr>
          <w:t xml:space="preserve">10.18653/v1/D19-1410</w:t>
        </w:r>
      </w:hyperlink>
      <w:r>
        <w:t xml:space="preserve">.</w:t>
      </w:r>
    </w:p>
    <w:bookmarkEnd w:id="241"/>
    <w:bookmarkStart w:id="243"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42">
        <w:r>
          <w:rPr>
            <w:rStyle w:val="Hyperlink"/>
          </w:rPr>
          <w:t xml:space="preserve">10.1017/S0003055422001228</w:t>
        </w:r>
      </w:hyperlink>
      <w:r>
        <w:t xml:space="preserve">.</w:t>
      </w:r>
    </w:p>
    <w:bookmarkEnd w:id="243"/>
    <w:bookmarkStart w:id="245"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44">
        <w:r>
          <w:rPr>
            <w:rStyle w:val="Hyperlink"/>
          </w:rPr>
          <w:t xml:space="preserve">10.51593/20230</w:t>
        </w:r>
      </w:hyperlink>
      <w:r>
        <w:t xml:space="preserve">.</w:t>
      </w:r>
    </w:p>
    <w:bookmarkEnd w:id="245"/>
    <w:bookmarkStart w:id="247"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6">
        <w:r>
          <w:rPr>
            <w:rStyle w:val="Hyperlink"/>
          </w:rPr>
          <w:t xml:space="preserve">https://github.com/SDGClassification/benchmark</w:t>
        </w:r>
      </w:hyperlink>
      <w:r>
        <w:t xml:space="preserve">.</w:t>
      </w:r>
    </w:p>
    <w:bookmarkEnd w:id="247"/>
    <w:bookmarkStart w:id="249"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8">
        <w:r>
          <w:rPr>
            <w:rStyle w:val="Hyperlink"/>
          </w:rPr>
          <w:t xml:space="preserve">https://huggingface.co/datasets/UNDP/sdgi-corpus</w:t>
        </w:r>
      </w:hyperlink>
      <w:r>
        <w:t xml:space="preserve">.</w:t>
      </w:r>
    </w:p>
    <w:bookmarkEnd w:id="249"/>
    <w:bookmarkStart w:id="250"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50"/>
    <w:bookmarkStart w:id="251"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51"/>
    <w:bookmarkStart w:id="253"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52">
        <w:r>
          <w:rPr>
            <w:rStyle w:val="Hyperlink"/>
          </w:rPr>
          <w:t xml:space="preserve">10.1002/sd.2706</w:t>
        </w:r>
      </w:hyperlink>
      <w:r>
        <w:t xml:space="preserve">.</w:t>
      </w:r>
    </w:p>
    <w:bookmarkEnd w:id="253"/>
    <w:bookmarkStart w:id="255"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54">
        <w:r>
          <w:rPr>
            <w:rStyle w:val="Hyperlink"/>
          </w:rPr>
          <w:t xml:space="preserve">10.1007/s00146-025-02181-5</w:t>
        </w:r>
      </w:hyperlink>
      <w:r>
        <w:t xml:space="preserve">.</w:t>
      </w:r>
    </w:p>
    <w:bookmarkEnd w:id="255"/>
    <w:bookmarkStart w:id="257"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6">
        <w:r>
          <w:rPr>
            <w:rStyle w:val="Hyperlink"/>
          </w:rPr>
          <w:t xml:space="preserve">10.48550/arXiv.2505.00174</w:t>
        </w:r>
      </w:hyperlink>
      <w:r>
        <w:t xml:space="preserve">.</w:t>
      </w:r>
    </w:p>
    <w:bookmarkEnd w:id="257"/>
    <w:bookmarkStart w:id="259"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8">
        <w:r>
          <w:rPr>
            <w:rStyle w:val="Hyperlink"/>
          </w:rPr>
          <w:t xml:space="preserve">10.1145/3630106.3659035</w:t>
        </w:r>
      </w:hyperlink>
      <w:r>
        <w:t xml:space="preserve">.</w:t>
      </w:r>
    </w:p>
    <w:bookmarkEnd w:id="259"/>
    <w:bookmarkStart w:id="261"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60">
        <w:r>
          <w:rPr>
            <w:rStyle w:val="Hyperlink"/>
          </w:rPr>
          <w:t xml:space="preserve">10.5281/zenodo.3798385</w:t>
        </w:r>
      </w:hyperlink>
      <w:r>
        <w:t xml:space="preserve">.</w:t>
      </w:r>
    </w:p>
    <w:bookmarkEnd w:id="261"/>
    <w:bookmarkStart w:id="263"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62">
        <w:r>
          <w:rPr>
            <w:rStyle w:val="Hyperlink"/>
          </w:rPr>
          <w:t xml:space="preserve">10.1038/s41467-019-14108-y</w:t>
        </w:r>
      </w:hyperlink>
      <w:r>
        <w:t xml:space="preserve">.</w:t>
      </w:r>
    </w:p>
    <w:bookmarkEnd w:id="263"/>
    <w:bookmarkStart w:id="265" w:name="ref-Wang2020"/>
    <w:p>
      <w:pPr>
        <w:pStyle w:val="Bibliography"/>
      </w:pPr>
      <w:r>
        <w:t xml:space="preserve">Wang, K., Shen, Z., Huang, C., et al. (2020) Microsoft academic graph: When experts are not enough.</w:t>
      </w:r>
      <w:r>
        <w:t xml:space="preserve"> </w:t>
      </w:r>
      <w:r>
        <w:rPr>
          <w:iCs/>
          <w:i/>
        </w:rPr>
        <w:t xml:space="preserve">Quantitative Science Studies</w:t>
      </w:r>
      <w:r>
        <w:t xml:space="preserve">, 1 (1): 396–413. doi:</w:t>
      </w:r>
      <w:hyperlink r:id="rId264">
        <w:r>
          <w:rPr>
            <w:rStyle w:val="Hyperlink"/>
          </w:rPr>
          <w:t xml:space="preserve">10.1162/qss_a_00021</w:t>
        </w:r>
      </w:hyperlink>
      <w:r>
        <w:t xml:space="preserve">.</w:t>
      </w:r>
    </w:p>
    <w:bookmarkEnd w:id="265"/>
    <w:bookmarkStart w:id="267"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66">
        <w:r>
          <w:rPr>
            <w:rStyle w:val="Hyperlink"/>
          </w:rPr>
          <w:t xml:space="preserve">10.5281/zenodo.7523032</w:t>
        </w:r>
      </w:hyperlink>
      <w:r>
        <w:t xml:space="preserve">.</w:t>
      </w:r>
    </w:p>
    <w:bookmarkEnd w:id="267"/>
    <w:bookmarkStart w:id="269"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8">
        <w:r>
          <w:rPr>
            <w:rStyle w:val="Hyperlink"/>
          </w:rPr>
          <w:t xml:space="preserve">10.1016/j.array.2025.100419</w:t>
        </w:r>
      </w:hyperlink>
      <w:r>
        <w:t xml:space="preserve">.</w:t>
      </w:r>
    </w:p>
    <w:bookmarkEnd w:id="269"/>
    <w:bookmarkEnd w:id="270"/>
    <w:bookmarkEnd w:id="271"/>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8" Target="https://doi.org/10.1002/csr.2202" TargetMode="External" /><Relationship Type="http://schemas.openxmlformats.org/officeDocument/2006/relationships/hyperlink" Id="rId220" Target="https://doi.org/10.1002/sd.1582" TargetMode="External" /><Relationship Type="http://schemas.openxmlformats.org/officeDocument/2006/relationships/hyperlink" Id="rId210" Target="https://doi.org/10.1002/sd.1947" TargetMode="External" /><Relationship Type="http://schemas.openxmlformats.org/officeDocument/2006/relationships/hyperlink" Id="rId252" Target="https://doi.org/10.1002/sd.2706" TargetMode="External" /><Relationship Type="http://schemas.openxmlformats.org/officeDocument/2006/relationships/hyperlink" Id="rId203" Target="https://doi.org/10.1007/978-0-387-84858-7" TargetMode="External" /><Relationship Type="http://schemas.openxmlformats.org/officeDocument/2006/relationships/hyperlink" Id="rId254"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5" Target="https://doi.org/10.1007/s43681-023-00259-8" TargetMode="External" /><Relationship Type="http://schemas.openxmlformats.org/officeDocument/2006/relationships/hyperlink" Id="rId268" Target="https://doi.org/10.1016/j.array.2025.100419" TargetMode="External" /><Relationship Type="http://schemas.openxmlformats.org/officeDocument/2006/relationships/hyperlink" Id="rId224" Target="https://doi.org/10.1016/j.ecoinf.2026.103669" TargetMode="External" /><Relationship Type="http://schemas.openxmlformats.org/officeDocument/2006/relationships/hyperlink" Id="rId242" Target="https://doi.org/10.1017/S0003055422001228" TargetMode="External" /><Relationship Type="http://schemas.openxmlformats.org/officeDocument/2006/relationships/hyperlink" Id="rId199" Target="https://doi.org/10.1017/S0020818300001442" TargetMode="External" /><Relationship Type="http://schemas.openxmlformats.org/officeDocument/2006/relationships/hyperlink" Id="rId182" Target="https://doi.org/10.1017/S0260210512000034" TargetMode="External" /><Relationship Type="http://schemas.openxmlformats.org/officeDocument/2006/relationships/hyperlink" Id="rId228" Target="https://doi.org/10.1038/534320a" TargetMode="External" /><Relationship Type="http://schemas.openxmlformats.org/officeDocument/2006/relationships/hyperlink" Id="rId262" Target="https://doi.org/10.1038/s41467-019-14108-y" TargetMode="External" /><Relationship Type="http://schemas.openxmlformats.org/officeDocument/2006/relationships/hyperlink" Id="rId191"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201"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6" Target="https://doi.org/10.1080/13552074.2016.1145895" TargetMode="External" /><Relationship Type="http://schemas.openxmlformats.org/officeDocument/2006/relationships/hyperlink" Id="rId226" Target="https://doi.org/10.1109/ACCESS.2024.3516500" TargetMode="External" /><Relationship Type="http://schemas.openxmlformats.org/officeDocument/2006/relationships/hyperlink" Id="rId189"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8" Target="https://doi.org/10.1145/3630106.3659035" TargetMode="External" /><Relationship Type="http://schemas.openxmlformats.org/officeDocument/2006/relationships/hyperlink" Id="rId264" Target="https://doi.org/10.1162/qss_a_00021" TargetMode="External" /><Relationship Type="http://schemas.openxmlformats.org/officeDocument/2006/relationships/hyperlink" Id="rId154" Target="https://doi.org/10.1162/qss_a_00071" TargetMode="External" /><Relationship Type="http://schemas.openxmlformats.org/officeDocument/2006/relationships/hyperlink" Id="rId216"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4" Target="https://doi.org/10.1177/00223433241275335" TargetMode="External" /><Relationship Type="http://schemas.openxmlformats.org/officeDocument/2006/relationships/hyperlink" Id="rId197" Target="https://doi.org/10.1177/016224390102600401" TargetMode="External" /><Relationship Type="http://schemas.openxmlformats.org/officeDocument/2006/relationships/hyperlink" Id="rId238" Target="https://doi.org/10.18653/v1/2020.acl-main.647" TargetMode="External" /><Relationship Type="http://schemas.openxmlformats.org/officeDocument/2006/relationships/hyperlink" Id="rId240"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30"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5"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3"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4" Target="https://doi.org/10.48550/arXiv.2205.01833" TargetMode="External" /><Relationship Type="http://schemas.openxmlformats.org/officeDocument/2006/relationships/hyperlink" Id="rId236" Target="https://doi.org/10.48550/arXiv.2211.11252" TargetMode="External" /><Relationship Type="http://schemas.openxmlformats.org/officeDocument/2006/relationships/hyperlink" Id="rId256" Target="https://doi.org/10.48550/arXiv.2505.00174" TargetMode="External" /><Relationship Type="http://schemas.openxmlformats.org/officeDocument/2006/relationships/hyperlink" Id="rId244" Target="https://doi.org/10.51593/20230" TargetMode="External" /><Relationship Type="http://schemas.openxmlformats.org/officeDocument/2006/relationships/hyperlink" Id="rId260" Target="https://doi.org/10.5281/zenodo.3798385" TargetMode="External" /><Relationship Type="http://schemas.openxmlformats.org/officeDocument/2006/relationships/hyperlink" Id="rId266" Target="https://doi.org/10.5281/zenodo.7523032" TargetMode="External" /><Relationship Type="http://schemas.openxmlformats.org/officeDocument/2006/relationships/hyperlink" Id="rId184" Target="https://eur-lex.europa.eu/legal-content/EN/TXT/?uri=CELEX:32024R1689" TargetMode="External" /><Relationship Type="http://schemas.openxmlformats.org/officeDocument/2006/relationships/hyperlink" Id="rId246"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8" Target="https://huggingface.co/datasets/UNDP/sdgi-corpus" TargetMode="External" /><Relationship Type="http://schemas.openxmlformats.org/officeDocument/2006/relationships/hyperlink" Id="rId222" Target="https://nlp.stanford.edu/IR-book/" TargetMode="External" /><Relationship Type="http://schemas.openxmlformats.org/officeDocument/2006/relationships/hyperlink" Id="rId232" Target="https://oecd.ai/en/partner-data-methodological-note" TargetMode="External" /><Relationship Type="http://schemas.openxmlformats.org/officeDocument/2006/relationships/hyperlink" Id="rId218" Target="https://proceedings.neurips.cc/paper_files/paper/2012/file/c399862d3b9d6b76c8436e924a68c45b-Paper.pdf" TargetMode="External" /><Relationship Type="http://schemas.openxmlformats.org/officeDocument/2006/relationships/hyperlink" Id="rId212"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8" Target="https://doi.org/10.1002/csr.2202" TargetMode="External" /><Relationship Type="http://schemas.openxmlformats.org/officeDocument/2006/relationships/hyperlink" Id="rId220" Target="https://doi.org/10.1002/sd.1582" TargetMode="External" /><Relationship Type="http://schemas.openxmlformats.org/officeDocument/2006/relationships/hyperlink" Id="rId210" Target="https://doi.org/10.1002/sd.1947" TargetMode="External" /><Relationship Type="http://schemas.openxmlformats.org/officeDocument/2006/relationships/hyperlink" Id="rId252" Target="https://doi.org/10.1002/sd.2706" TargetMode="External" /><Relationship Type="http://schemas.openxmlformats.org/officeDocument/2006/relationships/hyperlink" Id="rId203" Target="https://doi.org/10.1007/978-0-387-84858-7" TargetMode="External" /><Relationship Type="http://schemas.openxmlformats.org/officeDocument/2006/relationships/hyperlink" Id="rId254"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5" Target="https://doi.org/10.1007/s43681-023-00259-8" TargetMode="External" /><Relationship Type="http://schemas.openxmlformats.org/officeDocument/2006/relationships/hyperlink" Id="rId268" Target="https://doi.org/10.1016/j.array.2025.100419" TargetMode="External" /><Relationship Type="http://schemas.openxmlformats.org/officeDocument/2006/relationships/hyperlink" Id="rId224" Target="https://doi.org/10.1016/j.ecoinf.2026.103669" TargetMode="External" /><Relationship Type="http://schemas.openxmlformats.org/officeDocument/2006/relationships/hyperlink" Id="rId242" Target="https://doi.org/10.1017/S0003055422001228" TargetMode="External" /><Relationship Type="http://schemas.openxmlformats.org/officeDocument/2006/relationships/hyperlink" Id="rId199" Target="https://doi.org/10.1017/S0020818300001442" TargetMode="External" /><Relationship Type="http://schemas.openxmlformats.org/officeDocument/2006/relationships/hyperlink" Id="rId182" Target="https://doi.org/10.1017/S0260210512000034" TargetMode="External" /><Relationship Type="http://schemas.openxmlformats.org/officeDocument/2006/relationships/hyperlink" Id="rId228" Target="https://doi.org/10.1038/534320a" TargetMode="External" /><Relationship Type="http://schemas.openxmlformats.org/officeDocument/2006/relationships/hyperlink" Id="rId262" Target="https://doi.org/10.1038/s41467-019-14108-y" TargetMode="External" /><Relationship Type="http://schemas.openxmlformats.org/officeDocument/2006/relationships/hyperlink" Id="rId191"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201"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6" Target="https://doi.org/10.1080/13552074.2016.1145895" TargetMode="External" /><Relationship Type="http://schemas.openxmlformats.org/officeDocument/2006/relationships/hyperlink" Id="rId226" Target="https://doi.org/10.1109/ACCESS.2024.3516500" TargetMode="External" /><Relationship Type="http://schemas.openxmlformats.org/officeDocument/2006/relationships/hyperlink" Id="rId189"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8" Target="https://doi.org/10.1145/3630106.3659035" TargetMode="External" /><Relationship Type="http://schemas.openxmlformats.org/officeDocument/2006/relationships/hyperlink" Id="rId264" Target="https://doi.org/10.1162/qss_a_00021" TargetMode="External" /><Relationship Type="http://schemas.openxmlformats.org/officeDocument/2006/relationships/hyperlink" Id="rId154" Target="https://doi.org/10.1162/qss_a_00071" TargetMode="External" /><Relationship Type="http://schemas.openxmlformats.org/officeDocument/2006/relationships/hyperlink" Id="rId216"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4" Target="https://doi.org/10.1177/00223433241275335" TargetMode="External" /><Relationship Type="http://schemas.openxmlformats.org/officeDocument/2006/relationships/hyperlink" Id="rId197" Target="https://doi.org/10.1177/016224390102600401" TargetMode="External" /><Relationship Type="http://schemas.openxmlformats.org/officeDocument/2006/relationships/hyperlink" Id="rId238" Target="https://doi.org/10.18653/v1/2020.acl-main.647" TargetMode="External" /><Relationship Type="http://schemas.openxmlformats.org/officeDocument/2006/relationships/hyperlink" Id="rId240"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30"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5"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3"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34" Target="https://doi.org/10.48550/arXiv.2205.01833" TargetMode="External" /><Relationship Type="http://schemas.openxmlformats.org/officeDocument/2006/relationships/hyperlink" Id="rId236" Target="https://doi.org/10.48550/arXiv.2211.11252" TargetMode="External" /><Relationship Type="http://schemas.openxmlformats.org/officeDocument/2006/relationships/hyperlink" Id="rId256" Target="https://doi.org/10.48550/arXiv.2505.00174" TargetMode="External" /><Relationship Type="http://schemas.openxmlformats.org/officeDocument/2006/relationships/hyperlink" Id="rId244" Target="https://doi.org/10.51593/20230" TargetMode="External" /><Relationship Type="http://schemas.openxmlformats.org/officeDocument/2006/relationships/hyperlink" Id="rId260" Target="https://doi.org/10.5281/zenodo.3798385" TargetMode="External" /><Relationship Type="http://schemas.openxmlformats.org/officeDocument/2006/relationships/hyperlink" Id="rId266" Target="https://doi.org/10.5281/zenodo.7523032" TargetMode="External" /><Relationship Type="http://schemas.openxmlformats.org/officeDocument/2006/relationships/hyperlink" Id="rId184" Target="https://eur-lex.europa.eu/legal-content/EN/TXT/?uri=CELEX:32024R1689" TargetMode="External" /><Relationship Type="http://schemas.openxmlformats.org/officeDocument/2006/relationships/hyperlink" Id="rId246"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8" Target="https://huggingface.co/datasets/UNDP/sdgi-corpus" TargetMode="External" /><Relationship Type="http://schemas.openxmlformats.org/officeDocument/2006/relationships/hyperlink" Id="rId222" Target="https://nlp.stanford.edu/IR-book/" TargetMode="External" /><Relationship Type="http://schemas.openxmlformats.org/officeDocument/2006/relationships/hyperlink" Id="rId232" Target="https://oecd.ai/en/partner-data-methodological-note" TargetMode="External" /><Relationship Type="http://schemas.openxmlformats.org/officeDocument/2006/relationships/hyperlink" Id="rId218" Target="https://proceedings.neurips.cc/paper_files/paper/2012/file/c399862d3b9d6b76c8436e924a68c45b-Paper.pdf" TargetMode="External" /><Relationship Type="http://schemas.openxmlformats.org/officeDocument/2006/relationships/hyperlink" Id="rId212"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2026-08-27T11:11:35Z</dcterms:created>
  <dcterms:modified xsi:type="dcterms:W3CDTF">2026-08-27T11:11:35Z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