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91.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Don’t</w:t>
      </w:r>
      <w:r>
        <w:rPr>
          <w:bCs/>
          <w:b/>
        </w:rPr>
        <w:t xml:space="preserve"> </w:t>
      </w:r>
      <w:r>
        <w:rPr>
          <w:bCs/>
          <w:b/>
        </w:rPr>
        <w:t xml:space="preserve">Mean</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SDG-labelled, 3</w:t>
      </w:r>
      <w:r>
        <w:t xml:space="preserve">,</w:t>
      </w:r>
      <w:r>
        <w:t xml:space="preserve">105</w:t>
      </w:r>
      <w:r>
        <w:t xml:space="preserve">,</w:t>
      </w:r>
      <w:r>
        <w:t xml:space="preserve">144 research, and 40</w:t>
      </w:r>
      <w:r>
        <w:t xml:space="preserve">,</w:t>
      </w:r>
      <w:r>
        <w:t xml:space="preserve">597 policy text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(INLP,</w:t>
      </w:r>
      <w:r>
        <w:t xml:space="preserve"> </w:t>
      </w:r>
      <w:r>
        <w:t xml:space="preserve">Ravfogel et al. (2020)</w:t>
      </w:r>
      <w:r>
        <w:t xml:space="preserve">). What remains is called the adjusted semantic space, which arguably contains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and register semantic centroids and gaps are recalculated using the respective values. Correlation tests between H1a) absolute coverage gap, H1b) signed coverage gap,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research-side’s high coverage of SDGs 3, 4, 11, 16 established by prior findings. Policy-side ranking (top SDGs: 13, 16, and 17) is established here for the first time. The raw coverage-semantic correlation is null (</w:t>
      </w:r>
      <m:oMath>
        <m:r>
          <m:t>ρ</m:t>
        </m:r>
        <m:r>
          <m:rPr>
            <m:sty m:val="p"/>
          </m:rPr>
          <m:t>=</m:t>
        </m:r>
        <m:r>
          <m:rPr>
            <m:sty m:val="p"/>
          </m:rPr>
          <m:t>−</m:t>
        </m:r>
        <m:r>
          <m:t>0.012</m:t>
        </m:r>
      </m:oMath>
      <w:r>
        <w:t xml:space="preserve">, p = 0.959). However, decomposition hints at a cancellation: the adjusted semantic gap is positively associated with coverage (</w:t>
      </w:r>
      <m:oMath>
        <m:r>
          <m:t>ρ</m:t>
        </m:r>
        <m:r>
          <m:rPr>
            <m:sty m:val="p"/>
          </m:rPr>
          <m:t>=</m:t>
        </m:r>
        <m:r>
          <m:t>0.544</m:t>
        </m:r>
      </m:oMath>
      <w:r>
        <w:t xml:space="preserve">, p = 0.025) while the register component is negatively associated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Those results are generally stable across encoders, classifier family, retrieval strategy, segment cap, and policy-source family.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bookmarkStart w:id="21" w:name="sec:intro"/>
    <w:p>
      <w:pPr>
        <w:pStyle w:val="Heading1"/>
      </w:pPr>
      <w:r>
        <w:t xml:space="preserve">Introduction</w:t>
      </w:r>
    </w:p>
    <w:p>
      <w:pPr>
        <w:pStyle w:val="FirstParagraph"/>
      </w:pPr>
      <w:r>
        <w:t xml:space="preserve">Research-policy alignment is often inferred from whether scientific and policy texts address the same topics</w:t>
      </w:r>
      <w:r>
        <w:t xml:space="preserve"> </w:t>
      </w:r>
      <w:r>
        <w:t xml:space="preserve">(Bornmann et al., 2016)</w:t>
      </w:r>
      <w:r>
        <w:t xml:space="preserve">, but shared coverage does not mean comparable framing. Research and policy rarely even co-occur on a topic to begin with: only 1.2% of 191,276 climate-change publications carry at least one policy-document mention</w:t>
      </w:r>
      <w:r>
        <w:t xml:space="preserve"> </w:t>
      </w:r>
      <w:r>
        <w:t xml:space="preserve">(Bornmann et al., 2016)</w:t>
      </w:r>
      <w:r>
        <w:t xml:space="preserve">, and even where research and policy communities share terminology, they diverge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empirically unfounded.</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measure whether a text is about a SDG instead of how it frames it.</w:t>
      </w:r>
    </w:p>
    <w:p>
      <w:pPr>
        <w:pStyle w:val="BodyText"/>
      </w:pPr>
      <w:r>
        <w:t xml:space="preserve">Coverage gaps like this are not AI-specific: in conservation science, 59% of policy-prioritised topics appear in fewer than 15 papers</w:t>
      </w:r>
      <w:r>
        <w:t xml:space="preserve"> </w:t>
      </w:r>
      <w:r>
        <w:t xml:space="preserve">(McCarthy et al., 2026)</w:t>
      </w:r>
      <w:r>
        <w:t xml:space="preserve">. Framing gaps are not AI-specific either: corporate AI research concentrates on pre-deployment problems, leaving the deployment-impact space policy must address</w:t>
      </w:r>
      <w:r>
        <w:t xml:space="preserve"> </w:t>
      </w:r>
      <w:r>
        <w:t xml:space="preserve">(Strauss et al., 2025)</w:t>
      </w:r>
      <w:r>
        <w:t xml:space="preserve">, and global AI metrics emphasise technical/economic performance where policy stresses ethical/social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Its contribution is a measurement framework. Applied to the AI-SDG scientific and policy literature, this framework advances its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Literature Review</w:t>
      </w:r>
    </w:p>
    <w:p>
      <w:pPr>
        <w:pStyle w:val="FirstParagraph"/>
      </w:pPr>
      <w:r>
        <w:t xml:space="preserve"> </w:t>
      </w:r>
    </w:p>
    <w:bookmarkStart w:id="22" w:name="sec:prev-biblio"/>
    <w:p>
      <w:pPr>
        <w:pStyle w:val="Heading2"/>
      </w:pPr>
      <w:r>
        <w:t xml:space="preserve">Previous AI-SDG Bibliometrics</w:t>
      </w:r>
    </w:p>
    <w:p>
      <w:pPr>
        <w:pStyle w:val="FirstParagraph"/>
      </w:pPr>
      <w:r>
        <w:t xml:space="preserve">Existing assessments of AI and the SDGs rest on expert views or publication counts rather than on the texts themselves</w:t>
      </w:r>
      <w:r>
        <w:t xml:space="preserve"> </w:t>
      </w:r>
      <w:r>
        <w:t xml:space="preserve">(Vinuesa et al., 2020)</w:t>
      </w:r>
      <w:r>
        <w:t xml:space="preserve">. Broader SDG scientometrics and the AI-specific inventories converge on one robust finding: SDG 3 (Good Health) and SDG 7 (Affordable and Clean Energy) are the most addressed goals in the AI-specific studies, followed by SDG 4 (Quality Education), SDG 13 (Climate Action), SDG 11 (Sustainable Cities and Communities), and SDG 16 (Peace, Justice and Strong Institutions). The evidence base spans a citation-based corpus of roughly 25,000 publications on the Millennium and Sustainable Development Goals</w:t>
      </w:r>
      <w:r>
        <w:t xml:space="preserve"> </w:t>
      </w:r>
      <w:r>
        <w:t xml:space="preserve">(Bautista-Puig et al., 2021)</w:t>
      </w:r>
      <w:r>
        <w:t xml:space="preserve">, 20,511 AI publications (2001–2020)</w:t>
      </w:r>
      <w:r>
        <w:t xml:space="preserve"> </w:t>
      </w:r>
      <w:r>
        <w:t xml:space="preserve">(Singh et al., 2024)</w:t>
      </w:r>
      <w:r>
        <w:t xml:space="preserve">, 1,288 big-data and AI publications</w:t>
      </w:r>
      <w:r>
        <w:t xml:space="preserve"> </w:t>
      </w:r>
      <w:r>
        <w:t xml:space="preserve">(Nedungadi et al., 2024)</w:t>
      </w:r>
      <w:r>
        <w:t xml:space="preserve">, 792 AI-and-SDG research articles</w:t>
      </w:r>
      <w:r>
        <w:t xml:space="preserve"> </w:t>
      </w:r>
      <w:r>
        <w:t xml:space="preserve">(Gohr et al., 2025)</w:t>
      </w:r>
      <w:r>
        <w:t xml:space="preserve">, and 108 AI-for-social-good projects</w:t>
      </w:r>
      <w:r>
        <w:t xml:space="preserve"> </w:t>
      </w:r>
      <w:r>
        <w:t xml:space="preserve">(Cowls et al., 2021)</w:t>
      </w:r>
      <w:r>
        <w:t xml:space="preserve">. Still, none of these studies measures within-SDG semantic framing.</w:t>
      </w:r>
    </w:p>
    <w:p>
      <w:pPr>
        <w:pStyle w:val="BodyText"/>
      </w:pPr>
      <w:r>
        <w:t xml:space="preserve">SDG publication mapping depends on the methods used.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reach the same caution from a broader comparison of Boolean, machine-learning, and hybrid mapping systems, finding no single best approach and no single</w:t>
      </w:r>
      <w:r>
        <w:t xml:space="preserve"> </w:t>
      </w:r>
      <w:r>
        <w:t xml:space="preserve">“</w:t>
      </w:r>
      <w:r>
        <w:t xml:space="preserve">golden</w:t>
      </w:r>
      <w:r>
        <w:t xml:space="preserve">”</w:t>
      </w:r>
      <w:r>
        <w:t xml:space="preserve"> </w:t>
      </w:r>
      <w:r>
        <w:t xml:space="preserve">validation set. The dependence persists in AI-based mapping: keyword baselines still omit publications that never state an SDG keyword explicitly, so the reported corpus boundary remains query-dependent</w:t>
      </w:r>
      <w:r>
        <w:t xml:space="preserve"> </w:t>
      </w:r>
      <w:r>
        <w:t xml:space="preserve">(Yin et al., 2025)</w:t>
      </w:r>
      <w:r>
        <w:t xml:space="preserve">. The embedding-based approach used in this paper reduces some vocabulary-level brittleness of keyword dictionaries, but its results are still conditional on corpus construction, which centroids are used, and model choice.</w:t>
      </w:r>
    </w:p>
    <w:p>
      <w:pPr>
        <w:pStyle w:val="BodyText"/>
      </w:pPr>
      <w:r>
        <w:t xml:space="preserve">The SDGs themselves are interdependent by design but no operational framework specifies how</w:t>
      </w:r>
      <w:r>
        <w:t xml:space="preserve"> </w:t>
      </w:r>
      <w:r>
        <w:t xml:space="preserve">(Nilsson et al., 2016)</w:t>
      </w:r>
      <w:r>
        <w:t xml:space="preserve">, with the exception of SDG 17.</w:t>
      </w:r>
      <w:r>
        <w:t xml:space="preserve"> </w:t>
      </w:r>
      <w:r>
        <w:t xml:space="preserve">Le Blanc (2015)</w:t>
      </w:r>
      <w:r>
        <w:t xml:space="preserve">, in a network analysis of the proposed SDGs, treats SDG 17 (Partnerships for the Goals) as the dedicated goal for cross-cutting means of implementation: finance, trade, technology transfer, and capacity building, excluding it from cross-goal mapping because its targets are implementation infrastructure rather than substantive domains. The</w:t>
      </w:r>
      <w:r>
        <w:t xml:space="preserve"> </w:t>
      </w:r>
      <w:r>
        <w:t xml:space="preserve">Griggs et al. (2017)</w:t>
      </w:r>
      <w:r>
        <w:t xml:space="preserve"> </w:t>
      </w:r>
      <w:r>
        <w:t xml:space="preserve">guide likewise describes SDG 17 as the main enabler of the whole framework. Unlike every other SDG, whose discourse more likely centres on a shared substantive topic, SDG 17 policy discourse concerns coordinating and resourcing implementation itself, a conceptual space that AI research doesn’t generally occupy. Single-SDG assignment used in this paper is therefore a simplifying assumption.</w:t>
      </w:r>
    </w:p>
    <w:bookmarkEnd w:id="22"/>
    <w:bookmarkStart w:id="23" w:name="sec:rp-alignment"/>
    <w:p>
      <w:pPr>
        <w:pStyle w:val="Heading2"/>
      </w:pPr>
      <w:r>
        <w:t xml:space="preserve">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Global AI metrics emphasise technical and economic performance when policy discourse stresses ethical and social dimensions aligned with SDG concerns</w:t>
      </w:r>
      <w:r>
        <w:t xml:space="preserve"> </w:t>
      </w:r>
      <w:r>
        <w:t xml:space="preserve">(Sioumalas-Christodoulou and Tympas, 2025)</w:t>
      </w:r>
      <w:r>
        <w:t xml:space="preserve">. Research and policy communities can share trustworthy-AI terminology while differing in term salience and focal concerns</w:t>
      </w:r>
      <w:r>
        <w:t xml:space="preserve"> </w:t>
      </w:r>
      <w:r>
        <w:t xml:space="preserve">(Toney-Wails et al., 2024)</w:t>
      </w:r>
      <w:r>
        <w:t xml:space="preserve">. The pattern extends beyond AI: in conservation science, 59% of policy-prioritised research topics appear in fewer than 15 papers</w:t>
      </w:r>
      <w:r>
        <w:t xml:space="preserve"> </w:t>
      </w:r>
      <w:r>
        <w:t xml:space="preserve">(McCarthy et al., 2026)</w:t>
      </w:r>
      <w:r>
        <w:t xml:space="preserve">.</w:t>
      </w:r>
    </w:p>
    <w:p>
      <w:pPr>
        <w:pStyle w:val="BodyText"/>
      </w:pPr>
      <w:r>
        <w:t xml:space="preserve">Adjacent scientometric work measures research-policy connection through policy-document mentions rather than semantic framing and still finds only 1.2% of 191,276 climate-change publications have at least one policy mention</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does not operationalise an epistemic community directly, but measures only the weaker condition of observed semantic proximity. Semantic proximity cannot show the existence, strength, or influence of an expert community</w:t>
      </w:r>
      <w:r>
        <w:t xml:space="preserve"> </w:t>
      </w:r>
      <w:r>
        <w:t xml:space="preserve">(Cross, 2013)</w:t>
      </w:r>
      <w:r>
        <w:t xml:space="preserve">.</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and Goal 8’s 3% annual growth target is empirically incompatible with the resource-use and emissions goals</w:t>
      </w:r>
      <w:r>
        <w:t xml:space="preserve"> </w:t>
      </w:r>
      <w:r>
        <w:t xml:space="preserve">(Hickel, 2019)</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To the extent that research follows Mode 1 knowledge production (problems set within academic disciplines) rather than Mode 2 (problems arising in contexts of application)</w:t>
      </w:r>
      <w:r>
        <w:t xml:space="preserve"> </w:t>
      </w:r>
      <w:r>
        <w:t xml:space="preserve">(Gibbons et al., 1994)</w:t>
      </w:r>
      <w:r>
        <w:t xml:space="preserve">, divergence is not uniformly problematic: where research explores possibilities that policy discourse has not yet absorbed, distance may reflect productive exploration rather than failure of alignment.</w:t>
      </w:r>
    </w:p>
    <w:bookmarkEnd w:id="23"/>
    <w:bookmarkStart w:id="27" w:name="sec:alignment-framework"/>
    <w:p>
      <w:pPr>
        <w:pStyle w:val="Heading2"/>
      </w:pPr>
      <w:r>
        <w:t xml:space="preserve">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criticized: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not just judged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Figure </w:t>
      </w:r>
      <w:hyperlink w:anchor="fig:conceptual-framework">
        <w:r>
          <w:rPr>
            <w:rStyle w:val="Hyperlink"/>
          </w:rPr>
          <w:t xml:space="preserve">1</w:t>
        </w:r>
      </w:hyperlink>
      <w:r>
        <w:t xml:space="preserve"> </w:t>
      </w:r>
      <w:r>
        <w:t xml:space="preserve">illustrates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specifically for SDG association tasks, finding that general-purpose models from the sentence-transformers family perform among the strongest as baselines, and that domain-specific fine-tuning further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The implication is that embedding distance mixes topic, register, and contextual convention into a single number: distributional representations are not topic-only, since language models inherently encode varieties of language including register</w:t>
      </w:r>
      <w:r>
        <w:t xml:space="preserve"> </w:t>
      </w:r>
      <w:r>
        <w:t xml:space="preserve">(Grieve et al., 2025)</w:t>
      </w:r>
      <w:r>
        <w:t xml:space="preserve">, and stylistic variation is demonstrably present in distributional vector spaces</w:t>
      </w:r>
      <w:r>
        <w:t xml:space="preserve"> </w:t>
      </w:r>
      <w:r>
        <w:t xml:space="preserve">(Niu and Carpuat, 2017)</w:t>
      </w:r>
      <w:r>
        <w:t xml:space="preserve">. This motivates the decomposition into these components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two texts can differ on some dimensions and converge on others. INLP removes a linear slice of the embedding space. What it isolates is the largest single direction of writing-style difference; it is not claimed to capture every aspect of register, which is multi-dimensional.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policy-document uptake, but does not compare the two corpora directly on these dimensions; or (ii) an examination of how coverage gaps and semantic gaps are related. This framework is diagnostic. It maps where observed divergence is, without classifying whether any given gap reflects productive or problematic disconnection. The latter would require qualitative follow-up beyond the scope of embedding analysis.</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research–policy dominance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per the epistemic-communities direction-of-dominance argument. The operationalization of these tests, Pearson</w:t>
      </w:r>
      <w:r>
        <w:t xml:space="preserve"> </w:t>
      </w:r>
      <m:oMath>
        <m:r>
          <m:t>r</m:t>
        </m:r>
      </m:oMath>
      <w:r>
        <w:t xml:space="preserve"> </w:t>
      </w:r>
      <w:r>
        <w:t xml:space="preserve">and Spearman</w:t>
      </w:r>
      <w:r>
        <w:t xml:space="preserve"> </w:t>
      </w:r>
      <m:oMath>
        <m:r>
          <m:t>ρ</m:t>
        </m:r>
      </m:oMath>
      <w:r>
        <w:t xml:space="preserve"> </w:t>
      </w:r>
      <w:r>
        <w:t xml:space="preserve">between each predictor and semantic-gap scores including the</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H1a tests for general coverage-semantic relationships. H1b–H1d decompose the coverage-semantic relationship into these directional components.</w:t>
      </w:r>
    </w:p>
    <w:bookmarkEnd w:id="29"/>
    <w:bookmarkEnd w:id="30"/>
    <w:bookmarkStart w:id="46" w:name="sec:method"/>
    <w:p>
      <w:pPr>
        <w:pStyle w:val="Heading1"/>
      </w:pPr>
      <w:r>
        <w:t xml:space="preserve">Methodology</w:t>
      </w:r>
    </w:p>
    <w:p>
      <w:pPr>
        <w:pStyle w:val="FirstParagraph"/>
      </w:pPr>
      <w:r>
        <w:t xml:space="preserve">This study uses publicly available text data and requires no ethical approval.</w:t>
      </w:r>
    </w:p>
    <w:bookmarkStart w:id="31" w:name="sec:segmentation"/>
    <w:p>
      <w:pPr>
        <w:pStyle w:val="Heading2"/>
      </w:pPr>
      <w:r>
        <w:t xml:space="preserve">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guaranteeing that every segment fits within the encoder’s context window.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 A single sentence exceeding the token budget is kept whole because mid-sentence splitting is not permissible.</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17.18% exceed it and split into multiple segments; the research-side text unit is therefore the abstract, whose segments are aggregated to a single document vector before assignment, not the individual segment. Second, policy documents of variable length are split into multiple segments of comparable size to research abstracts, making the two corpora directly comparable in embedding space. The per-document segment cap of</w:t>
      </w:r>
      <w:r>
        <w:t xml:space="preserve"> </w:t>
      </w:r>
      <m:oMath>
        <m:r>
          <m:t>K</m:t>
        </m:r>
        <m:r>
          <m:rPr>
            <m:sty m:val="p"/>
          </m:rPr>
          <m:t>=</m:t>
        </m:r>
        <m:r>
          <m:t>50</m:t>
        </m:r>
      </m:oMath>
      <w:r>
        <w:t xml:space="preserve"> </w:t>
      </w:r>
      <w:r>
        <w:t xml:space="preserve">applied in the semantic-gap analysis (Section </w:t>
      </w:r>
      <w:hyperlink w:anchor="sec:semantic-gap-method">
        <w:r>
          <w:rPr>
            <w:rStyle w:val="Hyperlink"/>
          </w:rPr>
          <w:t xml:space="preserve">3.7</w:t>
        </w:r>
      </w:hyperlink>
      <w:r>
        <w:t xml:space="preserve">) is a separate, additional restraint on document-level dominance within a single SDG cluster. It does not affect the segmentation itself.</w:t>
      </w:r>
    </w:p>
    <w:bookmarkEnd w:id="31"/>
    <w:bookmarkStart w:id="32" w:name="sec:embedding-choice"/>
    <w:p>
      <w:pPr>
        <w:pStyle w:val="Heading2"/>
      </w:pPr>
      <w:r>
        <w:t xml:space="preserve">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(fixed, not retrained). A linear classifier on frozen embeddings, well-known as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sampled randomly from the full research-abstract corpus (Section </w:t>
      </w:r>
      <w:hyperlink w:anchor="sec:research-corpus">
        <w:r>
          <w:rPr>
            <w:rStyle w:val="Hyperlink"/>
          </w:rPr>
          <w:t xml:space="preserve">3.3</w:t>
        </w:r>
      </w:hyperlink>
      <w:r>
        <w:t xml:space="preserve">) to save computation. This is motivated by the finding that the semantic gap (Section </w:t>
      </w:r>
      <w:hyperlink w:anchor="sec:semantic-gap-method">
        <w:r>
          <w:rPr>
            <w:rStyle w:val="Hyperlink"/>
          </w:rPr>
          <w:t xml:space="preserve">3.7</w:t>
        </w:r>
      </w:hyperlink>
      <w:r>
        <w:t xml:space="preserve">) becomes stable compared to the full-corpus value within 100 random re-samples at around the size of 50,000 abstracts (Appendix </w:t>
      </w:r>
      <w:hyperlink w:anchor="app:sample-stability">
        <w:r>
          <w:rPr>
            <w:rStyle w:val="Hyperlink"/>
          </w:rPr>
          <w:t xml:space="preserve">11</w:t>
        </w:r>
      </w:hyperlink>
      <w:r>
        <w:t xml:space="preserve">). This sample size is also adequately larger than existing SDG-classification works (Section </w:t>
      </w:r>
      <w:hyperlink w:anchor="sec:prev-biblio">
        <w:r>
          <w:rPr>
            <w:rStyle w:val="Hyperlink"/>
          </w:rPr>
          <w:t xml:space="preserve">2.1</w:t>
        </w:r>
      </w:hyperlink>
      <w:r>
        <w:t xml:space="preserve">).</w:t>
      </w:r>
    </w:p>
    <w:bookmarkEnd w:id="32"/>
    <w:bookmarkStart w:id="33" w:name="sec:research-corpus"/>
    <w:p>
      <w:pPr>
        <w:pStyle w:val="Heading2"/>
      </w:pPr>
      <w:r>
        <w:t xml:space="preserve">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 The 2018 start reflects the post-AlexNet emergence of deep learning as AI research’s dominant approach</w:t>
      </w:r>
      <w:r>
        <w:t xml:space="preserve"> </w:t>
      </w:r>
      <w:r>
        <w:t xml:space="preserve">(Krizhevsky et al., 2012)</w:t>
      </w:r>
      <w:r>
        <w:t xml:space="preserve">, combined with an expected research-uptake lag following the SDGs’ 2015 adoption.</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Because this study measures semantic alignment between research and policy rather than counting publications, the search favours precision over recall: each term must clearly mark AI work, accepting that some papers are missed, to keep non-AI papers out of the embedding space. This contrasts with recall-oriented AI corpora built from hundreds of field-specific keywords across hundreds of thousands of documents</w:t>
      </w:r>
      <w:r>
        <w:t xml:space="preserve"> </w:t>
      </w:r>
      <w:r>
        <w:t xml:space="preserve">(Hellwig et al., 2019)</w:t>
      </w:r>
      <w:r>
        <w:t xml:space="preserve"> </w:t>
      </w:r>
      <w:r>
        <w:t xml:space="preserve">or field-of-study membership</w:t>
      </w:r>
      <w:r>
        <w:t xml:space="preserve"> </w:t>
      </w:r>
      <w:r>
        <w:t xml:space="preserve">(OECD, 2024; Priem et al., 2022; Wang et al., 2020)</w:t>
      </w:r>
      <w:r>
        <w:t xml:space="preserve">;</w:t>
      </w:r>
      <w:r>
        <w:t xml:space="preserve"> </w:t>
      </w:r>
      <w:r>
        <w:t xml:space="preserve">Schoeberl et al. (2023)</w:t>
      </w:r>
      <w:r>
        <w:t xml:space="preserve"> </w:t>
      </w:r>
      <w:r>
        <w:t xml:space="preserve">reach the same precision-over-recall conclusion for AI-research identification, finding results sensitive to retrieval method and favouring supervised classification. Those specific</w:t>
      </w:r>
      <w:r>
        <w:t xml:space="preserve"> </w:t>
      </w:r>
      <w:r>
        <w:t xml:space="preserve">‘</w:t>
      </w:r>
      <w:r>
        <w:t xml:space="preserve">learning</w:t>
      </w:r>
      <w:r>
        <w:t xml:space="preserve">’</w:t>
      </w:r>
      <w:r>
        <w:t xml:space="preserve"> </w:t>
      </w:r>
      <w:r>
        <w:t xml:space="preserve">terms likely inflate what gets counted as SDG4 (Education). This is examined in Appendix </w:t>
      </w:r>
      <w:hyperlink w:anchor="app:sdg4-lexical-audit">
        <w:r>
          <w:rPr>
            <w:rStyle w:val="Hyperlink"/>
          </w:rPr>
          <w:t xml:space="preserve">8.1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regardless of how the corpus was retrieved. Coverage (Section </w:t>
      </w:r>
      <w:hyperlink w:anchor="sec:coverage-gap-method">
        <w:r>
          <w:rPr>
            <w:rStyle w:val="Hyperlink"/>
          </w:rPr>
          <w:t xml:space="preserve">3.6</w:t>
        </w:r>
      </w:hyperlink>
      <w:r>
        <w:t xml:space="preserve">) and semantic-gap (Section </w:t>
      </w:r>
      <w:hyperlink w:anchor="sec:semantic-gap-method">
        <w:r>
          <w:rPr>
            <w:rStyle w:val="Hyperlink"/>
          </w:rPr>
          <w:t xml:space="preserve">3.7</w:t>
        </w:r>
      </w:hyperlink>
      <w:r>
        <w:t xml:space="preserve">) rankings are stable under this alternative strategy. Results are reported mainly in Section </w:t>
      </w:r>
      <w:hyperlink w:anchor="sec:interaction">
        <w:r>
          <w:rPr>
            <w:rStyle w:val="Hyperlink"/>
          </w:rPr>
          <w:t xml:space="preserve">4.4</w:t>
        </w:r>
      </w:hyperlink>
      <w:r>
        <w:t xml:space="preserve">. For diagnostics of detailed differences between the two retrieval strategies, see Appendix </w:t>
      </w:r>
      <w:hyperlink w:anchor="app:concept-retrieval-sensitivity">
        <w:r>
          <w:rPr>
            <w:rStyle w:val="Hyperlink"/>
          </w:rPr>
          <w:t xml:space="preserve">7</w:t>
        </w:r>
      </w:hyperlink>
      <w:r>
        <w:t xml:space="preserve">. This test also found that concept-based retrieval (over keyword-based) helps with the SDG4-inflation issue (Table </w:t>
      </w:r>
      <w:hyperlink w:anchor="tab:concept-coverage">
        <w:r>
          <w:rPr>
            <w:rStyle w:val="Hyperlink"/>
          </w:rPr>
          <w:t xml:space="preserve">6</w:t>
        </w:r>
      </w:hyperlink>
      <w:r>
        <w:t xml:space="preserve">, Appendix </w:t>
      </w:r>
      <w:hyperlink w:anchor="app:concept-retrieval-sensitivity">
        <w:r>
          <w:rPr>
            <w:rStyle w:val="Hyperlink"/>
          </w:rPr>
          <w:t xml:space="preserve">7</w:t>
        </w:r>
      </w:hyperlink>
      <w:r>
        <w:t xml:space="preserve">). A redo of the analysis using this retrieval method is recommended, but left for future follow-ups.</w:t>
      </w:r>
    </w:p>
    <w:p>
      <w:pPr>
        <w:pStyle w:val="BodyText"/>
      </w:pPr>
      <w:r>
        <w:t xml:space="preserve">Importantly, the robustness check applies no SDG filter at retrieval time and is therefore a pure AI/ML corpus with SDG labels assigned post hoc by the classifier, not a corpus independently verified as SDG-relevant. This is documented transparently instead of fixed, due to time constraints.</w:t>
      </w:r>
    </w:p>
    <w:p>
      <w:pPr>
        <w:pStyle w:val="BodyText"/>
      </w:pPr>
      <w:r>
        <w:t xml:space="preserve">After deduplication and removal of records lacking usable abstracts and the 20-word minimum, the research corpus survives as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11</w:t>
        </w:r>
      </w:hyperlink>
      <w:r>
        <w:t xml:space="preserve">), two orders of magnitude larger than the non-English share. No balancing by SDG or citation count is applied.</w:t>
      </w:r>
    </w:p>
    <w:bookmarkEnd w:id="33"/>
    <w:bookmarkStart w:id="34" w:name="sec:policy-corpus"/>
    <w:p>
      <w:pPr>
        <w:pStyle w:val="Heading2"/>
      </w:pPr>
      <w:r>
        <w:t xml:space="preserve">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which is why its segment count is far fewer than the full corpus of speeches.</w:t>
      </w:r>
    </w:p>
    <w:p>
      <w:pPr>
        <w:pStyle w:val="FirstParagraph"/>
      </w:pPr>
      <w:r>
        <w:t xml:space="preserve">An important asymmetry follows: the research corpus is a tight intersection of AI and SDG content while the policy corpus (Section </w:t>
      </w:r>
      <w:hyperlink w:anchor="sec:policy-corpus">
        <w:r>
          <w:rPr>
            <w:rStyle w:val="Hyperlink"/>
          </w:rPr>
          <w:t xml:space="preserve">3.4</w:t>
        </w:r>
      </w:hyperlink>
      <w:r>
        <w:t xml:space="preserve">) is a broader union covering institutional SDG discourse and AI governance. The curated sub-corpus is the more relevant reference for AI-governance-specific interpretation; Appendix </w:t>
      </w:r>
      <w:hyperlink w:anchor="app:policy-source-data">
        <w:r>
          <w:rPr>
            <w:rStyle w:val="Hyperlink"/>
          </w:rPr>
          <w:t xml:space="preserve">14.7</w:t>
        </w:r>
      </w:hyperlink>
      <w:r>
        <w:t xml:space="preserve"> </w:t>
      </w:r>
      <w:r>
        <w:t xml:space="preserve">reports a source-family sensitivity check.</w:t>
      </w:r>
    </w:p>
    <w:bookmarkEnd w:id="34"/>
    <w:bookmarkStart w:id="36" w:name="sec:supervised-classifier"/>
    <w:p>
      <w:pPr>
        <w:pStyle w:val="Heading2"/>
      </w:pPr>
      <w:r>
        <w:t xml:space="preserve">Supervised Reference Classifier</w:t>
      </w:r>
    </w:p>
    <w:p>
      <w:pPr>
        <w:pStyle w:val="FirstParagraph"/>
      </w:pPr>
      <w:r>
        <w:t xml:space="preserve">The canonical instrument is a supervised classifier trained on pooled single-label reference data from five independent annotated corpora. Corpus sizes at each pipeline stage—raw, preprocessed + de-duplicated, segmented, and single-label—are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(Pukelis et al., 2022)</w:t>
      </w:r>
      <w:r>
        <w:t xml:space="preserve"> </w:t>
      </w:r>
      <w:r>
        <w:t xml:space="preserve">(no SDG17): crowdsourced excerpts validated by multiple volunteers.</w:t>
      </w:r>
    </w:p>
    <w:p>
      <w:pPr>
        <w:numPr>
          <w:ilvl w:val="0"/>
          <w:numId w:val="1003"/>
        </w:numPr>
      </w:pPr>
      <w:r>
        <w:rPr>
          <w:bCs/>
          <w:b/>
        </w:rPr>
        <w:t xml:space="preserve">SDG Classification Benchmark</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Corpus provenance: record counts at each pipeline stage (Raw, Prep, Seg, Lab; definitions below).</w:t>
      </w:r>
    </w:p>
    <w:tbl>
      <w:tblPr>
        <w:tblStyle w:val="Table"/>
        <w:tblW w:type="auto" w:w="0"/>
        <w:tblLook w:firstRow="1" w:lastRow="0" w:firstColumn="0" w:lastColumn="0" w:noHBand="0" w:noVBand="0" w:val="0020"/>
        <w:jc w:val="start"/>
        <w:tblCaption w:val="Corpus provenance: record counts at each pipeline stage (Raw, Prep, Seg, Lab; definitions below)."/>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 Community Dataset</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 (no SDG17)</w:t>
            </w:r>
          </w:p>
        </w:tc>
      </w:tr>
      <w:tr>
        <w:tc>
          <w:tcPr/>
          <w:p>
            <w:pPr>
              <w:pStyle w:val="Compact"/>
              <w:jc w:val="left"/>
            </w:pPr>
            <w:r>
              <w:t xml:space="preserve">SDG Classification Benchmark</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IISD SDG Knowledge Hub</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 Corpus</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 dataset</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corpus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corpus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original source size before any pipeline processing. Prep (Preprocessed + Deduped): cleaned, de-duplicated records that survive the 20-word minimum and proceed to embedding; equivalently, the number of documents (abstracts for research, records for reference and policy) that yield at least one segment. Seg (Segments): post-segmentation segment count. Lab (Single-label): count that feeds the classifier; not applicable (—) for the unlabelled research and policy corpora. OSDG and the Benchmark bypass segmentation, so Seg = Lab.</w:t>
      </w:r>
    </w:p>
    <w:p>
      <w:pPr>
        <w:pStyle w:val="BodyText"/>
      </w:pPr>
      <w:r>
        <w:t xml:space="preserve">OSDG alone contributes about 49% of labelled texts and draws on UN-adjacent documents, so the reference data remain weighted toward policy vocabulary. OSDG and the Benchmark bypass segmentation due to having short texts; the Knowledge Hub,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to enforce strict separation between training and evaluation.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The grid-search protocol, hyperparameter rationale, and the MLP robustness comparison are reported in Appendix </w:t>
      </w:r>
      <w:hyperlink w:anchor="app:model-selection">
        <w:r>
          <w:rPr>
            <w:rStyle w:val="Hyperlink"/>
          </w:rPr>
          <w:t xml:space="preserve">12</w:t>
        </w:r>
      </w:hyperlink>
      <w:r>
        <w:t xml:space="preserve">.</w:t>
      </w:r>
    </w:p>
    <w:p>
      <w:pPr>
        <w:pStyle w:val="BodyText"/>
      </w:pPr>
      <w:r>
        <w:t xml:space="preserve">The validation task does not evaluate a rejection option for non-SDG texts. This is acceptable because the research corpus is first restricted to an OpenAlex AI-and-SDG universe, so the classifier answers a relative question among the 17 SDGs. This restriction does not hold for the concept-retrieved robustness corpus (Section </w:t>
      </w:r>
      <w:hyperlink w:anchor="sec:research-corpus">
        <w:r>
          <w:rPr>
            <w:rStyle w:val="Hyperlink"/>
          </w:rPr>
          <w:t xml:space="preserve">3.3</w:t>
        </w:r>
      </w:hyperlink>
      <w:r>
        <w:t xml:space="preserve">), which applies no SDG filter at retrieval; the classifier still forces an argmax assignment there despite the corpus not being pre-restricted to SDG-relevant text. Section </w:t>
      </w:r>
      <w:hyperlink w:anchor="sec:limitations">
        <w:r>
          <w:rPr>
            <w:rStyle w:val="Hyperlink"/>
          </w:rPr>
          <w:t xml:space="preserve">5.5</w:t>
        </w:r>
      </w:hyperlink>
      <w:r>
        <w:t xml:space="preserve"> </w:t>
      </w:r>
      <w:r>
        <w:t xml:space="preserve">discusses this limitation.</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Either way, hard argmax assignment depends only on each text’s within-corpus probability ranking across the 17 SDGs, not on absolute probability levels. As a result, the asymmetry threatens the findings only if it shifts SDGs unevenly within a corpus rather than uniformly. This study does not test whether the shift is uniform across SDGs, so the possibility that it reorders within-corpus rankings for some goals cannot be ruled out. This is left for future work due to time constraints.</w:t>
      </w:r>
    </w:p>
    <w:p>
      <w:pPr>
        <w:pStyle w:val="BodyText"/>
      </w:pPr>
      <w:r>
        <w:t xml:space="preserve">Two supervised model families were considered: logistic regression, which exposes interpretable per-dimension coefficients, and a multi-layer perceptron (MLP) were compared. Random forests and gradient boosting were excluded because the embedding space is already a learned representation, so bagged trees add ensemble complexity without a mechanism for improvement or per-dimension interpretability.</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 centroid assignment method (hereafter ZS) was also considered. This method builds the reference SDG centroids by aggregating the labelled reference texts, and unlabelled texts are assigned to the nearest SDG centroid in the embedding space.</w:t>
      </w:r>
    </w:p>
    <w:p>
      <w:pPr>
        <w:pStyle w:val="BodyText"/>
      </w:pPr>
      <w:r>
        <w:t xml:space="preserve">Finally, the model of choice is LR because MLP shows negligible performance improvement compared to the lost interpretability. Grid search and test results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is not a flat set of documents: its 40</w:t>
      </w:r>
      <w:r>
        <w:t xml:space="preserve">,</w:t>
      </w:r>
      <w:r>
        <w:t xml:space="preserve">597 segments are grouped into 6</w:t>
      </w:r>
      <w:r>
        <w:t xml:space="preserve">,</w:t>
      </w:r>
      <w:r>
        <w:t xml:space="preserve">367 source documents of very different lengths (Section </w:t>
      </w:r>
      <w:hyperlink w:anchor="sec:policy-corpus">
        <w:r>
          <w:rPr>
            <w:rStyle w:val="Hyperlink"/>
          </w:rPr>
          <w:t xml:space="preserve">3.4</w:t>
        </w:r>
      </w:hyperlink>
      <w:r>
        <w:t xml:space="preserve">). A segment-weighted profile would let a handful of long reports dominate the count, so the analysis instead computes a document-weighted profile in which every source document counts equally regardless of length, following the standard centroid formulation in which each document contributes one length-normalised unit vector</w:t>
      </w:r>
      <w:r>
        <w:t xml:space="preserve"> </w:t>
      </w:r>
      <w:r>
        <w:t xml:space="preserve">(Manning et al., 2008)</w:t>
      </w:r>
      <w:r>
        <w:t xml:space="preserve">. Concretely: segment vectors are averaged per document, hard-assigned to the top SDG, and the coverage profile counts documents (not segments) per SDG. The research corpus uses the same logic at the paper level: each of the 2</w:t>
      </w:r>
      <w:r>
        <w:t xml:space="preserve">,</w:t>
      </w:r>
      <w:r>
        <w:t xml:space="preserve">536</w:t>
      </w:r>
      <w:r>
        <w:t xml:space="preserve">,</w:t>
      </w:r>
      <w:r>
        <w:t xml:space="preserve">771 abstracts is represented by the mean of its segments, hard-assigned as a single document unit, so the research-side text unit is the abstract and the two corpora are weighted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For example, SDSN reports alone contribute up to 3,179 segments otherwise). The two corpora are aggregated at different text units here by design, unlike the coverage profile (Section </w:t>
      </w:r>
      <w:hyperlink w:anchor="sec:coverage-gap-method">
        <w:r>
          <w:rPr>
            <w:rStyle w:val="Hyperlink"/>
          </w:rPr>
          <w:t xml:space="preserve">3.6</w:t>
        </w:r>
      </w:hyperlink>
      <w:r>
        <w:t xml:space="preserve">), which weights both corpora at the document level. Research abstracts are single-topic by genre convention, so each of the 2</w:t>
      </w:r>
      <w:r>
        <w:t xml:space="preserve">,</w:t>
      </w:r>
      <w:r>
        <w:t xml:space="preserve">536</w:t>
      </w:r>
      <w:r>
        <w:t xml:space="preserve">,</w:t>
      </w:r>
      <w:r>
        <w:t xml:space="preserve">771 abstracts contributes exactly one unit vector, the L2-renormalised mean of its segment embeddings, and a 33-segment abstract and a single-segment abstract carry equal weight: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unit vectors assigned to SDG </w:t>
      </w:r>
      <m:oMath>
        <m:r>
          <m:t>j</m:t>
        </m:r>
      </m:oMath>
      <w:r>
        <w:t xml:space="preserve">. Policy sources, by contrast, are long, deliberately excerpted institutional texts (UNGDC speeches, SDGi VNRs) whose passages are topically distinct and may span several SDGs. Weighting each source document equally would collapse that within-document variation into a single point.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the topical content of each passage rather than treating each report as one undifferentiated unit. Underlying both choices is the same rule: the coverage profile counts documents, so both corpora are aggregated to the document level; the semantic gap averages text content, so each corpus is aggregated at its natural authorship unit: the abstract for research and the passage for policy.</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10</w:t>
        </w:r>
      </w:hyperlink>
      <w:r>
        <w:t xml:space="preserve"> </w:t>
      </w:r>
      <w:r>
        <w:t xml:space="preserve">shows the adjusted-gap ranking correlates moderately with most full-distribution alternatives (</w:t>
      </w:r>
      <m:oMath>
        <m:r>
          <m:t>ρ</m:t>
        </m:r>
        <m:r>
          <m:rPr>
            <m:sty m:val="p"/>
          </m:rPr>
          <m:t>=</m:t>
        </m:r>
        <m:r>
          <m:t>0.44</m:t>
        </m:r>
      </m:oMath>
      <w:r>
        <w:t xml:space="preserve">–</w:t>
      </w:r>
      <m:oMath>
        <m:r>
          <m:t>0.69</m:t>
        </m:r>
      </m:oMath>
      <w:r>
        <w:t xml:space="preserve">), while Gaussian-2-Wasserstein, squared MMD, Sinkhorn, C2ST, and Grassmann show weak or negative agreement (</w:t>
      </w:r>
      <m:oMath>
        <m:r>
          <m:t>ρ</m:t>
        </m:r>
        <m:r>
          <m:rPr>
            <m:sty m:val="p"/>
          </m:rPr>
          <m:t>≤</m:t>
        </m:r>
        <m:r>
          <m:t>0.26</m:t>
        </m:r>
      </m:oMath>
      <w:r>
        <w:t xml:space="preserve">), confirming the centroid estimate captures a dominant signal while distribution shape also carries signal. An alternative reading is that weak agreement from five independent distribution-aware measures reflects a real limitation of the mean-direction centroid rather than a merely complementary signal; the present study cannot distinguish between these readings and reports both distribution-aware and centroid results (Appendix </w:t>
      </w:r>
      <w:hyperlink w:anchor="app:distributional-table">
        <w:r>
          <w:rPr>
            <w:rStyle w:val="Hyperlink"/>
          </w:rPr>
          <w:t xml:space="preserve">10</w:t>
        </w:r>
      </w:hyperlink>
      <w:r>
        <w:t xml:space="preserve">) so readers can judge for themselves. However, further analysis with those distance measures is left for future work.</w:t>
      </w:r>
    </w:p>
    <w:p>
      <w:pPr>
        <w:pStyle w:val="BodyText"/>
      </w:pPr>
      <w:r>
        <w:t xml:space="preserve">The per-document segment cap of</w:t>
      </w:r>
      <w:r>
        <w:t xml:space="preserve"> </w:t>
      </w:r>
      <m:oMath>
        <m:r>
          <m:t>K</m:t>
        </m:r>
        <m:r>
          <m:rPr>
            <m:sty m:val="p"/>
          </m:rPr>
          <m:t>=</m:t>
        </m:r>
        <m:r>
          <m:t>50</m:t>
        </m:r>
      </m:oMath>
      <w:r>
        <w:t xml:space="preserve"> </w:t>
      </w:r>
      <w:r>
        <w:t xml:space="preserve">(seeded, reproducible) bounds a single document’s contribution to at most 50 segments, mitigating the influence of very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14</w:t>
        </w:r>
      </w:hyperlink>
      <w:r>
        <w:t xml:space="preserve">.</w:t>
      </w:r>
    </w:p>
    <w:bookmarkEnd w:id="38"/>
    <w:bookmarkStart w:id="41" w:name="sec:register-adjustment-inlp"/>
    <w:p>
      <w:pPr>
        <w:pStyle w:val="Heading2"/>
      </w:pPr>
      <w:r>
        <w:t xml:space="preserve">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roughly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nothing about corpus identity remains linearly predictable. Projecting out the directions that carry the most corpus signal is the gentlest way to do this.</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tangled with SDG topic in the raw embeddings. The key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Draw</w:t>
      </w:r>
      <w:r>
        <w:t xml:space="preserve"> </w:t>
      </w:r>
      <m:oMath>
        <m:sSub>
          <m:e>
            <m:r>
              <m:t>n</m:t>
            </m:r>
          </m:e>
          <m:sub>
            <m:r>
              <m:rPr>
                <m:nor/>
                <m:sty m:val="p"/>
              </m:rPr>
              <m:t>target</m:t>
            </m:r>
          </m:sub>
        </m:sSub>
      </m:oMath>
      <w:r>
        <w:t xml:space="preserve"> </w:t>
      </w:r>
      <w:r>
        <w:t xml:space="preserve">texts per SDG per corpus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under the frozen snapshot,</w:t>
      </w:r>
      <w:r>
        <w:t xml:space="preserve"> </w:t>
      </w:r>
      <m:oMath>
        <m:sSub>
          <m:e>
            <m:r>
              <m:t>n</m:t>
            </m:r>
          </m:e>
          <m:sub>
            <m:r>
              <m:rPr>
                <m:nor/>
                <m:sty m:val="p"/>
              </m:rPr>
              <m:t>target</m:t>
            </m:r>
          </m:sub>
        </m:sSub>
        <m:r>
          <m:rPr>
            <m:sty m:val="p"/>
          </m:rPr>
          <m:t>=</m:t>
        </m:r>
        <m:r>
          <m:t>1123</m:t>
        </m:r>
        <m:r>
          <m:t>​</m:t>
        </m:r>
      </m:oMath>
      <w:r>
        <w:t xml:space="preserve"> </w:t>
      </w:r>
      <w:r>
        <w:t xml:space="preserve">for MPNet).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not validated, because the objective is to recover a decodable direction, not to maximise classification accuracy. This means the quality of any single iteration’s direction is not individually verified; only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a degenerate or noisy direction being retained. A per-iteration validation pass is not performed and is left for future refinement.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13.1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t xml:space="preserve">Identification argument. The stratification design is the critical structural precondition: because every iteration trains on equal numbers of research and policy embeddings from each SDG,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not as pure register. This interpretation is evaluated against independent linguistic markers in Appendix </w:t>
      </w:r>
      <w:hyperlink w:anchor="app:register-validation">
        <w:r>
          <w:rPr>
            <w:rStyle w:val="Hyperlink"/>
          </w:rPr>
          <w:t xml:space="preserve">13.2</w:t>
        </w:r>
      </w:hyperlink>
      <w:r>
        <w:t xml:space="preserve">. The validation finds 1) substantial reduction of the corpus-level signal but not its complete elimination and 2) SDG classifier accuracy remains unchanged, meaning topic (and hence coverage) is not significantly affected by INLP register adjustment.</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twice: once on the adjusted embeddings and once on the removed component (</w:t>
      </w:r>
      <m:oMath>
        <m:r>
          <m:rPr>
            <m:sty m:val="b"/>
          </m:rPr>
          <m:t>x</m:t>
        </m:r>
        <m:r>
          <m:rPr>
            <m:sty m:val="p"/>
          </m:rPr>
          <m:t>−</m:t>
        </m:r>
        <m:r>
          <m:rPr>
            <m:sty m:val="b"/>
          </m:rPr>
          <m:t>x</m:t>
        </m:r>
        <m:r>
          <m:rPr>
            <m:sty m:val="p"/>
          </m:rPr>
          <m:t>′</m:t>
        </m:r>
      </m:oMath>
      <w:r>
        <w:t xml:space="preserve">), yielding respectively the within-SDG adjusted gap and the register component.</w:t>
      </w:r>
    </w:p>
    <w:bookmarkEnd w:id="40"/>
    <w:bookmarkEnd w:id="41"/>
    <w:bookmarkStart w:id="45" w:name="sec:coverage-semantic-interaction"/>
    <w:p>
      <w:pPr>
        <w:pStyle w:val="Heading2"/>
      </w:pPr>
      <w:r>
        <w:t xml:space="preserve">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research–policy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8.1</w:t>
        </w:r>
      </w:hyperlink>
      <w:r>
        <w:t xml:space="preserve">).</w:t>
      </w:r>
    </w:p>
    <w:p>
      <w:pPr>
        <w:pStyle w:val="BodyText"/>
      </w:pPr>
      <w:r>
        <w:t xml:space="preserve">There might be criticism that</w:t>
      </w:r>
      <w:r>
        <w:t xml:space="preserve"> </w:t>
      </w:r>
      <m:oMath>
        <m:r>
          <m:t>n</m:t>
        </m:r>
        <m:r>
          <m:rPr>
            <m:sty m:val="p"/>
          </m:rPr>
          <m:t>=</m:t>
        </m:r>
        <m:r>
          <m:t>17</m:t>
        </m:r>
      </m:oMath>
      <w:r>
        <w:t xml:space="preserve"> </w:t>
      </w:r>
      <w:r>
        <w:t xml:space="preserve">is poor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so no sample-size power argument is needed</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decomposition (register = raw</w:t>
      </w:r>
      <w:r>
        <w:t xml:space="preserve"> </w:t>
      </w:r>
      <m:oMath>
        <m:r>
          <m:rPr>
            <m:sty m:val="p"/>
          </m:rPr>
          <m:t>−</m:t>
        </m:r>
      </m:oMath>
      <w:r>
        <w:t xml:space="preserve"> </w:t>
      </w:r>
      <w:r>
        <w:t xml:space="preserve">adjusted). They move together, so the claim is about their combined pattern, not three separate tests. This reasoning covers the raw/adjusted/register triad specifically;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rather than treated as a formally corrected multiple-testing family. All three are reported for every configuration. Because the decomposition is fixed in advance and the three numbers inform each other, no multiple-comparison correction is applied.</w:t>
      </w:r>
    </w:p>
    <w:p>
      <w:pPr>
        <w:pStyle w:val="BodyText"/>
      </w:pPr>
      <w:r>
        <w:t xml:space="preserve">A supplementary pooled-regression analysis combines all 24 configurations into a single panel (Appendix </w:t>
      </w:r>
      <w:hyperlink w:anchor="app:regression">
        <w:r>
          <w:rPr>
            <w:rStyle w:val="Hyperlink"/>
          </w:rPr>
          <w:t xml:space="preserve">15</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Results</w:t>
      </w:r>
    </w:p>
    <w:p>
      <w:pPr>
        <w:pStyle w:val="FirstParagraph"/>
      </w:pPr>
      <w:r>
        <w:t xml:space="preserve">This section reports validation, coverage gaps, semantic gaps, H1 tests, and robustness without interpretation.</w:t>
      </w:r>
    </w:p>
    <w:bookmarkStart w:id="49" w:name="sec:validation"/>
    <w:p>
      <w:pPr>
        <w:pStyle w:val="Heading2"/>
      </w:pPr>
      <w:r>
        <w:t xml:space="preserve">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for the classifier’s power (Table </w:t>
      </w:r>
      <w:hyperlink w:anchor="tab:model-selection-ranking">
        <w:r>
          <w:rPr>
            <w:rStyle w:val="Hyperlink"/>
          </w:rPr>
          <w:t xml:space="preserve">2</w:t>
        </w:r>
      </w:hyperlink>
      <w:r>
        <w:t xml:space="preserve">).</w:t>
      </w:r>
    </w:p>
    <w:bookmarkStart w:id="47" w:name="tab:model-selection-ranking"/>
    <w:p>
      <w:pPr>
        <w:pStyle w:val="TableCaption"/>
      </w:pPr>
      <w:r>
        <w:t xml:space="preserve">Model selection ranking: 5-fold GroupKFold cross-validated macro-F1.</w:t>
      </w:r>
    </w:p>
    <w:tbl>
      <w:tblPr>
        <w:tblStyle w:val="Table"/>
        <w:tblW w:type="auto" w:w="0"/>
        <w:tblLook w:firstRow="1" w:lastRow="0" w:firstColumn="0" w:lastColumn="0" w:noHBand="0" w:noVBand="0" w:val="0020"/>
        <w:jc w:val="start"/>
        <w:tblCaption w:val="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are shown individually; the remaining configurations are collapsed to their CV macro-F1 range. LR (C=3.0, L2, class_weight=None) is the chosen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MLP’s hidden layers diffuse this information across non-linear transformations. For this study’s purpose – building an interpretable supervised reference to compare corpora, not a classifier built to label single documents – LR is chosen for transparency, not superior accuracy.</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reports the per-SDG gold-label count in the test split (single-label, summing to n=9</w:t>
      </w:r>
      <w:r>
        <w:t xml:space="preserve">,</w:t>
      </w:r>
      <w:r>
        <w:t xml:space="preserve">338), identical for every classifier. LR (C=3.0, L2) is the chosen classifier; MLP (3-layer/256-hidden) and zero-shot (raw nearest-centroid on SDG centroids) F1s are shown for comparison, with commentary deferred to Appendix </w:t>
      </w:r>
      <w:hyperlink w:anchor="app:model-selection">
        <w:r>
          <w:rPr>
            <w:rStyle w:val="Hyperlink"/>
          </w:rPr>
          <w:t xml:space="preserve">12</w:t>
        </w:r>
      </w:hyperlink>
      <w:r>
        <w:t xml:space="preserve">.</w:t>
      </w:r>
    </w:p>
    <w:p>
      <w:pPr>
        <w:pStyle w:val="BodyText"/>
      </w:pPr>
      <w:r>
        <w:t xml:space="preserve">Per-class F1 ranges from 0.610 (SDG 10) to 0.903 (SDG 3); most goals score between 0.76 and 0.89. The weakest classes (SDGs 10 and 8) are consistent with their semantic breadth suggested by</w:t>
      </w:r>
      <w:r>
        <w:t xml:space="preserve"> </w:t>
      </w:r>
      <w:r>
        <w:t xml:space="preserve">Kashnitsky et al. (2024)</w:t>
      </w:r>
      <w:r>
        <w:t xml:space="preserve"> </w:t>
      </w:r>
      <w:r>
        <w:t xml:space="preserve">(Appendix </w:t>
      </w:r>
      <w:hyperlink w:anchor="app:centroid-similarity">
        <w:r>
          <w:rPr>
            <w:rStyle w:val="Hyperlink"/>
          </w:rPr>
          <w:t xml:space="preserve">8.2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SDG17 examples (Section </w:t>
      </w:r>
      <w:hyperlink w:anchor="sec:supervised-classifier">
        <w:r>
          <w:rPr>
            <w:rStyle w:val="Hyperlink"/>
          </w:rPr>
          <w:t xml:space="preserve">3.5</w:t>
        </w:r>
      </w:hyperlink>
      <w:r>
        <w:t xml:space="preserve">), performance doesn’t degrade (Table above, Appendix </w:t>
      </w:r>
      <w:hyperlink w:anchor="app:centroid-similarity">
        <w:r>
          <w:rPr>
            <w:rStyle w:val="Hyperlink"/>
          </w:rPr>
          <w:t xml:space="preserve">8.2</w:t>
        </w:r>
      </w:hyperlink>
      <w:r>
        <w:t xml:space="preserve">), which suggests the other four sources (SDGi, Aurora, Benchmark, IISD Hub) carry enough SDG17 signal to compensate.</w:t>
      </w:r>
    </w:p>
    <w:p>
      <w:pPr>
        <w:pStyle w:val="BodyText"/>
      </w:pPr>
      <w:r>
        <w:t xml:space="preserve">MLP and nearest-centroid F1s are also reported here but comments are deferred to Appendix </w:t>
      </w:r>
      <w:hyperlink w:anchor="app:model-selection">
        <w:r>
          <w:rPr>
            <w:rStyle w:val="Hyperlink"/>
          </w:rPr>
          <w:t xml:space="preserve">12</w:t>
        </w:r>
      </w:hyperlink>
      <w:r>
        <w:t xml:space="preserve">. One thing that can be concluded is that nearest-centroid assignment is too simple for the linearity of separation between SDGs in the 768d embedding space, while MLP is too unnecessarily complex without significant added benefit.</w:t>
      </w:r>
    </w:p>
    <w:bookmarkEnd w:id="49"/>
    <w:bookmarkStart w:id="53" w:name="sec:coverage-gap"/>
    <w:p>
      <w:pPr>
        <w:pStyle w:val="Heading2"/>
      </w:pPr>
      <w:r>
        <w:t xml:space="preserve">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Coverage profiles by SDG. SDG 4 is flagged as artefact-affected due to ML-learning vocabulary overlap with education corpora (Appendix </w:t>
      </w:r>
      <w:hyperlink w:anchor="app:sdg4-lexical-audit">
        <w:r>
          <w:rPr>
            <w:rStyle w:val="Hyperlink"/>
          </w:rPr>
          <w:t xml:space="preserve">8.1</w:t>
        </w:r>
      </w:hyperlink>
      <w:r>
        <w:t xml:space="preserve">).</w:t>
      </w:r>
    </w:p>
    <w:p>
      <w:pPr>
        <w:pStyle w:val="BodyText"/>
      </w:pPr>
      <w:r>
        <w:rPr>
          <w:bCs/>
          <w:b/>
        </w:rPr>
        <w:t xml:space="preserve">Policy corpus.</w:t>
      </w:r>
      <w:r>
        <w:t xml:space="preserve"> </w:t>
      </w:r>
      <w:r>
        <w:t xml:space="preserve">Three SDGs dominate the document-weighted profile of the full policy corpus: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author thinks the top ranking SDGs make intuitive sense. However, Appendix </w:t>
      </w:r>
      <w:hyperlink w:anchor="app:policy-source-data">
        <w:r>
          <w:rPr>
            <w:rStyle w:val="Hyperlink"/>
          </w:rPr>
          <w:t xml:space="preserve">14.7</w:t>
        </w:r>
      </w:hyperlink>
      <w:r>
        <w:t xml:space="preserve"> </w:t>
      </w:r>
      <w:r>
        <w:t xml:space="preserve">shows this full-corpus profile is source-family sensitive: the curated AI/SDG sub-corpus is much more innovation-heavy, the UNGDC family is more climate-, partnerships-, and governance-oriented, and the SDGi family is comparatively flat, with SDG 11-style institutional review language at its top.</w:t>
      </w:r>
    </w:p>
    <w:p>
      <w:pPr>
        <w:pStyle w:val="BodyText"/>
      </w:pPr>
      <w:r>
        <w:rPr>
          <w:bCs/>
          <w:b/>
        </w:rPr>
        <w:t xml:space="preserve">Research corpus.</w:t>
      </w:r>
      <w:r>
        <w:t xml:space="preserve"> </w:t>
      </w:r>
      <w:r>
        <w:t xml:space="preserve">The largest research shares are SDG 3 (Good Health, 25.7%), SDG 9 (Innovation, 20.1%), and SDG 4 (Quality Education, 15.6%), followed by SDG 16 and SDG 11 at 11.2% and 5.1% respectively. SDG 7 (Affordable and Clean Energy), co-dominant in several prior inventories, ranks sixth here (4.1%) rather than in the leading tier. The SDG 3 lead corroborates the literature review, where it is the one goal every major AI and sustainability bibliometric study finds dominant (Section </w:t>
      </w:r>
      <w:hyperlink w:anchor="sec:prev-biblio">
        <w:r>
          <w:rPr>
            <w:rStyle w:val="Hyperlink"/>
          </w:rPr>
          <w:t xml:space="preserve">2.1</w:t>
        </w:r>
      </w:hyperlink>
      <w:r>
        <w:t xml:space="preserve">). The leading coverage of SDGs 4, 11, and 16 also align largely with previous literature (Section </w:t>
      </w:r>
      <w:hyperlink w:anchor="sec:prev-biblio">
        <w:r>
          <w:rPr>
            <w:rStyle w:val="Hyperlink"/>
          </w:rPr>
          <w:t xml:space="preserve">2.1</w:t>
        </w:r>
      </w:hyperlink>
      <w:r>
        <w:t xml:space="preserve">). However, SDG 4 is likely inflated by the corpus retrieval strategy (Section </w:t>
      </w:r>
      <w:hyperlink w:anchor="sec:segmentation">
        <w:r>
          <w:rPr>
            <w:rStyle w:val="Hyperlink"/>
          </w:rPr>
          <w:t xml:space="preserve">3.1</w:t>
        </w:r>
      </w:hyperlink>
      <w:r>
        <w:t xml:space="preserve">) and SDG 9’s lead is likely inflated by this study focusing on AI-related papers. Also, the research-side near-absence of SDG 17 (0.3%) and SDG 1 (0.4%) matches</w:t>
      </w:r>
      <w:r>
        <w:t xml:space="preserve"> </w:t>
      </w:r>
      <w:r>
        <w:t xml:space="preserve">Gohr et al. (2025)</w:t>
      </w:r>
      <w:r>
        <w:t xml:space="preserve">’s finding that SDG 1, SDG 5, and SDG 17 are severely underrepresented in the AI–SDG literature.</w:t>
      </w:r>
    </w:p>
    <w:p>
      <w:pPr>
        <w:pStyle w:val="BodyText"/>
      </w:pPr>
      <w:r>
        <w:rPr>
          <w:bCs/>
          <w:b/>
        </w:rPr>
        <w:t xml:space="preserve">Largest coverage mismatches.</w:t>
      </w:r>
      <w:r>
        <w:t xml:space="preserve"> </w:t>
      </w:r>
      <w:r>
        <w:t xml:space="preserve">The five largest absolute coverage gaps are SDG 3 (21.0), SDG 9 (15.8), SDG 17 (11.4), SDG 4 (10.8), and SDG 13 (7.6). The largest single-goal imbalance is SDG 3 (research 25.7% vs. policy 4.7%): research concentrates on technically tractable health applications while policy underweights the goal. The most extreme policy-over-research imbalances are SDG 17 (policy 11.7% vs. research 0.3%) and SDG 13 (11.3% vs. 3.7%): policy frames partnerships and climate as cross-cutting coordination challenges, while research, specifically AI research, engages them far less. SDG 16 is policy’s top theme (17.3%) but research does engage it (11.2%, fourth-highest research share), so it is not a</w:t>
      </w:r>
      <w:r>
        <w:t xml:space="preserve"> </w:t>
      </w:r>
      <w:r>
        <w:t xml:space="preserve">“</w:t>
      </w:r>
      <w:r>
        <w:t xml:space="preserve">barely-touches</w:t>
      </w:r>
      <w:r>
        <w:t xml:space="preserve">”</w:t>
      </w:r>
      <w:r>
        <w:t xml:space="preserve"> </w:t>
      </w:r>
      <w:r>
        <w:t xml:space="preserve">case.</w:t>
      </w:r>
    </w:p>
    <w:bookmarkEnd w:id="53"/>
    <w:bookmarkStart w:id="61" w:name="sec:semantic-gap"/>
    <w:p>
      <w:pPr>
        <w:pStyle w:val="Heading2"/>
      </w:pPr>
      <w:r>
        <w:t xml:space="preserve">Register Adjustment and Semantic Gap</w:t>
      </w:r>
    </w:p>
    <w:p>
      <w:pPr>
        <w:pStyle w:val="FirstParagraph"/>
      </w:pPr>
      <w:r>
        <w:t xml:space="preserve">Register adjustment converges after 62 iterations for the MPNet embedding space. Detailed data on the iterations until convergence, also for MiniLM and SciBERT spaces, is reported in Appendix </w:t>
      </w:r>
      <w:hyperlink w:anchor="app:register-robustness">
        <w:r>
          <w:rPr>
            <w:rStyle w:val="Hyperlink"/>
          </w:rPr>
          <w:t xml:space="preserve">13.1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(left) separates research and policy clouds, while the adjusted space (right) shows no major separation between them. It might not be clear from the rough visualisation in the PCA maps, but while the adjusted space removes mostly research-policy differences, it retains the separability between SDGs fully (Appendix </w:t>
      </w:r>
      <w:hyperlink w:anchor="app:register-validation">
        <w:r>
          <w:rPr>
            <w:rStyle w:val="Hyperlink"/>
          </w:rPr>
          <w:t xml:space="preserve">13.2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semantic gap for all 17 SDGs, sorted by the adjusted (topic) gap after register removal. The adjusted gap ranges from 0.326 (SDG 17, widest) to 0.084 (SDG 15, narrowest), a span of 0.241 cosine units. The raw gap (naive baseline) ranges from 0.494 (SDG 3, widest) to 0.177 (SDG 17, narrowest), a span of 0.317. The adjusted ranking is stable when the segment cap is 20 per document or removed (Table </w:t>
      </w:r>
      <w:hyperlink w:anchor="tab:cross-sensitivity-robustness">
        <w:r>
          <w:rPr>
            <w:rStyle w:val="Hyperlink"/>
          </w:rPr>
          <w:t xml:space="preserve">20</w:t>
        </w:r>
      </w:hyperlink>
      <w:r>
        <w:t xml:space="preserve">), so the result does not depend on the sampling parameter. A second sampling concern is corpus asymmetry: research (2</w:t>
      </w:r>
      <w:r>
        <w:t xml:space="preserve">,</w:t>
      </w:r>
      <w:r>
        <w:t xml:space="preserve">536</w:t>
      </w:r>
      <w:r>
        <w:t xml:space="preserve">,</w:t>
      </w:r>
      <w:r>
        <w:t xml:space="preserve">771 abstracts) outweighs policy (6</w:t>
      </w:r>
      <w:r>
        <w:t xml:space="preserve">,</w:t>
      </w:r>
      <w:r>
        <w:t xml:space="preserve">367 documents) by roughly 398:1 in document units. This study therefore re-derived the ranking on random research draws comparable in size to the policy corpus: across 100 independent 50</w:t>
      </w:r>
      <w:r>
        <w:t xml:space="preserve">,</w:t>
      </w:r>
      <w:r>
        <w:t xml:space="preserve">000-paper draws it reproduces the full-corpus ordering at Spearman</w:t>
      </w:r>
      <w:r>
        <w:t xml:space="preserve"> </w:t>
      </w:r>
      <m:oMath>
        <m:r>
          <m:t>ρ</m:t>
        </m:r>
        <m:r>
          <m:rPr>
            <m:sty m:val="p"/>
          </m:rPr>
          <m:t>=</m:t>
        </m:r>
        <m:r>
          <m:t>0.986</m:t>
        </m:r>
        <m:r>
          <m:t>​</m:t>
        </m:r>
      </m:oMath>
      <w:r>
        <w:t xml:space="preserve"> </w:t>
      </w:r>
      <w:r>
        <w:t xml:space="preserve">(SD 0.009), so the research-side over-representation does not drive which SDGs show large versus small gaps (Appendix </w:t>
      </w:r>
      <w:hyperlink w:anchor="app:sample-stability">
        <w:r>
          <w:rPr>
            <w:rStyle w:val="Hyperlink"/>
          </w:rPr>
          <w:t xml:space="preserve">11</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The register decomposition confirms that register uniformly inflates the raw gap, except for SDG 17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8.1</w:t>
        </w:r>
      </w:hyperlink>
      <w:r>
        <w:t xml:space="preserve">). Appendix </w:t>
      </w:r>
      <w:hyperlink w:anchor="app:semantic-gap-text-interpretability">
        <w:r>
          <w:rPr>
            <w:rStyle w:val="Hyperlink"/>
          </w:rPr>
          <w:t xml:space="preserve">9</w:t>
        </w:r>
      </w:hyperlink>
      <w:r>
        <w:t xml:space="preserve"> </w:t>
      </w:r>
      <w:r>
        <w:t xml:space="preserve">lists the most distinctive research- and policy-side terms for high- and low-gap cases.</w:t>
      </w:r>
    </w:p>
    <w:p>
      <w:pPr>
        <w:pStyle w:val="BodyText"/>
      </w:pPr>
      <w:r>
        <w:t xml:space="preserve">Table </w:t>
      </w:r>
      <w:hyperlink w:anchor="tab:register-decomposition">
        <w:r>
          <w:rPr>
            <w:rStyle w:val="Hyperlink"/>
          </w:rPr>
          <w:t xml:space="preserve">4</w:t>
        </w:r>
      </w:hyperlink>
      <w:r>
        <w:t xml:space="preserve"> </w:t>
      </w:r>
      <w:r>
        <w:t xml:space="preserve">consolidates the per-SDG inputs that the interaction tests below draw on. It reports two families of values: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 Signed dominance is research share minus policy share (percentage points); absolute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the register component is raw minus adjusted gap. Reading this table first lets the rank correlations in Section </w:t>
      </w:r>
      <w:hyperlink w:anchor="sec:interaction">
        <w:r>
          <w:rPr>
            <w:rStyle w:val="Hyperlink"/>
          </w:rPr>
          <w:t xml:space="preserve">4.4</w:t>
        </w:r>
      </w:hyperlink>
      <w:r>
        <w:t xml:space="preserve"> </w:t>
      </w:r>
      <w:r>
        <w:t xml:space="preserve">be traced back to concrete per-SDG numbers.</w:t>
      </w:r>
    </w:p>
    <w:bookmarkStart w:id="60" w:name="tab:register-decomposition"/>
    <w:p>
      <w:pPr>
        <w:pStyle w:val="TableCaption"/>
      </w:pPr>
      <w:r>
        <w:t xml:space="preserve">Reference values for the semantic-gap and coverage-predictor families (per SDG). Semantic gaps from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coverage predictors from Fig.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 Reg. Comp. = raw</w:t>
      </w:r>
      <w:r>
        <w:t xml:space="preserve"> </w:t>
      </w:r>
      <m:oMath>
        <m:r>
          <m:rPr>
            <m:sty m:val="p"/>
          </m:rPr>
          <m:t>−</m:t>
        </m:r>
      </m:oMath>
      <w:r>
        <w:t xml:space="preserve"> </w:t>
      </w:r>
      <w:r>
        <w:t xml:space="preserve">adjusted.</w:t>
      </w:r>
    </w:p>
    <w:tbl>
      <w:tblPr>
        <w:tblStyle w:val="Table"/>
        <w:tblW w:type="auto" w:w="0"/>
        <w:tblLook w:firstRow="1" w:lastRow="0" w:firstColumn="0" w:lastColumn="0" w:noHBand="0" w:noVBand="0" w:val="0020"/>
        <w:jc w:val="start"/>
        <w:tblCaption w:val="Reference values for the semantic-gap and coverage-predictor families (per SDG). Semantic gaps from Figs 5 and 6; coverage predictors from Fig. 3. Cov. = |\text{research}-\text{policy}| (pp). Signed dom. = research share - policy share (pp). Reg. Comp. = raw - adjusted."/>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pPr>
      <w:r>
        <w:rPr>
          <w:iCs/>
          <w:i/>
        </w:rPr>
        <w:t xml:space="preserve">Notes:</w:t>
      </w:r>
      <w:r>
        <w:t xml:space="preserve"> </w:t>
      </w:r>
      <w:r>
        <w:t xml:space="preserve">Raw gap is the reference semantic-gap estimate; Adj. gap is after INLP register removal (primary estimate; evaluated in Appendix </w:t>
      </w:r>
      <w:hyperlink w:anchor="app:register-validation">
        <w:r>
          <w:rPr>
            <w:rStyle w:val="Hyperlink"/>
          </w:rPr>
          <w:t xml:space="preserve">13.2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 These are the per-SDG inputs to the Section </w:t>
      </w:r>
      <w:hyperlink w:anchor="sec:interaction">
        <w:r>
          <w:rPr>
            <w:rStyle w:val="Hyperlink"/>
          </w:rPr>
          <w:t xml:space="preserve">4.4</w:t>
        </w:r>
      </w:hyperlink>
      <w:r>
        <w:t xml:space="preserve"> </w:t>
      </w:r>
      <w:r>
        <w:t xml:space="preserve">tests.</w:t>
      </w:r>
    </w:p>
    <w:bookmarkEnd w:id="61"/>
    <w:bookmarkStart w:id="75" w:name="sec:interaction"/>
    <w:p>
      <w:pPr>
        <w:pStyle w:val="Heading2"/>
      </w:pPr>
      <w:r>
        <w:t xml:space="preserve">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 The per-SDG values underlying these correlations are consolidated in Table </w:t>
      </w:r>
      <w:hyperlink w:anchor="tab:register-decomposition">
        <w:r>
          <w:rPr>
            <w:rStyle w:val="Hyperlink"/>
          </w:rPr>
          <w:t xml:space="preserve">4</w:t>
        </w:r>
      </w:hyperlink>
      <w:r>
        <w:t xml:space="preserve">.</w:t>
      </w:r>
    </w:p>
    <w:p>
      <w:pPr>
        <w:pStyle w:val="BodyText"/>
      </w:pPr>
      <w:r>
        <w:t xml:space="preserve">Predictors are research coverage, policy coverage, absolute coverage gap, and signed dominance. MLP configs reuse their encoder’s INLP matrix; Concept rows use the concept-retrieved research corpus (Appendix </w:t>
      </w:r>
      <w:hyperlink w:anchor="app:concept-retrieval-sensitivity">
        <w:r>
          <w:rPr>
            <w:rStyle w:val="Hyperlink"/>
          </w:rPr>
          <w:t xml:space="preserve">7</w:t>
        </w:r>
      </w:hyperlink>
      <w:r>
        <w:t xml:space="preserve">).</w:t>
      </w:r>
    </w:p>
    <w:bookmarkStart w:id="62" w:name="tab:interaction"/>
    <w:p>
      <w:pPr>
        <w:pStyle w:val="TableCaption"/>
      </w:pPr>
      <w:r>
        <w:t xml:space="preserve">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pPr>
      <w:r>
        <w:rPr>
          <w:iCs/>
          <w:i/>
        </w:rPr>
        <w:t xml:space="preserve">Notes:</w:t>
      </w:r>
      <w:r>
        <w:t xml:space="preserve"> </w:t>
      </w:r>
      <w:r>
        <w:t xml:space="preserve">Raw gap = naive semantic-gap estimate; Adj. gap = after INLP register removal (primary estimate; evaluated in Appendix </w:t>
      </w:r>
      <w:hyperlink w:anchor="app:register-validation">
        <w:r>
          <w:rPr>
            <w:rStyle w:val="Hyperlink"/>
          </w:rPr>
          <w:t xml:space="preserve">13.2</w:t>
        </w:r>
      </w:hyperlink>
      <w:r>
        <w:t xml:space="preserve">); Register = raw</w:t>
      </w:r>
      <w:r>
        <w:t xml:space="preserve"> </w:t>
      </w:r>
      <m:oMath>
        <m:r>
          <m:rPr>
            <m:sty m:val="p"/>
          </m:rPr>
          <m:t>−</m:t>
        </m:r>
      </m:oMath>
      <w:r>
        <w:t xml:space="preserve"> </w:t>
      </w:r>
      <w:r>
        <w:t xml:space="preserve">adjusted. Each correlation is between two rank vectors (ranks 1–17 across the 17 SDGs); Spearman</w:t>
      </w:r>
      <w:r>
        <w:t xml:space="preserve"> </w:t>
      </w:r>
      <m:oMath>
        <m:r>
          <m:t>ρ</m:t>
        </m:r>
      </m:oMath>
      <w:r>
        <w:t xml:space="preserve"> </w:t>
      </w:r>
      <w:r>
        <w:t xml:space="preserve">is the Pearson correlation of these ranks, testing monotonic association.</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Table </w:t>
      </w:r>
      <w:hyperlink w:anchor="tab:interaction">
        <w:r>
          <w:rPr>
            <w:rStyle w:val="Hyperlink"/>
          </w:rPr>
          <w:t xml:space="preserve">5</w:t>
        </w:r>
      </w:hyperlink>
      <w:r>
        <w:t xml:space="preserve">, MPNet LR). The raw gap masks a register–topic decomposition: the register component (</w:t>
      </w:r>
      <m:oMath>
        <m:r>
          <m:t>ρ</m:t>
        </m:r>
        <m:r>
          <m:rPr>
            <m:sty m:val="p"/>
          </m:rPr>
          <m:t>=</m:t>
        </m:r>
        <m:r>
          <m:rPr>
            <m:sty m:val="p"/>
          </m:rPr>
          <m:t>−</m:t>
        </m:r>
        <m:r>
          <m:t>0.390</m:t>
        </m:r>
      </m:oMath>
      <w:r>
        <w:t xml:space="preserve">) cancels the topic signal (</w:t>
      </w:r>
      <m:oMath>
        <m:r>
          <m:t>ρ</m:t>
        </m:r>
        <m:r>
          <m:rPr>
            <m:sty m:val="p"/>
          </m:rPr>
          <m:t>=</m:t>
        </m:r>
        <m:r>
          <m:t>0.544</m:t>
        </m:r>
      </m:oMath>
      <w:r>
        <w:t xml:space="preserve">). After register removal, the adjusted gap is positively associated with the coverage gap (positive in 8/9 configs). The directional decomposition shows an asymmetric pattern: H1d (policy coverage) is positive in 9/9 configurations, significant at</w:t>
      </w:r>
      <w:r>
        <w:t xml:space="preserve"> </w:t>
      </w:r>
      <m:oMath>
        <m:r>
          <m:t>p</m:t>
        </m:r>
        <m:r>
          <m:rPr>
            <m:sty m:val="p"/>
          </m:rPr>
          <m:t>&lt;</m:t>
        </m:r>
        <m:r>
          <m:t>0.05</m:t>
        </m:r>
      </m:oMath>
      <w:r>
        <w:t xml:space="preserve"> </w:t>
      </w:r>
      <w:r>
        <w:t xml:space="preserve">for MPNet LR (</w:t>
      </w:r>
      <m:oMath>
        <m:r>
          <m:t>ρ</m:t>
        </m:r>
        <m:r>
          <m:rPr>
            <m:sty m:val="p"/>
          </m:rPr>
          <m:t>=</m:t>
        </m:r>
        <m:r>
          <m:rPr>
            <m:sty m:val="p"/>
          </m:rPr>
          <m:t>+</m:t>
        </m:r>
        <m:r>
          <m:t>0.589</m:t>
        </m:r>
      </m:oMath>
      <w:r>
        <w:t xml:space="preserve">), SciBERT LR (</w:t>
      </w:r>
      <m:oMath>
        <m:r>
          <m:t>ρ</m:t>
        </m:r>
        <m:r>
          <m:rPr>
            <m:sty m:val="p"/>
          </m:rPr>
          <m:t>=</m:t>
        </m:r>
        <m:r>
          <m:rPr>
            <m:sty m:val="p"/>
          </m:rPr>
          <m:t>+</m:t>
        </m:r>
        <m:r>
          <m:t>0.605</m:t>
        </m:r>
      </m:oMath>
      <w:r>
        <w:t xml:space="preserve">), and Concept LR (</w:t>
      </w:r>
      <m:oMath>
        <m:r>
          <m:t>ρ</m:t>
        </m:r>
        <m:r>
          <m:rPr>
            <m:sty m:val="p"/>
          </m:rPr>
          <m:t>=</m:t>
        </m:r>
        <m:r>
          <m:rPr>
            <m:sty m:val="p"/>
          </m:rPr>
          <m:t>+</m:t>
        </m:r>
        <m:r>
          <m:t>0.510</m:t>
        </m:r>
      </m:oMath>
      <w:r>
        <w:t xml:space="preserve">), while H1b (signed dominance) and H1c (research coverage) show no consistent adjusted-direction signal. The linkage between coverage and framing operates through the policy side: where policy heavily covers an SDG, topic divergence is wider.</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a correction, so it is read as pattern-consistent evidence for the cancellation rather than a confirmatory test, with the weight carried by the cross-configuration and cross-encoder consistency above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14.6</w:t>
        </w:r>
      </w:hyperlink>
      <w:r>
        <w:t xml:space="preserve">); the adjusted-gap association is unchanged in sign under the metric switch for the signal-bearing hypotheses (H1a, H1d); the few sign changes are confined to insignificant configs in the null H1b/H1c, confirming the rank-based reporting is not driving the result.</w:t>
      </w:r>
    </w:p>
    <w:p>
      <w:pPr>
        <w:pStyle w:val="BodyText"/>
      </w:pPr>
      <w:r>
        <w:t xml:space="preserve">The SDG 4 lexical artefact (Appendix </w:t>
      </w:r>
      <w:hyperlink w:anchor="app:sdg4-lexical-audit">
        <w:r>
          <w:rPr>
            <w:rStyle w:val="Hyperlink"/>
          </w:rPr>
          <w:t xml:space="preserve">8.1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props up neither the raw null nor the adjusted association.</w:t>
      </w:r>
    </w:p>
    <w:p>
      <w:pPr>
        <w:pStyle w:val="BodyText"/>
      </w:pPr>
      <w:r>
        <w:t xml:space="preserve">The corpus asymmetry does not manufacture this null. Because the research corpus is the AI</w:t>
      </w:r>
      <w:r>
        <w:t xml:space="preserve"> </w:t>
      </w:r>
      <m:oMath>
        <m:r>
          <m:rPr>
            <m:sty m:val="p"/>
          </m:rPr>
          <m:t>∩</m:t>
        </m:r>
      </m:oMath>
      <w:r>
        <w:t xml:space="preserve"> </w:t>
      </w:r>
      <w:r>
        <w:t xml:space="preserve">SDG intersection while the policy corpus pools AI-specific and broad institutional SDG discourse, this study re-ran the interaction test with the policy side restricted to the curated AI/SDG family, a symmetric AI/SDG-vs-AI/SDG comparison that matches the research corpus’s scope. The cancellation pattern holds: research share remains uncorrelated with the gap (</w:t>
      </w:r>
      <m:oMath>
        <m:r>
          <m:t>ρ</m:t>
        </m:r>
        <m:r>
          <m:rPr>
            <m:sty m:val="p"/>
          </m:rPr>
          <m:t>=</m:t>
        </m:r>
        <m:r>
          <m:rPr>
            <m:sty m:val="p"/>
          </m:rPr>
          <m:t>−</m:t>
        </m:r>
        <m:r>
          <m:t>0.06</m:t>
        </m:r>
      </m:oMath>
      <w:r>
        <w:t xml:space="preserve">,</w:t>
      </w:r>
      <w:r>
        <w:t xml:space="preserve"> </w:t>
      </w:r>
      <m:oMath>
        <m:r>
          <m:t>p</m:t>
        </m:r>
        <m:r>
          <m:rPr>
            <m:sty m:val="p"/>
          </m:rPr>
          <m:t>=</m:t>
        </m:r>
        <m:r>
          <m:t>0.833</m:t>
        </m:r>
      </m:oMath>
      <w:r>
        <w:t xml:space="preserve">), and the coverage-gap correlation does not reach significance either (</w:t>
      </w:r>
      <m:oMath>
        <m:r>
          <m:t>ρ</m:t>
        </m:r>
        <m:r>
          <m:rPr>
            <m:sty m:val="p"/>
          </m:rPr>
          <m:t>=</m:t>
        </m:r>
        <m:r>
          <m:rPr>
            <m:sty m:val="p"/>
          </m:rPr>
          <m:t>−</m:t>
        </m:r>
        <m:r>
          <m:t>0.22</m:t>
        </m:r>
      </m:oMath>
      <w:r>
        <w:t xml:space="preserve">,</w:t>
      </w:r>
      <w:r>
        <w:t xml:space="preserve"> </w:t>
      </w:r>
      <m:oMath>
        <m:r>
          <m:t>p</m:t>
        </m:r>
        <m:r>
          <m:rPr>
            <m:sty m:val="p"/>
          </m:rPr>
          <m:t>=</m:t>
        </m:r>
        <m:r>
          <m:t>0.386</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w:t>
      </w:r>
    </w:p>
    <w:p>
      <w:pPr>
        <w:pStyle w:val="BodyText"/>
      </w:pPr>
      <w:r>
        <w:t xml:space="preserve">Figure </w:t>
      </w:r>
      <w:hyperlink w:anchor="fig:typology_scatter">
        <w:r>
          <w:rPr>
            <w:rStyle w:val="Hyperlink"/>
          </w:rPr>
          <w:t xml:space="preserve">6</w:t>
        </w:r>
      </w:hyperlink>
      <w:r>
        <w:t xml:space="preserve"> </w:t>
      </w:r>
      <w:r>
        <w:t xml:space="preserve">shows the within-SDG semantic gap against each coverage predictor, one point per SDG; open grey markers are the raw baseline, solid blue the adjusted (canonical) gap. The raw and adjusted gaps share the same vertical scale across all four panels. Panel (a) is the H1a test (absolute coverage gap): large coverage gaps span the full range of adjusted semantic gaps, so no single SDG drives the weak H1a association. The directional panels show the asymmetry: H1b (signed dominance) and H1c (research coverage) show no consistent adjusted-direction trend, while H1d (policy coverage) rises with the adjusted gap, confirming that the coverage–framing linkage operates through the policy side.</w:t>
      </w:r>
    </w:p>
    <w:tbl>
      <w:tblPr>
        <w:tblStyle w:val="FigureTable"/>
        <w:tblW w:type="auto" w:w="0"/>
        <w:tblLook w:firstRow="0" w:lastRow="0" w:firstColumn="0" w:lastColumn="0"/>
        <w:jc w:val="center"/>
      </w:tblPr>
      <w:tblGrid>
        <w:gridCol w:w="1980"/>
        <w:gridCol w:w="1980"/>
        <w:gridCol w:w="1980"/>
        <w:gridCol w:w="1980"/>
      </w:tblGrid>
      <w:tr>
        <w:tc>
          <w:tcPr/>
          <w:p>
            <w:pPr>
              <w:pStyle w:val="CaptionedFigure"/>
              <w:jc w:val="center"/>
            </w:pPr>
            <w:r>
              <w:drawing>
                <wp:inline>
                  <wp:extent cx="1333500" cy="1073262"/>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333500" cy="1073262"/>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333500" cy="1071157"/>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333500" cy="1071157"/>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333500" cy="1073262"/>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333500" cy="1073262"/>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333500" cy="1072559"/>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333500" cy="1072559"/>
                          </a:xfrm>
                          <a:prstGeom prst="rect">
                            <a:avLst/>
                          </a:prstGeom>
                          <a:noFill/>
                          <a:ln w="9525">
                            <a:noFill/>
                            <a:headEnd/>
                            <a:tailEnd/>
                          </a:ln>
                        </pic:spPr>
                      </pic:pic>
                    </a:graphicData>
                  </a:graphic>
                </wp:inline>
              </w:drawing>
            </w:r>
          </w:p>
          <w:p>
            <w:pPr>
              <w:pStyle w:val="ImageCaption"/>
              <w:jc w:val="center"/>
            </w:pPr>
            <w:r>
              <w:t xml:space="preserve">H1d: policy coverage (%)</w:t>
            </w:r>
          </w:p>
        </w:tc>
      </w:tr>
    </w:tbl>
    <w:p>
      <w:pPr>
        <w:pStyle w:val="ImageCaption"/>
      </w:pPr>
      <w:r>
        <w:t xml:space="preserve">Coverage predictor vs within-SDG semantic gap, one point per SDG. Solid blue = adjusted gap (canonical, after INLP register removal); open grey = raw baseline. (a) absolute coverage gap; (b) signed dominance; (c) research coverage; (d) policy coverage.</w:t>
      </w:r>
    </w:p>
    <w:bookmarkEnd w:id="75"/>
    <w:bookmarkStart w:id="76" w:name="sec:robustness"/>
    <w:p>
      <w:pPr>
        <w:pStyle w:val="Heading2"/>
      </w:pPr>
      <w:r>
        <w:t xml:space="preserve">Robustness of the Gap Rankings</w:t>
      </w:r>
    </w:p>
    <w:p>
      <w:pPr>
        <w:pStyle w:val="FirstParagraph"/>
      </w:pPr>
      <w:r>
        <w:t xml:space="preserve">Register removal is validated against independent linguistic markers (Appendix </w:t>
      </w:r>
      <w:hyperlink w:anchor="app:register-validation">
        <w:r>
          <w:rPr>
            <w:rStyle w:val="Hyperlink"/>
          </w:rPr>
          <w:t xml:space="preserve">13.2</w:t>
        </w:r>
      </w:hyperlink>
      <w:r>
        <w:t xml:space="preserve">); the adjusted gap is the primary estimate.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m:t>
        </m:r>
      </m:oMath>
      <w:r>
        <w:t xml:space="preserve">; vs. MiniLM–LR</w:t>
      </w:r>
      <w:r>
        <w:t xml:space="preserve"> </w:t>
      </w:r>
      <m:oMath>
        <m:r>
          <m:t>ρ</m:t>
        </m:r>
        <m:r>
          <m:rPr>
            <m:sty m:val="p"/>
          </m:rPr>
          <m:t>=</m:t>
        </m:r>
        <m:r>
          <m:t>0.89</m:t>
        </m:r>
      </m:oMath>
      <w:r>
        <w:t xml:space="preserve">; Table </w:t>
      </w:r>
      <w:hyperlink w:anchor="tab:encoder-sensitivity-coverage">
        <w:r>
          <w:rPr>
            <w:rStyle w:val="Hyperlink"/>
          </w:rPr>
          <w:t xml:space="preserve">24</w:t>
        </w:r>
      </w:hyperlink>
      <w:r>
        <w:t xml:space="preserve">). Semantic-gap magnitude is encoder-dependent (SciBERT: 0.04 vs. MPNet: 0.34) because scientific pretraining fuses the genres</w:t>
      </w:r>
      <w:r>
        <w:t xml:space="preserve"> </w:t>
      </w:r>
      <w:r>
        <w:t xml:space="preserve">(Beltagy et al., 2019)</w:t>
      </w:r>
      <w:r>
        <w:t xml:space="preserve">, but the divergence conclusion holds (Table </w:t>
      </w:r>
      <w:hyperlink w:anchor="tab:encoder-sensitivity-semantic">
        <w:r>
          <w:rPr>
            <w:rStyle w:val="Hyperlink"/>
          </w:rPr>
          <w:t xml:space="preserve">22</w:t>
        </w:r>
      </w:hyperlink>
      <w:r>
        <w:t xml:space="preserve">). Under the raw gap, SDG 3 leads for MPNet–LR and SciBERT–LR while SDG 13 leads for MiniLM–LR; SDG 17 trails in all three (rank 16 or 17).</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m:t>
        </m:r>
      </m:oMath>
      <w:r>
        <w:t xml:space="preserve">; Table </w:t>
      </w:r>
      <w:hyperlink w:anchor="tab:encoder-sensitivity-semantic">
        <w:r>
          <w:rPr>
            <w:rStyle w:val="Hyperlink"/>
          </w:rPr>
          <w:t xml:space="preserve">22</w:t>
        </w:r>
      </w:hyperlink>
      <w:r>
        <w:t xml:space="preserve">). Under the raw gap, SDG 17 is the most classifier-sensitive goal, sitting at rank 17 under LR but rank 8 under zero-shot.</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10</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(rank 17 across configs); SDG 17 is most classifier-sensitive and most divergent under the adjusted gap, while SDG 3 leads under the raw gap for MPNet–LR. The cancellation replicates across all configs and policy-source families. Pooled OLS confirms the adjusted association (Appendix </w:t>
      </w:r>
      <w:hyperlink w:anchor="app:regression">
        <w:r>
          <w:rPr>
            <w:rStyle w:val="Hyperlink"/>
          </w:rPr>
          <w:t xml:space="preserve">15</w:t>
        </w:r>
      </w:hyperlink>
      <w:r>
        <w:t xml:space="preserve">).</w:t>
      </w:r>
    </w:p>
    <w:bookmarkEnd w:id="76"/>
    <w:bookmarkEnd w:id="77"/>
    <w:bookmarkStart w:id="84" w:name="sec:discussion"/>
    <w:p>
      <w:pPr>
        <w:pStyle w:val="Heading1"/>
      </w:pPr>
      <w:r>
        <w:t xml:space="preserve">Discussion</w:t>
      </w:r>
    </w:p>
    <w:p>
      <w:pPr>
        <w:pStyle w:val="FirstParagraph"/>
      </w:pPr>
      <w:r>
        <w:t xml:space="preserve">The headline result is a cancellation: the raw correlation is null because register and topic offset (</w:t>
      </w:r>
      <m:oMath>
        <m:r>
          <m:t>ρ</m:t>
        </m:r>
        <m:r>
          <m:rPr>
            <m:sty m:val="p"/>
          </m:rPr>
          <m:t>=</m:t>
        </m:r>
        <m:r>
          <m:t>0.544</m:t>
        </m:r>
      </m:oMath>
      <w:r>
        <w:t xml:space="preserve"> </w:t>
      </w:r>
      <w:r>
        <w:t xml:space="preserve">vs. </w:t>
      </w:r>
      <m:oMath>
        <m:r>
          <m:t>ρ</m:t>
        </m:r>
        <m:r>
          <m:rPr>
            <m:sty m:val="p"/>
          </m:rPr>
          <m:t>=</m:t>
        </m:r>
        <m:r>
          <m:rPr>
            <m:sty m:val="p"/>
          </m:rPr>
          <m:t>−</m:t>
        </m:r>
        <m:r>
          <m:t>0.390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Semantic cancellation effect</w:t>
      </w:r>
    </w:p>
    <w:p>
      <w:pPr>
        <w:pStyle w:val="FirstParagraph"/>
      </w:pPr>
      <w:r>
        <w:t xml:space="preserve">Three potential confounds could be ruled out before the cancellation can be interpreted substantively.</w:t>
      </w:r>
    </w:p>
    <w:p>
      <w:pPr>
        <w:pStyle w:val="BodyText"/>
      </w:pPr>
      <w:r>
        <w:rPr>
          <w:bCs/>
          <w:b/>
        </w:rPr>
        <w:t xml:space="preserve">Independence of classification and measurement.</w:t>
      </w:r>
      <w:r>
        <w:t xml:space="preserve"> </w:t>
      </w:r>
      <w:r>
        <w:t xml:space="preserve">The LR classifier and the embedding space are separate tools: classification uses softmax probabilities; semantic measurement uses cosine distance between L2-normalised centroids. The most plausible confounder would be the INLP register-adjustment step systematically adjusting less for low-coverage SDGs and more for high-coverage ones, which could manufacture rather than show the adjusted-gap correlation. This is structurally precluded, not merely mitigated, by the stratification design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that SDG’s actual coverage share in either corpus. Because the classifier that learns each removed direction never sees coverage-proportional samples, coverage cannot leak into which direction gets learned or removed.</w:t>
      </w:r>
    </w:p>
    <w:p>
      <w:pPr>
        <w:pStyle w:val="BodyText"/>
      </w:pPr>
      <w:r>
        <w:rPr>
          <w:bCs/>
          <w:b/>
        </w:rPr>
        <w:t xml:space="preserve">Cross-configuration replication.</w:t>
      </w:r>
      <w:r>
        <w:t xml:space="preserve"> </w:t>
      </w:r>
      <w:r>
        <w:t xml:space="preserve">The cancellation replicates across most configs (Table </w:t>
      </w:r>
      <w:hyperlink w:anchor="tab:interaction">
        <w:r>
          <w:rPr>
            <w:rStyle w:val="Hyperlink"/>
          </w:rPr>
          <w:t xml:space="preserve">5</w:t>
        </w:r>
      </w:hyperlink>
      <w:r>
        <w:t xml:space="preserve">): signs are stable for all encoder–classifier combinations under the primary keyword-retrieved corpus. The exception is the concept-retrieved track, where H1a’s raw-gap sign flips against all other configurations (Concept LR: +0.108, vs. negative or near-zero elsewhere) — consistent with the retrieval-related instability discussed in Section </w:t>
      </w:r>
      <w:hyperlink w:anchor="sec:limitations">
        <w:r>
          <w:rPr>
            <w:rStyle w:val="Hyperlink"/>
          </w:rPr>
          <w:t xml:space="preserve">5.5</w:t>
        </w:r>
      </w:hyperlink>
      <w:r>
        <w:t xml:space="preserve">. Excluding that track, the pattern does not appear to be a quirk of a specific encoder space, classifier, or methodological choice (segmentation, segment-capping for long documents).</w:t>
      </w:r>
    </w:p>
    <w:p>
      <w:pPr>
        <w:pStyle w:val="BodyText"/>
      </w:pPr>
      <w:r>
        <w:rPr>
          <w:bCs/>
          <w:b/>
        </w:rPr>
        <w:t xml:space="preserve">SciBERT compression validates the register interpretation.</w:t>
      </w:r>
      <w:r>
        <w:t xml:space="preserve"> </w:t>
      </w:r>
      <w:r>
        <w:t xml:space="preserve">SciBERT compresses the raw gap from 0.34 to 0.04 (88% reduction) while preserving coverage (</w:t>
      </w:r>
      <m:oMath>
        <m:r>
          <m:t>ρ</m:t>
        </m:r>
        <m:r>
          <m:rPr>
            <m:sty m:val="p"/>
          </m:rPr>
          <m:t>=</m:t>
        </m:r>
        <m:r>
          <m:t>0.93</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exactly what the decomposition predicts.</w:t>
      </w:r>
    </w:p>
    <w:bookmarkEnd w:id="78"/>
    <w:bookmarkStart w:id="79" w:name="two-communities-two-dimensions"/>
    <w:p>
      <w:pPr>
        <w:pStyle w:val="Heading2"/>
      </w:pPr>
      <w:r>
        <w:t xml:space="preserve">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genuinely distinct knowledge cultures, then a near-zero raw correlation is expected, not puzzling: the two corpora develop different topical priorities (producing coverage divergence) and different communicative norms (producing register divergence), and the two effects operate in opposite directions on the semantic gap. Caplan himself warned that</w:t>
      </w:r>
      <w:r>
        <w:t xml:space="preserve"> </w:t>
      </w:r>
      <w:r>
        <w:t xml:space="preserve">“</w:t>
      </w:r>
      <w:r>
        <w:t xml:space="preserve">it does not follow… that an alliance of social scientists and policy makers is the panacea</w:t>
      </w:r>
      <w:r>
        <w:t xml:space="preserve">”</w:t>
      </w:r>
      <w:r>
        <w:t xml:space="preserve"> </w:t>
      </w:r>
      <w:r>
        <w:t xml:space="preserve">(Caplan, 1979, p.461)</w:t>
      </w:r>
      <w:r>
        <w:t xml:space="preserve">. The raw null is the expected result of two distinct knowledge cultures coexisting without deep integration.</w:t>
      </w:r>
    </w:p>
    <w:p>
      <w:pPr>
        <w:pStyle w:val="BodyText"/>
      </w:pPr>
      <w:r>
        <w:t xml:space="preserve">The adjusted association also shows that coverage and framing are separable dimensions, not a single</w:t>
      </w:r>
      <w:r>
        <w:t xml:space="preserve"> </w:t>
      </w:r>
      <w:r>
        <w:t xml:space="preserve">“</w:t>
      </w:r>
      <w:r>
        <w:t xml:space="preserve">alignment</w:t>
      </w:r>
      <w:r>
        <w:t xml:space="preserve">”</w:t>
      </w:r>
      <w:r>
        <w:t xml:space="preserve"> </w:t>
      </w:r>
      <w:r>
        <w:t xml:space="preserve">property. As shown in Results (Section </w:t>
      </w:r>
      <w:hyperlink w:anchor="sec:semantic-gap">
        <w:r>
          <w:rPr>
            <w:rStyle w:val="Hyperlink"/>
          </w:rPr>
          <w:t xml:space="preserve">4.3</w:t>
        </w:r>
      </w:hyperlink>
      <w:r>
        <w:t xml:space="preserve">), SDGs 9 and 17 illustrate this: SDG 9 has the second-largest coverage gap but a moderate semantic gap, while SDG 17 has moderate coverage but the widest adjusted gap. A single alignment score would conflate these two genuinely different patterns. This separability is the paper’s core empirical contribution to the SDG-mapping literature, which has treated coverage as the primary output</w:t>
      </w:r>
      <w:r>
        <w:t xml:space="preserve"> </w:t>
      </w:r>
      <w:r>
        <w:t xml:space="preserve">(Armitage et al., 2020; Kashnitsky et al., 2024)</w:t>
      </w:r>
      <w:r>
        <w:t xml:space="preserve">. The framework demonstrates that coverage and framing should be reported as independent axes.</w:t>
      </w:r>
    </w:p>
    <w:p>
      <w:pPr>
        <w:pStyle w:val="BodyText"/>
      </w:pPr>
      <w:r>
        <w:t xml:space="preserve">The positive adjusted correlation (</w:t>
      </w:r>
      <m:oMath>
        <m:r>
          <m:t>ρ</m:t>
        </m:r>
        <m:r>
          <m:rPr>
            <m:sty m:val="p"/>
          </m:rPr>
          <m:t>=</m:t>
        </m:r>
        <m:r>
          <m:rPr>
            <m:sty m:val="p"/>
          </m:rPr>
          <m:t>+</m:t>
        </m:r>
        <m:r>
          <m:t>0.544</m:t>
        </m:r>
      </m:oMath>
      <w:r>
        <w:t xml:space="preserve">, read as pattern-consistent rather than confirmatory evidence —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tends to diverge.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the framing reflects academic norms of knowledge production:</w:t>
      </w:r>
      <w:r>
        <w:t xml:space="preserve"> </w:t>
      </w:r>
      <w:r>
        <w:t xml:space="preserve">“</w:t>
      </w:r>
      <w:r>
        <w:t xml:space="preserve">problems set and solved in a context governed by the, largely academic, interests of a specific community</w:t>
      </w:r>
      <w:r>
        <w:t xml:space="preserve">”</w:t>
      </w:r>
      <w:r>
        <w:t xml:space="preserve"> </w:t>
      </w:r>
      <w:r>
        <w:t xml:space="preserve">(Gibbons et al., 1994, p.3)</w:t>
      </w:r>
      <w:r>
        <w:t xml:space="preserve">. Where policy dominates (SDGs 13, 16, 17), the framing reflects institutional norms of coordination:</w:t>
      </w:r>
      <w:r>
        <w:t xml:space="preserve"> </w:t>
      </w:r>
      <w:r>
        <w:t xml:space="preserve">“</w:t>
      </w:r>
      <w:r>
        <w:t xml:space="preserve">knowledge carried out in a context of application</w:t>
      </w:r>
      <w:r>
        <w:t xml:space="preserve">”</w:t>
      </w:r>
      <w:r>
        <w:t xml:space="preserve"> </w:t>
      </w:r>
      <w:r>
        <w:t xml:space="preserve">(Gibbons et al., 1994, p.3)</w:t>
      </w:r>
      <w:r>
        <w:t xml:space="preserve">. The coverage-semantic linkage is the empirical manifestation of two communities framing the same goals differently when attention (measured as coverage) diverges between them.</w:t>
      </w:r>
    </w:p>
    <w:p>
      <w:pPr>
        <w:pStyle w:val="BodyText"/>
      </w:pPr>
      <w:r>
        <w:t xml:space="preserve">However, Haas also cautions that</w:t>
      </w:r>
      <w:r>
        <w:t xml:space="preserve"> </w:t>
      </w:r>
      <w:r>
        <w:t xml:space="preserve">“</w:t>
      </w:r>
      <w:r>
        <w:t xml:space="preserve">given the many examples of different states reacting in different ways to the same consensual evidence provided by specialists, it is unclear how effective consensual knowledge is, as an independent variable, at explaining or predicting state behavior</w:t>
      </w:r>
      <w:r>
        <w:t xml:space="preserve">”</w:t>
      </w:r>
      <w:r>
        <w:t xml:space="preserve"> </w:t>
      </w:r>
      <w:r>
        <w:t xml:space="preserve">(Haas, 1992, p.30)</w:t>
      </w:r>
      <w:r>
        <w:t xml:space="preserve">. The adjusted association shows that coverage and framing are linked through topic, but it does not show that this linkage produces policy uptake.</w:t>
      </w:r>
    </w:p>
    <w:p>
      <w:pPr>
        <w:pStyle w:val="BodyText"/>
      </w:pPr>
      <w:r>
        <w:t xml:space="preserve">The directional decomposition (H1b–H1d) shows an asymmetric structure, as shown in Table </w:t>
      </w:r>
      <w:hyperlink w:anchor="tab:interaction">
        <w:r>
          <w:rPr>
            <w:rStyle w:val="Hyperlink"/>
          </w:rPr>
          <w:t xml:space="preserve">5</w:t>
        </w:r>
      </w:hyperlink>
      <w:r>
        <w:t xml:space="preserve">. H1d (policy coverage) is the strongest consistent predictor, positive in 9 of 9 configurations. The linkage operates through the policy side: where policy heavily covers an SDG, framing divergence is wider,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Where policy attention is concentrated (SDGs 13, 16, 17), the institutional framing that drives salience simultaneously distances the discourse from research norms of credibility, widening the adjusted gap. The mechanism is structural, not communicative: where policy dominates an SDG, the Mode 2 framing prevails and the gap widens.</w:t>
      </w:r>
    </w:p>
    <w:bookmarkEnd w:id="79"/>
    <w:bookmarkStart w:id="80" w:name="X4c808c234078a0e9b2cd8fadd33758f5597bbdf"/>
    <w:p>
      <w:pPr>
        <w:pStyle w:val="Heading2"/>
      </w:pPr>
      <w:r>
        <w:t xml:space="preserve">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The implication is clear: any SDG-mapping study that uses raw embedding distances without register adjustment will overestimate semantic divergence. The raw gap is a composite of topic, register, and convention; only the adjusted gap isolates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SDG 17 is where framing power operates most invisibly: partnership language sounds like either community, but the coordination logic belongs exclusively to policy.</w:t>
      </w:r>
      <w:r>
        <w:t xml:space="preserve"> </w:t>
      </w:r>
      <w:r>
        <w:t xml:space="preserve">Le Blanc (2015)</w:t>
      </w:r>
      <w:r>
        <w:t xml:space="preserve"> </w:t>
      </w:r>
      <w:r>
        <w:t xml:space="preserve">and</w:t>
      </w:r>
      <w:r>
        <w:t xml:space="preserve"> </w:t>
      </w:r>
      <w:r>
        <w:t xml:space="preserve">Griggs et al. (2017)</w:t>
      </w:r>
      <w:r>
        <w:t xml:space="preserve"> </w:t>
      </w:r>
      <w:r>
        <w:t xml:space="preserve">describe SDG 17 as</w:t>
      </w:r>
      <w:r>
        <w:t xml:space="preserve"> </w:t>
      </w:r>
      <w:r>
        <w:t xml:space="preserve">“</w:t>
      </w:r>
      <w:r>
        <w:t xml:space="preserve">implementation infrastructure rather than substantive domains</w:t>
      </w:r>
      <w:r>
        <w:t xml:space="preserve">”</w:t>
      </w:r>
      <w:r>
        <w:t xml:space="preserve">; the register inversion confirms this empirically.</w:t>
      </w:r>
    </w:p>
    <w:p>
      <w:pPr>
        <w:pStyle w:val="BodyText"/>
      </w:pPr>
      <w:r>
        <w:t xml:space="preserve">The register decomposition also shows what the embedding instrument actually measures. Embedding distance is a composite signal of topic and register</w:t>
      </w:r>
      <w:r>
        <w:t xml:space="preserve"> </w:t>
      </w:r>
      <w:r>
        <w:t xml:space="preserve">(Harris, 1954)</w:t>
      </w:r>
      <w:r>
        <w:t xml:space="preserve">. 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Level 0: Institutional Commensurability</w:t>
      </w:r>
    </w:p>
    <w:p>
      <w:pPr>
        <w:pStyle w:val="FirstParagraph"/>
      </w:pPr>
      <w:r>
        <w:t xml:space="preserve">The three-level framework (Section </w:t>
      </w:r>
      <w:hyperlink w:anchor="sec:alignment-framework">
        <w:r>
          <w:rPr>
            <w:rStyle w:val="Hyperlink"/>
          </w:rPr>
          <w:t xml:space="preserve">2.3</w:t>
        </w:r>
      </w:hyperlink>
      <w:r>
        <w:t xml:space="preserve">) assumes that research and policy discourse are already commensurable categories, comparable once retrieved and embedded. Constructing the corpora exposes a prior condition that framework does not capture. The research corpus is a tight intersection of AI and SDG content (2</w:t>
      </w:r>
      <w:r>
        <w:t xml:space="preserve">,</w:t>
      </w:r>
      <w:r>
        <w:t xml:space="preserve">536</w:t>
      </w:r>
      <w:r>
        <w:t xml:space="preserve">,</w:t>
      </w:r>
      <w:r>
        <w:t xml:space="preserve">771 abstracts); the curated AI-and-SDG policy family is 94 documents. This is not merely a sampling limitation to be corrected with more time (Section </w:t>
      </w:r>
      <w:hyperlink w:anchor="sec:limitations">
        <w:r>
          <w:rPr>
            <w:rStyle w:val="Hyperlink"/>
          </w:rPr>
          <w:t xml:space="preserve">5.5</w:t>
        </w:r>
      </w:hyperlink>
      <w:r>
        <w:t xml:space="preserve">). It is evidence that</w:t>
      </w:r>
      <w:r>
        <w:t xml:space="preserve"> </w:t>
      </w:r>
      <w:r>
        <w:t xml:space="preserve">“</w:t>
      </w:r>
      <w:r>
        <w:t xml:space="preserve">AI and the SDGs</w:t>
      </w:r>
      <w:r>
        <w:t xml:space="preserve">”</w:t>
      </w:r>
      <w:r>
        <w:t xml:space="preserve"> </w:t>
      </w:r>
      <w:r>
        <w:t xml:space="preserve">is not yet an established organising category in institutional policy discourse the way it already is in academic research. Policy documents overwhelmingly discuss AI governance and SDG implementation as separate agendas; the joint category the research corpus takes for granted barely exists on the policy side to be sampled.</w:t>
      </w:r>
    </w:p>
    <w:p>
      <w:pPr>
        <w:pStyle w:val="BodyText"/>
      </w:pPr>
      <w:r>
        <w:t xml:space="preserve">This claim should be read carefully:</w:t>
      </w:r>
      <w:r>
        <w:t xml:space="preserve"> </w:t>
      </w:r>
      <w:r>
        <w:t xml:space="preserve">“</w:t>
      </w:r>
      <w:r>
        <w:t xml:space="preserve">level</w:t>
      </w:r>
      <w:r>
        <w:t xml:space="preserve">”</w:t>
      </w:r>
      <w:r>
        <w:t xml:space="preserve"> </w:t>
      </w:r>
      <w:r>
        <w:t xml:space="preserve">in this framework is reference-relative, not absolute. The paper’s core Level 1/Level 2 analysis (Sections </w:t>
      </w:r>
      <w:hyperlink w:anchor="sec:alignment-framework">
        <w:r>
          <w:rPr>
            <w:rStyle w:val="Hyperlink"/>
          </w:rPr>
          <w:t xml:space="preserve">2.3</w:t>
        </w:r>
      </w:hyperlink>
      <w:r>
        <w:t xml:space="preserve"> </w:t>
      </w:r>
      <w:r>
        <w:t xml:space="preserve">and</w:t>
      </w:r>
      <w:r>
        <w:t xml:space="preserve"> </w:t>
      </w:r>
      <w:hyperlink w:anchor="sec:results">
        <w:r>
          <w:rPr>
            <w:rStyle w:val="Hyperlink"/>
          </w:rPr>
          <w:t xml:space="preserve">4</w:t>
        </w:r>
      </w:hyperlink>
      <w:r>
        <w:t xml:space="preserve">) takes</w:t>
      </w:r>
      <w:r>
        <w:t xml:space="preserve"> </w:t>
      </w:r>
      <w:r>
        <w:t xml:space="preserve">“</w:t>
      </w:r>
      <w:r>
        <w:t xml:space="preserve">AI-and-SDG</w:t>
      </w:r>
      <w:r>
        <w:t xml:space="preserve">”</w:t>
      </w:r>
      <w:r>
        <w:t xml:space="preserve"> </w:t>
      </w:r>
      <w:r>
        <w:t xml:space="preserve">as an already-commensurable category and measures coverage and framing within it. The observation above applies the identical logic one category outward — treating general SDG discourse as the commensurable category and asking whether AI coverage within it is itself established on the policy side. It is not, in the formal sense of this paper’s Level 1 analysis, a measurement: no general-SDG coverage statistic was collected for either corpus, and the argument is inferred from the difficulty of assembling a symmetric AI-and-SDG policy corpus rather than from a coverage figure analogous to Section </w:t>
      </w:r>
      <w:hyperlink w:anchor="sec:results">
        <w:r>
          <w:rPr>
            <w:rStyle w:val="Hyperlink"/>
          </w:rPr>
          <w:t xml:space="preserve">4</w:t>
        </w:r>
      </w:hyperlink>
      <w:r>
        <w:t xml:space="preserve">’s. What follows should therefore be read as a plausible extension of the framework’s logic, motivating future work, not as a Level-1-style finding in its own right.</w:t>
      </w:r>
    </w:p>
    <w:p>
      <w:pPr>
        <w:pStyle w:val="BodyText"/>
      </w:pPr>
      <w:r>
        <w:t xml:space="preserve">This asymmetry maps onto the Mode 1/Mode 2 distinction</w:t>
      </w:r>
      <w:r>
        <w:t xml:space="preserve"> </w:t>
      </w:r>
      <w:r>
        <w:t xml:space="preserve">(Gibbons et al., 1994)</w:t>
      </w:r>
      <w:r>
        <w:t xml:space="preserve"> </w:t>
      </w:r>
      <w:r>
        <w:t xml:space="preserve">one level up from where it is usually applied. Mode 1 knowledge production allows a research community to define and pursue a novel cross-cutting category —</w:t>
      </w:r>
      <w:r>
        <w:t xml:space="preserve"> </w:t>
      </w:r>
      <w:r>
        <w:t xml:space="preserve">“</w:t>
      </w:r>
      <w:r>
        <w:t xml:space="preserve">AI for the SDGs</w:t>
      </w:r>
      <w:r>
        <w:t xml:space="preserve">”</w:t>
      </w:r>
      <w:r>
        <w:t xml:space="preserve"> </w:t>
      </w:r>
      <w:r>
        <w:t xml:space="preserve">— as an internal disciplinary move, requiring no external validation. Institutional policy discourse, operating closer to Mode 2’s context of application, adopts new organising categories only once they are demanded by a concrete problem, negotiation, or mandate. Research can outrun policy in category formation before it outruns policy in content. The near-total absence of a comparably sized</w:t>
      </w:r>
      <w:r>
        <w:t xml:space="preserve"> </w:t>
      </w:r>
      <w:r>
        <w:t xml:space="preserve">“</w:t>
      </w:r>
      <w:r>
        <w:t xml:space="preserve">AI-and-SDG</w:t>
      </w:r>
      <w:r>
        <w:t xml:space="preserve">”</w:t>
      </w:r>
      <w:r>
        <w:t xml:space="preserve"> </w:t>
      </w:r>
      <w:r>
        <w:t xml:space="preserve">policy corpus is therefore not a gap this study failed to fill; it is the gap, observed one level before Level 1 coverage or Level 2 framing can even be measured.</w:t>
      </w:r>
    </w:p>
    <w:p>
      <w:pPr>
        <w:pStyle w:val="BodyText"/>
      </w:pPr>
      <w:r>
        <w:t xml:space="preserve">As noted in Section </w:t>
      </w:r>
      <w:hyperlink w:anchor="sec:prev-biblio">
        <w:r>
          <w:rPr>
            <w:rStyle w:val="Hyperlink"/>
          </w:rPr>
          <w:t xml:space="preserve">2.1</w:t>
        </w:r>
      </w:hyperlink>
      <w:r>
        <w:t xml:space="preserve">, SDG 17 is treated in the literature</w:t>
      </w:r>
      <w:r>
        <w:t xml:space="preserve"> </w:t>
      </w:r>
      <w:r>
        <w:t xml:space="preserve">(Le Blanc, 2015; Griggs et al., 2017)</w:t>
      </w:r>
      <w:r>
        <w:t xml:space="preserve"> </w:t>
      </w:r>
      <w:r>
        <w:t xml:space="preserve">as implementation infrastructure rather than a substantive domain in its own right, coordinating action across goals rather than constituting one. Applied here one category up (see previous paragraph), the same reading suggests</w:t>
      </w:r>
      <w:r>
        <w:t xml:space="preserve"> </w:t>
      </w:r>
      <w:r>
        <w:t xml:space="preserve">“</w:t>
      </w:r>
      <w:r>
        <w:t xml:space="preserve">AI and the SDGs</w:t>
      </w:r>
      <w:r>
        <w:t xml:space="preserve">”</w:t>
      </w:r>
      <w:r>
        <w:t xml:space="preserve"> </w:t>
      </w:r>
      <w:r>
        <w:t xml:space="preserve">may currently occupy an analogous pre-domain status in policy discourse — a research-side framing device that institutional discourse has not yet organised itself around. If so, the coverage and semantic gaps measured in this paper (Section </w:t>
      </w:r>
      <w:hyperlink w:anchor="sec:results">
        <w:r>
          <w:rPr>
            <w:rStyle w:val="Hyperlink"/>
          </w:rPr>
          <w:t xml:space="preserve">4</w:t>
        </w:r>
      </w:hyperlink>
      <w:r>
        <w:t xml:space="preserve">) describe divergence within a category that, on the policy side, barely exists as a category at all. A future Level 0 measurement — tracking when and whether</w:t>
      </w:r>
      <w:r>
        <w:t xml:space="preserve"> </w:t>
      </w:r>
      <w:r>
        <w:t xml:space="preserve">“</w:t>
      </w:r>
      <w:r>
        <w:t xml:space="preserve">AI-and-SDG</w:t>
      </w:r>
      <w:r>
        <w:t xml:space="preserve">”</w:t>
      </w:r>
      <w:r>
        <w:t xml:space="preserve"> </w:t>
      </w:r>
      <w:r>
        <w:t xml:space="preserve">stabilises as a policy-organising category, for instance through co-occurrence of AI and SDG terms in institutional agendas over time — would convert this inference into a Level-1-style measurement; the present study only registers the asymmetry it produced.</w:t>
      </w:r>
    </w:p>
    <w:bookmarkEnd w:id="81"/>
    <w:bookmarkStart w:id="82" w:name="sec:limitations"/>
    <w:p>
      <w:pPr>
        <w:pStyle w:val="Heading2"/>
      </w:pPr>
      <w:r>
        <w:t xml:space="preserve">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semantic gap (</w:t>
      </w:r>
      <m:oMath>
        <m:r>
          <m:t>ρ</m:t>
        </m:r>
        <m:r>
          <m:rPr>
            <m:sty m:val="p"/>
          </m:rPr>
          <m:t>=</m:t>
        </m:r>
        <m:r>
          <m:t>0.44</m:t>
        </m:r>
      </m:oMath>
      <w:r>
        <w:t xml:space="preserve">–</w:t>
      </w:r>
      <m:oMath>
        <m:r>
          <m:t>0.91</m:t>
        </m:r>
      </m:oMath>
      <w:r>
        <w:t xml:space="preserve">), but this agreement was largely a register artifact: the distribution-aware metrics track the register component of the gap, not the adjusted semantic gap (Appendix </w:t>
      </w:r>
      <w:hyperlink w:anchor="app:distributional-table">
        <w:r>
          <w:rPr>
            <w:rStyle w:val="Hyperlink"/>
          </w:rPr>
          <w:t xml:space="preserve">10</w:t>
        </w:r>
      </w:hyperlink>
      <w:r>
        <w:t xml:space="preserve">). After register removal, the adjusted semantic gap is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not a re-ranking. The covariance-shape term accounts for</w:t>
      </w:r>
      <w:r>
        <w:t xml:space="preserve"> </w:t>
      </w:r>
      <m:oMath>
        <m:r>
          <m:rPr>
            <m:sty m:val="p"/>
          </m:rPr>
          <m:t>≈</m:t>
        </m:r>
        <m:r>
          <m:t>79</m:t>
        </m:r>
        <m:r>
          <m:rPr>
            <m:sty m:val="p"/>
          </m:rPr>
          <m:t>%</m:t>
        </m:r>
      </m:oMath>
      <w:r>
        <w:t xml:space="preserve"> </w:t>
      </w:r>
      <w:r>
        <w:t xml:space="preserve">of the squared Gaussian-2-Wasserstein distance, and a replicate run under the adjacent seed changes the largest per-SDG gap by at most 0.008 (Appendix </w:t>
      </w:r>
      <w:hyperlink w:anchor="app:distributional-table">
        <w:r>
          <w:rPr>
            <w:rStyle w:val="Hyperlink"/>
          </w:rPr>
          <w:t xml:space="preserve">10</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have not been independently audited in this study, and the 2</w:t>
      </w:r>
      <w:r>
        <w:t xml:space="preserve">,</w:t>
      </w:r>
      <w:r>
        <w:t xml:space="preserve">536</w:t>
      </w:r>
      <w:r>
        <w:t xml:space="preserve">,</w:t>
      </w:r>
      <w:r>
        <w:t xml:space="preserve">771 abstracts retrieved reflect OpenAlex’s operational definition of SDG-relevant work rather than a validated one. The corpus size is large enough to rule out a sample-size or statistical-power concern, but it does not, on its own, establish that the filter is accurate; auditing it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7</w:t>
        </w:r>
      </w:hyperlink>
      <w:r>
        <w:t xml:space="preserve"> </w:t>
      </w:r>
      <w:r>
        <w:t xml:space="preserve">shows that concept-retrieved papers (field-of-study membership) produce closely aligned gap rankings, with a substantially lower SDG 4 share (</w:t>
      </w:r>
      <m:oMath>
        <m:r>
          <m:rPr>
            <m:sty m:val="p"/>
          </m:rPr>
          <m:t>−</m:t>
        </m:r>
      </m:oMath>
      <w:r>
        <w:t xml:space="preserve">7.3pp) as the largest deviation between the two profiles. Re-running the full pipeline with concept-retrieved papers as the primary corpus is the most direct path to eliminating this artefact and is left for future work. Additionally, the concept-retrieved robustness check (Appendix </w:t>
      </w:r>
      <w:hyperlink w:anchor="app:concept-retrieval-sensitivity">
        <w:r>
          <w:rPr>
            <w:rStyle w:val="Hyperlink"/>
          </w:rPr>
          <w:t xml:space="preserve">7</w:t>
        </w:r>
      </w:hyperlink>
      <w:r>
        <w:t xml:space="preserve">) reuses the register-adjusted space fitted on the keyword-retrieved corpus rather than re-fitting INLP on the concept-retrieved embeddings, assuming the research-policy register direction is stable across retrieval strategies. This assumption is untested; re-fitting INLP natively on the concept-retrieved corpus is recommended before treating that corpus as a fully independent robustness check.</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7</w:t>
        </w:r>
      </w:hyperlink>
      <w:r>
        <w:t xml:space="preserve">) restricts only to AI/ML field-of-study membership; no SDG filter is applied at retrieval. SDG labels for this corpus are assigned entirely by the trained classifier post hoc, so its agreement with the keyword-retrieved corpus (Table </w:t>
      </w:r>
      <w:hyperlink w:anchor="tab:interaction">
        <w:r>
          <w:rPr>
            <w:rStyle w:val="Hyperlink"/>
          </w:rPr>
          <w:t xml:space="preserve">5</w:t>
        </w:r>
      </w:hyperlink>
      <w:r>
        <w:t xml:space="preserve">) demonstrates stability of coverage-share ranking under a different retrieval strategy, not independent confirmation that the concept corpus itself is SDG-relevant. This concern is consistent with a pattern in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vs. seven negatives elsewhere),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and MiniLM/SciBERT show no comparable instability despite also being different encoders. Time constraints prevented applying a comparable SDG filter to this alternative corpus; doing so is recommended before treating it as a fully independent validation. Follow-up works should either apply OpenAlex’s SDG filter for consistency and audit it independently for validation, or not apply OpenAlex’s SDG filter and allow for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13.2</w:t>
        </w:r>
      </w:hyperlink>
      <w:r>
        <w:t xml:space="preserve">). The validation finds substantial reduction of the corpus-level signal but not its complete elimination.</w:t>
      </w:r>
    </w:p>
    <w:p>
      <w:pPr>
        <w:pStyle w:val="BodyText"/>
      </w:pPr>
      <w:r>
        <w:rPr>
          <w:bCs/>
          <w:b/>
        </w:rPr>
        <w:t xml:space="preserve">Per-SDG assignment is approximate.</w:t>
      </w:r>
      <w:r>
        <w:t xml:space="preserve"> </w:t>
      </w:r>
      <w:r>
        <w:t xml:space="preserve">The hard argmax treats SDG discourse as cleanly separable, but the PCA space (Figure </w:t>
      </w:r>
      <w:hyperlink w:anchor="fig:pca-register-before-after">
        <w:r>
          <w:rPr>
            <w:rStyle w:val="Hyperlink"/>
          </w:rPr>
          <w:t xml:space="preserve">4</w:t>
        </w:r>
      </w:hyperlink>
      <w:r>
        <w:t xml:space="preserve">) shows real-world SDG discourse is fuzzy. SDG 4 is artefact-affected by the machine-learning/education</w:t>
      </w:r>
      <w:r>
        <w:t xml:space="preserve"> </w:t>
      </w:r>
      <w:r>
        <w:t xml:space="preserve">“</w:t>
      </w:r>
      <w:r>
        <w:t xml:space="preserve">learning</w:t>
      </w:r>
      <w:r>
        <w:t xml:space="preserve">”</w:t>
      </w:r>
      <w:r>
        <w:t xml:space="preserve"> </w:t>
      </w:r>
      <w:r>
        <w:t xml:space="preserve">overlap; its rank is read conditional on Appendix </w:t>
      </w:r>
      <w:hyperlink w:anchor="app:sdg4-lexical-audit">
        <w:r>
          <w:rPr>
            <w:rStyle w:val="Hyperlink"/>
          </w:rPr>
          <w:t xml:space="preserve">8.1</w:t>
        </w:r>
      </w:hyperlink>
      <w:r>
        <w:t xml:space="preserve">. Leave-one-out of SDG 4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Contribution and Implications</w:t>
      </w:r>
    </w:p>
    <w:p>
      <w:pPr>
        <w:pStyle w:val="FirstParagraph"/>
      </w:pPr>
      <w:r>
        <w:t xml:space="preserve">The primary contribution of this paper is the measurement framework, not the specific AI–SDG findings.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transparency (Table </w:t>
      </w:r>
      <w:hyperlink w:anchor="tab:cross-sensitivity-robustness">
        <w:r>
          <w:rPr>
            <w:rStyle w:val="Hyperlink"/>
          </w:rPr>
          <w:t xml:space="preserve">20</w:t>
        </w:r>
      </w:hyperlink>
      <w:r>
        <w:t xml:space="preserve">) is a reusable template: instead of reporting a single gap ranking, it shows how stable every ranking position is across the measurement choices. The SDG-stratified INLP adaptation — training the corpus classifier on balanced topic–corpus strata so that no linear direction can encode both topic and register — is a methodological contribution applicable to any cross-corpus comparison where topic and register are confounded. The protocol is portable to any research-policy interface that shares a category system and embeds both sides in a common semantic space.</w:t>
      </w:r>
    </w:p>
    <w:p>
      <w:pPr>
        <w:pStyle w:val="BodyText"/>
      </w:pPr>
      <w:r>
        <w:t xml:space="preserve">The AI–SDG findings are a first application to be checked against a larger, more diverse policy corpus, not settled results. The findings reported here, the cancellation, the SDG 17 inversion, and the positive adjusted association, are properties of this specific pair of corpora at this moment in time.</w:t>
      </w:r>
    </w:p>
    <w:p>
      <w:pPr>
        <w:pStyle w:val="BodyText"/>
      </w:pPr>
      <w:r>
        <w:t xml:space="preserve">Beyond the measurement advance, the results carry a direct implication for how SDG engagement is read. The paper’s premise, that shared coverage is not shared framing, is common sense, and the results confirm it: coverage and framing are separable, with only a modest, hedged correlation between them. Coverage, the Level 1 metric existing studies report, captures only a weak form of salience; it does not address credibility or legitimacy</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 Existing SDG-mapping studies report only coverage</w:t>
      </w:r>
      <w:r>
        <w:t xml:space="preserve"> </w:t>
      </w:r>
      <w:r>
        <w:t xml:space="preserve">(Armitage et al., 2020)</w:t>
      </w:r>
      <w:r>
        <w:t xml:space="preserve">; this paper shows coverage and framing are separable dimensions (Section </w:t>
      </w:r>
      <w:hyperlink w:anchor="sec:semantic-gap">
        <w:r>
          <w:rPr>
            <w:rStyle w:val="Hyperlink"/>
          </w:rPr>
          <w:t xml:space="preserve">4.3</w:t>
        </w:r>
      </w:hyperlink>
      <w:r>
        <w:t xml:space="preserve">).</w:t>
      </w:r>
    </w:p>
    <w:bookmarkEnd w:id="83"/>
    <w:bookmarkEnd w:id="84"/>
    <w:bookmarkStart w:id="85" w:name="sec:conclusion"/>
    <w:p>
      <w:pPr>
        <w:pStyle w:val="Heading1"/>
      </w:pPr>
      <w:r>
        <w:t xml:space="preserve">Conclusion</w:t>
      </w:r>
    </w:p>
    <w:p>
      <w:pPr>
        <w:pStyle w:val="FirstParagraph"/>
      </w:pPr>
      <w:r>
        <w:t xml:space="preserve">The Introduction asked whether shared SDG labels between academic AI research and institutional policy discourse indicate genuine alignment. Not without examining framing. This paper demonstrated that coverage divergence (which SDGs each community prioritises) and within-SDG semantic framing divergence (how differently they discuss the same goal) are separable dimensions that can diverge independently. The raw correlation between the two dimensions is near-zero (Spearman</w:t>
      </w:r>
      <w:r>
        <w:t xml:space="preserve"> </w:t>
      </w:r>
      <m:oMath>
        <m:r>
          <m:t>ρ</m:t>
        </m:r>
        <m:r>
          <m:rPr>
            <m:sty m:val="p"/>
          </m:rPr>
          <m:t>=</m:t>
        </m:r>
        <m:r>
          <m:rPr>
            <m:sty m:val="p"/>
          </m:rPr>
          <m:t>−</m:t>
        </m:r>
        <m:r>
          <m:t>0.012</m:t>
        </m:r>
      </m:oMath>
      <w:r>
        <w:t xml:space="preserve">), but this masks a register-topic cancellation: after INLP register removal, the adjusted semantic gap is positively associated with the coverage gap (</w:t>
      </w:r>
      <m:oMath>
        <m:r>
          <m:t>ρ</m:t>
        </m:r>
        <m:r>
          <m:rPr>
            <m:sty m:val="p"/>
          </m:rPr>
          <m:t>=</m:t>
        </m:r>
        <m:r>
          <m:t>0.544</m:t>
        </m:r>
      </m:oMath>
      <w:r>
        <w:t xml:space="preserve">,</w:t>
      </w:r>
      <w:r>
        <w:t xml:space="preserve"> </w:t>
      </w:r>
      <m:oMath>
        <m:r>
          <m:t>p</m:t>
        </m:r>
        <m:r>
          <m:rPr>
            <m:sty m:val="p"/>
          </m:rPr>
          <m:t>=</m:t>
        </m:r>
        <m:r>
          <m:t>0.025</m:t>
        </m:r>
      </m:oMath>
      <w:r>
        <w:t xml:space="preserve">). The linkage is asymmetric: policy coverage is the strongest directional predictor of framing divergence (positive in 9/9 configurations), while research coverage shows no consistent signal. Where policy attention concentrates, Mode 2 knowledge production</w:t>
      </w:r>
      <w:r>
        <w:t xml:space="preserve"> </w:t>
      </w:r>
      <w:r>
        <w:t xml:space="preserve">(Gibbons et al., 1994)</w:t>
      </w:r>
      <w:r>
        <w:t xml:space="preserve"> </w:t>
      </w:r>
      <w:r>
        <w:t xml:space="preserve">shapes the discourse in contexts of application, producing framings that are structurally further from research norms; this is the expected consequence of two distinct knowledge cultures producing different framings of the same goals</w:t>
      </w:r>
      <w:r>
        <w:t xml:space="preserve"> </w:t>
      </w:r>
      <w:r>
        <w:t xml:space="preserve">(Caplan, 1979; Cash et al., 2003)</w:t>
      </w:r>
      <w:r>
        <w:t xml:space="preserve">.</w:t>
      </w:r>
    </w:p>
    <w:p>
      <w:pPr>
        <w:pStyle w:val="BodyText"/>
      </w:pPr>
      <w:r>
        <w:t xml:space="preserve">The takeaway for practice is that an SDG label is not evidence of alignment: a tag records that a text is about a goal, not that it frames the goal the way another community does. The register decomposition shows embedding distance, like keyword matching, is a composite signal inflated by genre for 16 of 17 SDGs, with SDG 17 the stark exception where institutional vocabulary masks the deepest topic divergence. Because funders and policymakers read SDG counts as proof of engagement</w:t>
      </w:r>
      <w:r>
        <w:t xml:space="preserve"> </w:t>
      </w:r>
      <w:r>
        <w:t xml:space="preserve">(Heilinger et al., 2024; Heras-Saizarbitoria et al., 2022)</w:t>
      </w:r>
      <w:r>
        <w:t xml:space="preserve">, the two-dimensional reading developed here — coverage alongside framing, with the register component made explicit — is needed to interpret that engagement correctly.</w:t>
      </w:r>
    </w:p>
    <w:p>
      <w:pPr>
        <w:pStyle w:val="BodyText"/>
      </w:pPr>
      <w:r>
        <w:t xml:space="preserve">The framework is the paper’s primary contribution, advancing AI–SDG mapping from Level 1 (lexical correspondence) to Level 2 (observed semantic proximity) with explicit marking of Level 3 boundaries (Section </w:t>
      </w:r>
      <w:hyperlink w:anchor="sec:limitations">
        <w:r>
          <w:rPr>
            <w:rStyle w:val="Hyperlink"/>
          </w:rPr>
          <w:t xml:space="preserve">5.5</w:t>
        </w:r>
      </w:hyperlink>
      <w:r>
        <w:t xml:space="preserve">), and portable to any research-policy interface that shares a category system (Section </w:t>
      </w:r>
      <w:hyperlink w:anchor="sec:limitations">
        <w:r>
          <w:rPr>
            <w:rStyle w:val="Hyperlink"/>
          </w:rPr>
          <w:t xml:space="preserve">5.5</w:t>
        </w:r>
      </w:hyperlink>
      <w:r>
        <w:t xml:space="preserve">). The asymmetric corpus construction itself is diagnostic: the difficulty of building a symmetric AI-SDG policy corpus reflects that</w:t>
      </w:r>
      <w:r>
        <w:t xml:space="preserve"> </w:t>
      </w:r>
      <w:r>
        <w:t xml:space="preserve">“</w:t>
      </w:r>
      <w:r>
        <w:t xml:space="preserve">AI and the SDGs</w:t>
      </w:r>
      <w:r>
        <w:t xml:space="preserve">”</w:t>
      </w:r>
      <w:r>
        <w:t xml:space="preserve"> </w:t>
      </w:r>
      <w:r>
        <w:t xml:space="preserve">is not yet an established organising category in policy discourse the way it already is in research — an inferred, not measured, institutional gap (Section </w:t>
      </w:r>
      <w:hyperlink w:anchor="sec:level0">
        <w:r>
          <w:rPr>
            <w:rStyle w:val="Hyperlink"/>
          </w:rPr>
          <w:t xml:space="preserve">5.4</w:t>
        </w:r>
      </w:hyperlink>
      <w:r>
        <w:t xml:space="preserve">). Level 3, whether the divergences documented here reflect productive exploration, institutional failure, or simply different knowledge cultures pursuing different mandates, requires qualitative, institutional, and deliberative methods that lie beyond the scope of embedding analysis.</w:t>
      </w:r>
    </w:p>
    <w:bookmarkEnd w:id="85"/>
    <w:bookmarkStart w:id="88" w:name="app:concept-retrieval-sensitivity"/>
    <w:p>
      <w:pPr>
        <w:pStyle w:val="Heading1"/>
      </w:pPr>
      <w:r>
        <w:t xml:space="preserve">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variance plateau established in Appendix </w:t>
      </w:r>
      <w:hyperlink w:anchor="app:sample-stability">
        <w:r>
          <w:rPr>
            <w:rStyle w:val="Hyperlink"/>
          </w:rPr>
          <w:t xml:space="preserve">11</w:t>
        </w:r>
      </w:hyperlink>
      <w:r>
        <w:t xml:space="preserve"> </w:t>
      </w:r>
      <w:r>
        <w:t xml:space="preserve">(coverage-profile standard deviation 0.001 and mean within-SDG semantic gap 0.342, within 0.002 of the full-corpus estimate of 0.340 at 50</w:t>
      </w:r>
      <w:r>
        <w:t xml:space="preserve">,</w:t>
      </w:r>
      <w:r>
        <w:t xml:space="preserve">000 papers)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3</w:t>
      </w:r>
      <w:r>
        <w:t xml:space="preserve">,</w:t>
      </w:r>
      <w:r>
        <w:t xml:space="preserve">105</w:t>
      </w:r>
      <w:r>
        <w:t xml:space="preserve">,</w:t>
      </w:r>
      <w:r>
        <w:t xml:space="preserve">144-segment research corpus,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8.1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0.87</m:t>
        </m:r>
      </m:oMath>
      <w:r>
        <w:t xml:space="preserve">; semantic-gap rank</w:t>
      </w:r>
      <w:r>
        <w:t xml:space="preserve"> </w:t>
      </w:r>
      <m:oMath>
        <m:r>
          <m:t>ρ</m:t>
        </m:r>
        <m:r>
          <m:rPr>
            <m:sty m:val="p"/>
          </m:rPr>
          <m:t>=</m:t>
        </m:r>
        <m:r>
          <m:t>0.81</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bookmarkStart w:id="86" w:name="tab:concept-coverage"/>
    <w:p>
      <w:pPr>
        <w:pStyle w:val="TableCaption"/>
      </w:pPr>
      <w:r>
        <w:t xml:space="preserve">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86"/>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87" w:name="tab:reference-concept"/>
    <w:p>
      <w:pPr>
        <w:pStyle w:val="TableCaption"/>
      </w:pPr>
      <w:r>
        <w:t xml:space="preserve">Concept-retrieved corpus — per-SDG reference values (semantic-gap and coverage-predictor families).</w:t>
      </w:r>
    </w:p>
    <w:tbl>
      <w:tblPr>
        <w:tblStyle w:val="Table"/>
        <w:tblW w:type="auto" w:w="0"/>
        <w:tblLook w:firstRow="1" w:lastRow="0" w:firstColumn="0" w:lastColumn="0" w:noHBand="0" w:noVBand="0" w:val="0020"/>
        <w:jc w:val="start"/>
        <w:tblCaption w:val="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87"/>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88"/>
    <w:bookmarkStart w:id="95" w:name="app:centroid-diagnostics"/>
    <w:p>
      <w:pPr>
        <w:pStyle w:val="Heading1"/>
      </w:pPr>
      <w:r>
        <w:t xml:space="preserve">Diagnostics for Reference Classifier</w:t>
      </w:r>
    </w:p>
    <w:bookmarkStart w:id="90" w:name="app:sdg4-lexical-audit"/>
    <w:p>
      <w:pPr>
        <w:pStyle w:val="Heading2"/>
      </w:pPr>
      <w:r>
        <w:t xml:space="preserve">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so its third-place research share here is suspect on independent grounds. The audit does not relabel records; it tests whether the concern is empirically plausible. Table </w:t>
      </w:r>
      <w:hyperlink w:anchor="tab:sdg4-lexical-audit">
        <w:r>
          <w:rPr>
            <w:rStyle w:val="Hyperlink"/>
          </w:rPr>
          <w:t xml:space="preserve">8</w:t>
        </w:r>
      </w:hyperlink>
      <w:r>
        <w:t xml:space="preserve"> </w:t>
      </w:r>
      <w:r>
        <w:t xml:space="preserve">therefore compares the lexical composition of SDG 4-assigned research with a matched non-SDG4 sample and with SDG 9, using only two transparent keyword groups: ML-learning and education-specific vocabulary.</w:t>
      </w:r>
    </w:p>
    <w:p>
      <w:pPr>
        <w:pStyle w:val="BodyText"/>
      </w:pPr>
      <w:r>
        <w:t xml:space="preserve">The result (Table </w:t>
      </w:r>
      <w:hyperlink w:anchor="tab:sdg4-lexical-audit">
        <w:r>
          <w:rPr>
            <w:rStyle w:val="Hyperlink"/>
          </w:rPr>
          <w:t xml:space="preserve">8</w:t>
        </w:r>
      </w:hyperlink>
      <w:r>
        <w:t xml:space="preserve">) is a negative test of the false-positive hypothesis: education-specific vocabulary alone covers 44.4% of SDG 4-assigned records and overlaps ML vocabulary in a further 23.8%, while only 11.8% are ML-only. The comparison sets are inverted, with ML-only vocabulary dominating the non-SDG4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89" w:name="tab:sdg4-lexical-audit"/>
    <w:p>
      <w:pPr>
        <w:pStyle w:val="TableCaption"/>
      </w:pPr>
      <w:r>
        <w:t xml:space="preserve">SDG 4 lexical artefact audit.</w:t>
      </w:r>
    </w:p>
    <w:tbl>
      <w:tblPr>
        <w:tblStyle w:val="Table"/>
        <w:tblW w:type="auto" w:w="0"/>
        <w:tblLook w:firstRow="0" w:lastRow="0" w:firstColumn="0" w:lastColumn="0" w:noHBand="0" w:noVBand="0" w:val="0000"/>
        <w:jc w:val="start"/>
        <w:tblCaption w:val="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89"/>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90"/>
    <w:bookmarkStart w:id="94" w:name="app:centroid-similarity"/>
    <w:p>
      <w:pPr>
        <w:pStyle w:val="Heading2"/>
      </w:pPr>
      <w:r>
        <w:t xml:space="preserve">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92" name="Picture"/>
            <a:graphic>
              <a:graphicData uri="http://schemas.openxmlformats.org/drawingml/2006/picture">
                <pic:pic>
                  <pic:nvPicPr>
                    <pic:cNvPr descr="fig8_centroid_similarity_heatmap.png" id="93" name="Picture"/>
                    <pic:cNvPicPr>
                      <a:picLocks noChangeArrowheads="1" noChangeAspect="1"/>
                    </pic:cNvPicPr>
                  </pic:nvPicPr>
                  <pic:blipFill>
                    <a:blip r:embed="rId91"/>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Pairwise cosine similarity between canonical SDG centroids (lower triangle). SDG 13 and SDG 17 sit close together (cosine 0.821), as do SDGs 1, 8, and 10.</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clear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94"/>
    <w:bookmarkEnd w:id="95"/>
    <w:bookmarkStart w:id="97" w:name="app:semantic-gap-text-interpretability"/>
    <w:p>
      <w:pPr>
        <w:pStyle w:val="Heading1"/>
      </w:pPr>
      <w:r>
        <w:t xml:space="preserve">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TF-IDF terms most distinctive of the research and policy sides for each SDG. Generic ML methodology vocabulary, such as</w:t>
      </w:r>
      <w:r>
        <w:t xml:space="preserve"> </w:t>
      </w:r>
      <w:r>
        <w:rPr>
          <w:iCs/>
          <w:i/>
        </w:rPr>
        <w:t xml:space="preserve">model</w:t>
      </w:r>
      <w:r>
        <w:t xml:space="preserve">,</w:t>
      </w:r>
      <w:r>
        <w:t xml:space="preserve"> </w:t>
      </w:r>
      <w:r>
        <w:rPr>
          <w:iCs/>
          <w:i/>
        </w:rPr>
        <w:t xml:space="preserve">learning</w:t>
      </w:r>
      <w:r>
        <w:t xml:space="preserve">, and</w:t>
      </w:r>
      <w:r>
        <w:t xml:space="preserve"> </w:t>
      </w:r>
      <w:r>
        <w:rPr>
          <w:iCs/>
          <w:i/>
        </w:rPr>
        <w:t xml:space="preserve">neural</w:t>
      </w:r>
      <w:r>
        <w:t xml:space="preserve">, is excluded because these terms reflect the search strategy rather than SDG-specific framing.</w:t>
      </w:r>
    </w:p>
    <w:p>
      <w:pPr>
        <w:pStyle w:val="BodyText"/>
      </w:pPr>
      <w:r>
        <w:t xml:space="preserve">The contrasts echo the embedding patterns. The widest-gap SDGs (3, 13, 11, 7, 1, 8, 14; raw gap</w:t>
      </w:r>
      <w:r>
        <w:t xml:space="preserve"> </w:t>
      </w:r>
      <m:oMath>
        <m:r>
          <m:rPr>
            <m:sty m:val="p"/>
          </m:rPr>
          <m:t>≥</m:t>
        </m:r>
        <m:r>
          <m:t>0.358</m:t>
        </m:r>
      </m:oMath>
      <w:r>
        <w:t xml:space="preserve">) consistently oppose technical measurement vocabulary,</w:t>
      </w:r>
      <w:r>
        <w:t xml:space="preserve"> </w:t>
      </w:r>
      <w:r>
        <w:rPr>
          <w:iCs/>
          <w:i/>
        </w:rPr>
        <w:t xml:space="preserve">detection</w:t>
      </w:r>
      <w:r>
        <w:t xml:space="preserve">,</w:t>
      </w:r>
      <w:r>
        <w:t xml:space="preserve"> </w:t>
      </w:r>
      <w:r>
        <w:rPr>
          <w:iCs/>
          <w:i/>
        </w:rPr>
        <w:t xml:space="preserve">images</w:t>
      </w:r>
      <w:r>
        <w:t xml:space="preserve">,</w:t>
      </w:r>
      <w:r>
        <w:t xml:space="preserve"> </w:t>
      </w:r>
      <w:r>
        <w:rPr>
          <w:iCs/>
          <w:i/>
        </w:rPr>
        <w:t xml:space="preserve">yield</w:t>
      </w:r>
      <w:r>
        <w:t xml:space="preserve">,</w:t>
      </w:r>
      <w:r>
        <w:t xml:space="preserve"> </w:t>
      </w:r>
      <w:r>
        <w:rPr>
          <w:iCs/>
          <w:i/>
        </w:rPr>
        <w:t xml:space="preserve">regression</w:t>
      </w:r>
      <w:r>
        <w:t xml:space="preserve">, against institutional or welfare terms,</w:t>
      </w:r>
      <w:r>
        <w:t xml:space="preserve"> </w:t>
      </w:r>
      <w:r>
        <w:rPr>
          <w:iCs/>
          <w:i/>
        </w:rPr>
        <w:t xml:space="preserve">climate</w:t>
      </w:r>
      <w:r>
        <w:t xml:space="preserve">,</w:t>
      </w:r>
      <w:r>
        <w:t xml:space="preserve"> </w:t>
      </w:r>
      <w:r>
        <w:rPr>
          <w:iCs/>
          <w:i/>
        </w:rPr>
        <w:t xml:space="preserve">emissions</w:t>
      </w:r>
      <w:r>
        <w:t xml:space="preserve">,</w:t>
      </w:r>
      <w:r>
        <w:t xml:space="preserve"> </w:t>
      </w:r>
      <w:r>
        <w:rPr>
          <w:iCs/>
          <w:i/>
        </w:rPr>
        <w:t xml:space="preserve">health</w:t>
      </w:r>
      <w:r>
        <w:t xml:space="preserve">,</w:t>
      </w:r>
      <w:r>
        <w:t xml:space="preserve"> </w:t>
      </w:r>
      <w:r>
        <w:rPr>
          <w:iCs/>
          <w:i/>
        </w:rPr>
        <w:t xml:space="preserve">employment</w:t>
      </w:r>
      <w:r>
        <w:t xml:space="preserve">. SDG 13 clarifies the pattern most sharply: research terms centre on crop monitoring and soil science while policy terms address national emissions commitments. Lower-gap SDGs (17, 15, 4, 10, 5, 6, 2; raw gap</w:t>
      </w:r>
      <w:r>
        <w:t xml:space="preserve"> </w:t>
      </w:r>
      <m:oMath>
        <m:r>
          <m:rPr>
            <m:sty m:val="p"/>
          </m:rPr>
          <m:t>≤</m:t>
        </m:r>
        <m:r>
          <m:t>0.299</m:t>
        </m:r>
      </m:oMath>
      <w:r>
        <w:t xml:space="preserve">) show narrower lexical divergence, such as the shared technology-infrastructure frame of SDG 9 or the social-media-partnership overlap of SDG 17. A further observation cuts across both groups: agricultural-AI vocabulary (</w:t>
      </w:r>
      <w:r>
        <w:rPr>
          <w:iCs/>
          <w:i/>
        </w:rPr>
        <w:t xml:space="preserve">crop</w:t>
      </w:r>
      <w:r>
        <w:t xml:space="preserve">,</w:t>
      </w:r>
      <w:r>
        <w:t xml:space="preserve"> </w:t>
      </w:r>
      <w:r>
        <w:rPr>
          <w:iCs/>
          <w:i/>
        </w:rPr>
        <w:t xml:space="preserve">soil</w:t>
      </w:r>
      <w:r>
        <w:t xml:space="preserve">,</w:t>
      </w:r>
      <w:r>
        <w:t xml:space="preserve"> </w:t>
      </w:r>
      <w:r>
        <w:rPr>
          <w:iCs/>
          <w:i/>
        </w:rPr>
        <w:t xml:space="preserve">agricultural</w:t>
      </w:r>
      <w:r>
        <w:t xml:space="preserve">) appears on the research side of nine unrelated SDGs, reflecting a strong agri-tech skew in the AI-for-SDG literature rather than alignment with each goal’s policy domain.</w:t>
      </w:r>
    </w:p>
    <w:bookmarkStart w:id="96" w:name="Xb5f46f72c0b4de0e21636b87797eca5bfe52583"/>
    <w:p>
      <w:pPr>
        <w:pStyle w:val="TableCaption"/>
      </w:pPr>
      <w:r>
        <w:t xml:space="preserve">Distinctive TF-IDF terms for all 17 SDGs.</w:t>
      </w:r>
    </w:p>
    <w:tbl>
      <w:tblPr>
        <w:tblStyle w:val="Table"/>
        <w:tblW w:type="auto" w:w="0"/>
        <w:tblLook w:firstRow="1" w:lastRow="0" w:firstColumn="0" w:lastColumn="0" w:noHBand="0" w:noVBand="0" w:val="0020"/>
        <w:jc w:val="start"/>
        <w:tblCaption w:val="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96"/>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97"/>
    <w:bookmarkStart w:id="101" w:name="app:distributional-table"/>
    <w:p>
      <w:pPr>
        <w:pStyle w:val="Heading1"/>
      </w:pPr>
      <w:r>
        <w:t xml:space="preserve">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appeared to preserve the semantic gap ranking (</w:t>
      </w:r>
      <m:oMath>
        <m:r>
          <m:t>ρ</m:t>
        </m:r>
        <m:r>
          <m:rPr>
            <m:sty m:val="p"/>
          </m:rPr>
          <m:t>=</m:t>
        </m:r>
        <m:r>
          <m:t>0.44</m:t>
        </m:r>
      </m:oMath>
      <w:r>
        <w:t xml:space="preserve">–</w:t>
      </w:r>
      <m:oMath>
        <m:r>
          <m:t>0.91</m:t>
        </m:r>
      </m:oMath>
      <w:r>
        <w:t xml:space="preserve">), an agreement driven by the shared</w:t>
      </w:r>
      <w:r>
        <w:t xml:space="preserve"> </w:t>
      </w:r>
      <w:r>
        <w:rPr>
          <w:iCs/>
          <w:i/>
        </w:rPr>
        <w:t xml:space="preserve">register</w:t>
      </w:r>
      <w:r>
        <w:t xml:space="preserve"> </w:t>
      </w:r>
      <w:r>
        <w:t xml:space="preserve">component rather than by topic. Decomposing the raw gap into adjusted semantic gap</w:t>
      </w:r>
      <w:r>
        <w:t xml:space="preserve"> </w:t>
      </w:r>
      <m:oMath>
        <m:r>
          <m:rPr>
            <m:sty m:val="p"/>
          </m:rPr>
          <m:t>+</m:t>
        </m:r>
      </m:oMath>
      <w:r>
        <w:t xml:space="preserve"> </w:t>
      </w:r>
      <w:r>
        <w:t xml:space="preserve">register component, the register component has</w:t>
      </w:r>
      <w:r>
        <w:t xml:space="preserve"> </w:t>
      </w:r>
      <w:r>
        <w:rPr>
          <w:iCs/>
          <w:i/>
        </w:rPr>
        <w:t xml:space="preserve">larger</w:t>
      </w:r>
      <w:r>
        <w:t xml:space="preserve"> </w:t>
      </w:r>
      <w:r>
        <w:t xml:space="preserve">variance than the raw gap itself (variance ratio</w:t>
      </w:r>
      <w:r>
        <w:t xml:space="preserve"> </w:t>
      </w:r>
      <m:oMath>
        <m:r>
          <m:t>1.210</m:t>
        </m:r>
      </m:oMath>
      <w:r>
        <w:t xml:space="preserve">) and correlates</w:t>
      </w:r>
      <w:r>
        <w:t xml:space="preserve"> </w:t>
      </w:r>
      <m:oMath>
        <m:r>
          <m:t>ρ</m:t>
        </m:r>
        <m:r>
          <m:rPr>
            <m:sty m:val="p"/>
          </m:rPr>
          <m:t>=</m:t>
        </m:r>
        <m:r>
          <m:t>0.748</m:t>
        </m:r>
      </m:oMath>
      <w:r>
        <w:t xml:space="preserve"> </w:t>
      </w:r>
      <w:r>
        <w:t xml:space="preserve">with the raw gap while correlating</w:t>
      </w:r>
      <w:r>
        <w:t xml:space="preserve"> </w:t>
      </w:r>
      <m:oMath>
        <m:r>
          <m:t>ρ</m:t>
        </m:r>
        <m:r>
          <m:rPr>
            <m:sty m:val="p"/>
          </m:rPr>
          <m:t>=</m:t>
        </m:r>
        <m:r>
          <m:rPr>
            <m:sty m:val="p"/>
          </m:rPr>
          <m:t>−</m:t>
        </m:r>
        <m:r>
          <m:t>0.235</m:t>
        </m:r>
      </m:oMath>
      <w:r>
        <w:t xml:space="preserve"> </w:t>
      </w:r>
      <w:r>
        <w:t xml:space="preserve">with the adjusted semantic gap. The distribution-aware metrics therefore tracked register, agreeing with the raw semantic gap but diverging from the adjusted one. After INLP removes register, the metrics instead track topic-space</w:t>
      </w:r>
      <w:r>
        <w:t xml:space="preserve"> </w:t>
      </w:r>
      <w:r>
        <w:rPr>
          <w:iCs/>
          <w:i/>
        </w:rPr>
        <w:t xml:space="preserve">shape</w:t>
      </w:r>
      <w:r>
        <w:t xml:space="preserve">: most correlate moderately with the adjusted semantic gap (</w:t>
      </w:r>
      <m:oMath>
        <m:r>
          <m:t>ρ</m:t>
        </m:r>
        <m:r>
          <m:rPr>
            <m:sty m:val="p"/>
          </m:rPr>
          <m:t>=</m:t>
        </m:r>
        <m:r>
          <m:t>0.44</m:t>
        </m:r>
      </m:oMath>
      <w:r>
        <w:t xml:space="preserve">–</w:t>
      </w:r>
      <m:oMath>
        <m:r>
          <m:t>0.69</m:t>
        </m:r>
      </m:oMath>
      <w:r>
        <w:t xml:space="preserve">;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 and squared MMD are weaker (</w:t>
      </w:r>
      <m:oMath>
        <m:r>
          <m:t>ρ</m:t>
        </m:r>
        <m:r>
          <m:rPr>
            <m:sty m:val="p"/>
          </m:rPr>
          <m:t>≈</m:t>
        </m:r>
        <m:r>
          <m:t>0.24</m:t>
        </m:r>
      </m:oMath>
      <w:r>
        <w:t xml:space="preserve">–</w:t>
      </w:r>
      <m:oMath>
        <m:r>
          <m:t>0.26</m:t>
        </m:r>
      </m:oMath>
      <w:r>
        <w:t xml:space="preserve">), and Sinkhorn, C2ST, and Grassmann show near-zero or negative agreement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and they elevate SDGs 12 and 1 at the margin. The adjusted semantic gap is a mean-direction estimate, and the distribution-aware distances are a complementary full-distribution view. The covariance-shape term of the Gaussian-2-Wasserstein distance accounts for</w:t>
      </w:r>
      <w:r>
        <w:t xml:space="preserve"> </w:t>
      </w:r>
      <m:oMath>
        <m:r>
          <m:rPr>
            <m:sty m:val="p"/>
          </m:rPr>
          <m:t>≈</m:t>
        </m:r>
        <m:r>
          <m:t>79</m:t>
        </m:r>
        <m:r>
          <m:rPr>
            <m:sty m:val="p"/>
          </m:rPr>
          <m:t>%</m:t>
        </m:r>
      </m:oMath>
      <w:r>
        <w:t xml:space="preserve"> </w:t>
      </w:r>
      <w:r>
        <w:t xml:space="preserve">of the squared distance on average, and a replicate run under the adjacent seed changes the largest per-SDG gap by at most</w:t>
      </w:r>
      <w:r>
        <w:t xml:space="preserve"> </w:t>
      </w:r>
      <m:oMath>
        <m:r>
          <m:t>0.008</m:t>
        </m:r>
      </m:oMath>
      <w:r>
        <w:t xml:space="preserve">.</w:t>
      </w:r>
    </w:p>
    <w:bookmarkStart w:id="98" w:name="tab:distributional-gap"/>
    <w:p>
      <w:pPr>
        <w:pStyle w:val="TableCaption"/>
      </w:pPr>
      <w:r>
        <w:t xml:space="preserve">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98"/>
    <w:bookmarkStart w:id="99" w:name="tab:distributional-gap-cont"/>
    <w:p>
      <w:pPr>
        <w:pStyle w:val="TableCaption"/>
      </w:pPr>
      <w:r>
        <w:t xml:space="preserve">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99"/>
    <w:p>
      <w:pPr>
        <w:pStyle w:val="BodyText"/>
      </w:pPr>
      <w:r>
        <w:t xml:space="preserve">The H1 decomposition is not an artefact of the centroid estimate. Table </w:t>
      </w:r>
      <w:hyperlink w:anchor="tab:distributional-h1">
        <w:r>
          <w:rPr>
            <w:rStyle w:val="Hyperlink"/>
          </w:rPr>
          <w:t xml:space="preserve">12</w:t>
        </w:r>
      </w:hyperlink>
      <w:r>
        <w:t xml:space="preserve"> </w:t>
      </w:r>
      <w:r>
        <w:t xml:space="preserve">re-runs the H1a–H1d correlation grid with the distribution-aware semantic gaps (adjusted embeddings) in place of the centroid gap; predictors and test are identical to Table </w:t>
      </w:r>
      <w:hyperlink w:anchor="tab:interaction">
        <w:r>
          <w:rPr>
            <w:rStyle w:val="Hyperlink"/>
          </w:rPr>
          <w:t xml:space="preserve">5</w:t>
        </w:r>
      </w:hyperlink>
      <w:r>
        <w:t xml:space="preserve">. The positive coverage–framing association replicates under the mean-complementary family: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distance (</w:t>
      </w:r>
      <m:oMath>
        <m:r>
          <m:t>ρ</m:t>
        </m:r>
        <m:r>
          <m:rPr>
            <m:sty m:val="p"/>
          </m:rPr>
          <m:t>=</m:t>
        </m:r>
        <m:r>
          <m:t>0.537</m:t>
        </m:r>
      </m:oMath>
      <w:r>
        <w:t xml:space="preserve">,</w:t>
      </w:r>
      <w:r>
        <w:t xml:space="preserve"> </w:t>
      </w:r>
      <m:oMath>
        <m:r>
          <m:t>p</m:t>
        </m:r>
        <m:r>
          <m:rPr>
            <m:sty m:val="p"/>
          </m:rPr>
          <m:t>=</m:t>
        </m:r>
        <m:r>
          <m:t>0.027</m:t>
        </m:r>
      </m:oMath>
      <w:r>
        <w:t xml:space="preserve">) reproduce the adjusted association at magnitudes close to the centroid estimate (</w:t>
      </w:r>
      <m:oMath>
        <m:r>
          <m:t>ρ</m:t>
        </m:r>
        <m:r>
          <m:rPr>
            <m:sty m:val="p"/>
          </m:rPr>
          <m:t>=</m:t>
        </m:r>
        <m:r>
          <m:t>0.544</m:t>
        </m:r>
      </m:oMath>
      <w:r>
        <w:t xml:space="preserve">,</w:t>
      </w:r>
      <w:r>
        <w:t xml:space="preserve"> </w:t>
      </w:r>
      <m:oMath>
        <m:r>
          <m:t>p</m:t>
        </m:r>
        <m:r>
          <m:rPr>
            <m:sty m:val="p"/>
          </m:rPr>
          <m:t>=</m:t>
        </m:r>
        <m:r>
          <m:t>0.025</m:t>
        </m:r>
      </m:oMath>
      <w:r>
        <w:t xml:space="preserve">), with squared RBF MMD directionally consistent (</w:t>
      </w:r>
      <m:oMath>
        <m:r>
          <m:t>ρ</m:t>
        </m:r>
        <m:r>
          <m:rPr>
            <m:sty m:val="p"/>
          </m:rPr>
          <m:t>=</m:t>
        </m:r>
        <m:r>
          <m:t>0.473</m:t>
        </m:r>
      </m:oMath>
      <w:r>
        <w:t xml:space="preserve">,</w:t>
      </w:r>
      <w:r>
        <w:t xml:space="preserve"> </w:t>
      </w:r>
      <m:oMath>
        <m:r>
          <m:t>p</m:t>
        </m:r>
        <m:r>
          <m:rPr>
            <m:sty m:val="p"/>
          </m:rPr>
          <m:t>=</m:t>
        </m:r>
        <m:r>
          <m:t>0.056</m:t>
        </m:r>
      </m:oMath>
      <w:r>
        <w:t xml:space="preserve">). The distributional view also shows a difference the mean-direction estimate misses: H1c (research coverage) is positively associated with the sliced-Wasserstein (</w:t>
      </w:r>
      <m:oMath>
        <m:r>
          <m:t>ρ</m:t>
        </m:r>
        <m:r>
          <m:rPr>
            <m:sty m:val="p"/>
          </m:rPr>
          <m:t>=</m:t>
        </m:r>
        <m:r>
          <m:t>0.539</m:t>
        </m:r>
      </m:oMath>
      <w:r>
        <w:t xml:space="preserve">,</w:t>
      </w:r>
      <w:r>
        <w:t xml:space="preserve"> </w:t>
      </w:r>
      <m:oMath>
        <m:r>
          <m:t>p</m:t>
        </m:r>
        <m:r>
          <m:rPr>
            <m:sty m:val="p"/>
          </m:rPr>
          <m:t>=</m:t>
        </m:r>
        <m:r>
          <m:t>0.028</m:t>
        </m:r>
      </m:oMath>
      <w:r>
        <w:t xml:space="preserve">), energy-distance (</w:t>
      </w:r>
      <m:oMath>
        <m:r>
          <m:t>ρ</m:t>
        </m:r>
        <m:r>
          <m:rPr>
            <m:sty m:val="p"/>
          </m:rPr>
          <m:t>=</m:t>
        </m:r>
        <m:r>
          <m:t>0.532</m:t>
        </m:r>
      </m:oMath>
      <w:r>
        <w:t xml:space="preserve">,</w:t>
      </w:r>
      <w:r>
        <w:t xml:space="preserve"> </w:t>
      </w:r>
      <m:oMath>
        <m:r>
          <m:t>p</m:t>
        </m:r>
        <m:r>
          <m:rPr>
            <m:sty m:val="p"/>
          </m:rPr>
          <m:t>=</m:t>
        </m:r>
        <m:r>
          <m:t>0.030</m:t>
        </m:r>
      </m:oMath>
      <w:r>
        <w:t xml:space="preserve">), and squared RBF MMD (</w:t>
      </w:r>
      <m:oMath>
        <m:r>
          <m:t>ρ</m:t>
        </m:r>
        <m:r>
          <m:rPr>
            <m:sty m:val="p"/>
          </m:rPr>
          <m:t>=</m:t>
        </m:r>
        <m:r>
          <m:t>0.551</m:t>
        </m:r>
      </m:oMath>
      <w:r>
        <w:t xml:space="preserve">,</w:t>
      </w:r>
      <w:r>
        <w:t xml:space="preserve"> </w:t>
      </w:r>
      <m:oMath>
        <m:r>
          <m:t>p</m:t>
        </m:r>
        <m:r>
          <m:rPr>
            <m:sty m:val="p"/>
          </m:rPr>
          <m:t>=</m:t>
        </m:r>
        <m:r>
          <m:t>0.024</m:t>
        </m:r>
      </m:oMath>
      <w:r>
        <w:t xml:space="preserve">) gaps even though it is null on the centroid gap, suggesting research-heavy goals show wider distributional shape divergence without a wider mean-direction gap. The association is not uniform across the battery: exact EMD and Chamfer agree moderately with the centroid ranking (Table </w:t>
      </w:r>
      <w:hyperlink w:anchor="tab:distributional-gap">
        <w:r>
          <w:rPr>
            <w:rStyle w:val="Hyperlink"/>
          </w:rPr>
          <w:t xml:space="preserve">10</w:t>
        </w:r>
      </w:hyperlink>
      <w:r>
        <w:t xml:space="preserve">, final row) yet show no H1a association, and every metric whose ranking agreement is weak or negative is null as well, with one exception: Sinkhorn’s H1d is significantly negative (</w:t>
      </w:r>
      <m:oMath>
        <m:r>
          <m:t>ρ</m:t>
        </m:r>
        <m:r>
          <m:rPr>
            <m:sty m:val="p"/>
          </m:rPr>
          <m:t>=</m:t>
        </m:r>
        <m:r>
          <m:rPr>
            <m:sty m:val="p"/>
          </m:rPr>
          <m:t>−</m:t>
        </m:r>
        <m:r>
          <m:t>0.505</m:t>
        </m:r>
      </m:oMath>
      <w:r>
        <w:t xml:space="preserve">,</w:t>
      </w:r>
      <w:r>
        <w:t xml:space="preserve"> </w:t>
      </w:r>
      <m:oMath>
        <m:r>
          <m:t>p</m:t>
        </m:r>
        <m:r>
          <m:rPr>
            <m:sty m:val="p"/>
          </m:rPr>
          <m:t>=</m:t>
        </m:r>
        <m:r>
          <m:t>0.041</m:t>
        </m:r>
      </m:oMath>
      <w:r>
        <w:t xml:space="preserve">), an outlier consistent with its near-zero ranking agreement. Excluding SDG 4 leaves every conclusion unchanged (full</w:t>
      </w:r>
      <w:r>
        <w:t xml:space="preserve"> </w:t>
      </w:r>
      <m:oMath>
        <m:r>
          <m:t>n</m:t>
        </m:r>
        <m:r>
          <m:rPr>
            <m:sty m:val="p"/>
          </m:rPr>
          <m:t>=</m:t>
        </m:r>
        <m:r>
          <m:t>16</m:t>
        </m:r>
      </m:oMath>
      <w:r>
        <w:t xml:space="preserve"> </w:t>
      </w:r>
      <w:r>
        <w:t xml:space="preserve">grid in the analysis JSON).</w:t>
      </w:r>
    </w:p>
    <w:bookmarkStart w:id="100" w:name="tab:distributional-h1"/>
    <w:p>
      <w:pPr>
        <w:pStyle w:val="TableCaption"/>
      </w:pPr>
      <w:r>
        <w:t xml:space="preserve">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100"/>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101"/>
    <w:bookmarkStart w:id="105" w:name="app:sample-stability"/>
    <w:p>
      <w:pPr>
        <w:pStyle w:val="Heading1"/>
      </w:pPr>
      <w:r>
        <w:t xml:space="preserve">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mean within-SDG semantic gap was recalculated, and the policy-text calibration-bias summary was re-estimated. Policy-side quantities were held fixed.</w:t>
      </w:r>
    </w:p>
    <w:bookmarkStart w:id="102" w:name="tab:sample-stability"/>
    <w:p>
      <w:pPr>
        <w:pStyle w:val="TableCaption"/>
      </w:pPr>
      <w:r>
        <w:t xml:space="preserve">Sample-stability ladder for the research corpus.</w:t>
      </w:r>
    </w:p>
    <w:tbl>
      <w:tblPr>
        <w:tblStyle w:val="Table"/>
        <w:tblW w:type="auto" w:w="0"/>
        <w:tblLook w:firstRow="0" w:lastRow="0" w:firstColumn="0" w:lastColumn="0" w:noHBand="0" w:noVBand="0" w:val="0000"/>
        <w:jc w:val="start"/>
        <w:tblCaption w:val="Sample-stability ladder for the research corpus."/>
      </w:tblPr>
      <w:tblGrid>
        <w:gridCol w:w="1980"/>
        <w:gridCol w:w="1980"/>
        <w:gridCol w:w="1980"/>
        <w:gridCol w:w="1980"/>
      </w:tblGrid>
      <w:tr>
        <w:tc>
          <w:tcPr/>
          <w:p>
            <w:pPr>
              <w:pStyle w:val="Compact"/>
              <w:jc w:val="left"/>
            </w:pPr>
            <w:r>
              <w:t xml:space="preserve">Sample Size</w:t>
            </w:r>
          </w:p>
        </w:tc>
        <w:tc>
          <w:tcPr/>
          <w:p>
            <w:pPr>
              <w:pStyle w:val="Compact"/>
            </w:pPr>
          </w:p>
        </w:tc>
        <w:tc>
          <w:tcPr/>
          <w:p>
            <w:pPr>
              <w:pStyle w:val="Compact"/>
            </w:pPr>
          </w:p>
        </w:tc>
        <w:tc>
          <w:tcPr/>
          <w:p>
            <w:pPr>
              <w:pStyle w:val="Compact"/>
            </w:pPr>
          </w:p>
        </w:tc>
      </w:tr>
      <w:tr>
        <w:tc>
          <w:tcPr/>
          <w:p>
            <w:pPr>
              <w:pStyle w:val="Compact"/>
              <w:jc w:val="left"/>
            </w:pPr>
            <w:r>
              <w:t xml:space="preserve">coverage shares</w:t>
            </w:r>
          </w:p>
        </w:tc>
        <w:tc>
          <w:tcPr/>
          <w:p>
            <w:pPr>
              <w:pStyle w:val="Compact"/>
            </w:pPr>
          </w:p>
        </w:tc>
        <w:tc>
          <w:tcPr/>
          <w:p>
            <w:pPr>
              <w:pStyle w:val="Compact"/>
            </w:pPr>
          </w:p>
        </w:tc>
        <w:tc>
          <w:tcPr/>
          <w:p>
            <w:pPr>
              <w:pStyle w:val="Compact"/>
            </w:pPr>
          </w:p>
        </w:tc>
      </w:tr>
      <w:tr>
        <w:tc>
          <w:tcPr/>
          <w:p>
            <w:pPr>
              <w:pStyle w:val="Compact"/>
              <w:jc w:val="left"/>
            </w:pPr>
            <w:r>
              <w:t xml:space="preserve">semantic gap</w:t>
            </w:r>
          </w:p>
        </w:tc>
        <w:tc>
          <w:tcPr/>
          <w:p>
            <w:pPr>
              <w:pStyle w:val="Compact"/>
            </w:pPr>
          </w:p>
        </w:tc>
        <w:tc>
          <w:tcPr/>
          <w:p>
            <w:pPr>
              <w:pStyle w:val="Compact"/>
            </w:pPr>
          </w:p>
        </w:tc>
        <w:tc>
          <w:tcPr/>
          <w:p>
            <w:pPr>
              <w:pStyle w:val="Compact"/>
            </w:pPr>
          </w:p>
        </w:tc>
      </w:tr>
      <w:tr>
        <w:tc>
          <w:tcPr/>
          <w:p>
            <w:pPr>
              <w:pStyle w:val="Compact"/>
              <w:jc w:val="left"/>
            </w:pPr>
            <w:r>
              <w:t xml:space="preserve">calibration bias</w:t>
            </w: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0.006</m:t>
              </m:r>
            </m:oMath>
          </w:p>
        </w:tc>
        <w:tc>
          <w:tcPr/>
          <w:p>
            <w:pPr>
              <w:pStyle w:val="Compact"/>
              <w:jc w:val="center"/>
            </w:pPr>
            <m:oMath>
              <m:r>
                <m:t>0.417</m:t>
              </m:r>
              <m:r>
                <m:rPr>
                  <m:sty m:val="p"/>
                </m:rPr>
                <m:t>±</m:t>
              </m:r>
              <m:r>
                <m:t>0.020</m:t>
              </m:r>
            </m:oMath>
          </w:p>
        </w:tc>
        <w:tc>
          <w:tcPr/>
          <w:p>
            <w:pPr>
              <w:pStyle w:val="Compact"/>
              <w:jc w:val="center"/>
            </w:pPr>
            <m:oMath>
              <m:r>
                <m:t>0.122</m:t>
              </m:r>
              <m:r>
                <m:rPr>
                  <m:sty m:val="p"/>
                </m:rPr>
                <m:t>±</m:t>
              </m:r>
              <m:r>
                <m:t>0.008</m:t>
              </m:r>
            </m:oMath>
          </w:p>
        </w:tc>
      </w:tr>
      <w:tr>
        <w:tc>
          <w:tcPr/>
          <w:p>
            <w:pPr>
              <w:pStyle w:val="Compact"/>
              <w:jc w:val="left"/>
            </w:pPr>
            <w:r>
              <w:t xml:space="preserve">2,000</w:t>
            </w:r>
          </w:p>
        </w:tc>
        <w:tc>
          <w:tcPr/>
          <w:p>
            <w:pPr>
              <w:pStyle w:val="Compact"/>
              <w:jc w:val="center"/>
            </w:pPr>
            <m:oMath>
              <m:r>
                <m:t>0.004</m:t>
              </m:r>
            </m:oMath>
          </w:p>
        </w:tc>
        <w:tc>
          <w:tcPr/>
          <w:p>
            <w:pPr>
              <w:pStyle w:val="Compact"/>
              <w:jc w:val="center"/>
            </w:pPr>
            <m:oMath>
              <m:r>
                <m:t>0.384</m:t>
              </m:r>
              <m:r>
                <m:rPr>
                  <m:sty m:val="p"/>
                </m:rPr>
                <m:t>±</m:t>
              </m:r>
              <m:r>
                <m:t>0.015</m:t>
              </m:r>
            </m:oMath>
          </w:p>
        </w:tc>
        <w:tc>
          <w:tcPr/>
          <w:p>
            <w:pPr>
              <w:pStyle w:val="Compact"/>
              <w:jc w:val="center"/>
            </w:pPr>
            <m:oMath>
              <m:r>
                <m:t>0.122</m:t>
              </m:r>
              <m:r>
                <m:rPr>
                  <m:sty m:val="p"/>
                </m:rPr>
                <m:t>±</m:t>
              </m:r>
              <m:r>
                <m:t>0.006</m:t>
              </m:r>
            </m:oMath>
          </w:p>
        </w:tc>
      </w:tr>
      <w:tr>
        <w:tc>
          <w:tcPr/>
          <w:p>
            <w:pPr>
              <w:pStyle w:val="Compact"/>
              <w:jc w:val="left"/>
            </w:pPr>
            <w:r>
              <w:t xml:space="preserve">5,000</w:t>
            </w:r>
          </w:p>
        </w:tc>
        <w:tc>
          <w:tcPr/>
          <w:p>
            <w:pPr>
              <w:pStyle w:val="Compact"/>
              <w:jc w:val="center"/>
            </w:pPr>
            <m:oMath>
              <m:r>
                <m:t>0.003</m:t>
              </m:r>
            </m:oMath>
          </w:p>
        </w:tc>
        <w:tc>
          <w:tcPr/>
          <w:p>
            <w:pPr>
              <w:pStyle w:val="Compact"/>
              <w:jc w:val="center"/>
            </w:pPr>
            <m:oMath>
              <m:r>
                <m:t>0.358</m:t>
              </m:r>
              <m:r>
                <m:rPr>
                  <m:sty m:val="p"/>
                </m:rPr>
                <m:t>±</m:t>
              </m:r>
              <m:r>
                <m:t>0.009</m:t>
              </m:r>
            </m:oMath>
          </w:p>
        </w:tc>
        <w:tc>
          <w:tcPr/>
          <w:p>
            <w:pPr>
              <w:pStyle w:val="Compact"/>
              <w:jc w:val="center"/>
            </w:pPr>
            <m:oMath>
              <m:r>
                <m:t>0.122</m:t>
              </m:r>
              <m:r>
                <m:rPr>
                  <m:sty m:val="p"/>
                </m:rPr>
                <m:t>±</m:t>
              </m:r>
              <m:r>
                <m:t>0.004</m:t>
              </m:r>
            </m:oMath>
          </w:p>
        </w:tc>
      </w:tr>
      <w:tr>
        <w:tc>
          <w:tcPr/>
          <w:p>
            <w:pPr>
              <w:pStyle w:val="Compact"/>
              <w:jc w:val="left"/>
            </w:pPr>
            <w:r>
              <w:t xml:space="preserve">10,000</w:t>
            </w:r>
          </w:p>
        </w:tc>
        <w:tc>
          <w:tcPr/>
          <w:p>
            <w:pPr>
              <w:pStyle w:val="Compact"/>
              <w:jc w:val="center"/>
            </w:pPr>
            <m:oMath>
              <m:r>
                <m:t>0.002</m:t>
              </m:r>
            </m:oMath>
          </w:p>
        </w:tc>
        <w:tc>
          <w:tcPr/>
          <w:p>
            <w:pPr>
              <w:pStyle w:val="Compact"/>
              <w:jc w:val="center"/>
            </w:pPr>
            <m:oMath>
              <m:r>
                <m:t>0.350</m:t>
              </m:r>
              <m:r>
                <m:rPr>
                  <m:sty m:val="p"/>
                </m:rPr>
                <m:t>±</m:t>
              </m:r>
              <m:r>
                <m:t>0.006</m:t>
              </m:r>
            </m:oMath>
          </w:p>
        </w:tc>
        <w:tc>
          <w:tcPr/>
          <w:p>
            <w:pPr>
              <w:pStyle w:val="Compact"/>
              <w:jc w:val="center"/>
            </w:pPr>
            <m:oMath>
              <m:r>
                <m:t>0.122</m:t>
              </m:r>
              <m:r>
                <m:rPr>
                  <m:sty m:val="p"/>
                </m:rPr>
                <m:t>±</m:t>
              </m:r>
              <m:r>
                <m:t>0.002</m:t>
              </m:r>
            </m:oMath>
          </w:p>
        </w:tc>
      </w:tr>
      <w:tr>
        <w:tc>
          <w:tcPr/>
          <w:p>
            <w:pPr>
              <w:pStyle w:val="Compact"/>
              <w:jc w:val="left"/>
            </w:pPr>
            <w:r>
              <w:t xml:space="preserve">20,000</w:t>
            </w:r>
          </w:p>
        </w:tc>
        <w:tc>
          <w:tcPr/>
          <w:p>
            <w:pPr>
              <w:pStyle w:val="Compact"/>
              <w:jc w:val="center"/>
            </w:pPr>
            <m:oMath>
              <m:r>
                <m:t>0.001</m:t>
              </m:r>
            </m:oMath>
          </w:p>
        </w:tc>
        <w:tc>
          <w:tcPr/>
          <w:p>
            <w:pPr>
              <w:pStyle w:val="Compact"/>
              <w:jc w:val="center"/>
            </w:pPr>
            <m:oMath>
              <m:r>
                <m:t>0.344</m:t>
              </m:r>
              <m:r>
                <m:rPr>
                  <m:sty m:val="p"/>
                </m:rPr>
                <m:t>±</m:t>
              </m:r>
              <m:r>
                <m:t>0.005</m:t>
              </m:r>
            </m:oMath>
          </w:p>
        </w:tc>
        <w:tc>
          <w:tcPr/>
          <w:p>
            <w:pPr>
              <w:pStyle w:val="Compact"/>
              <w:jc w:val="center"/>
            </w:pPr>
            <m:oMath>
              <m:r>
                <m:t>0.122</m:t>
              </m:r>
              <m:r>
                <m:rPr>
                  <m:sty m:val="p"/>
                </m:rPr>
                <m:t>±</m:t>
              </m:r>
              <m:r>
                <m:t>0.002</m:t>
              </m:r>
            </m:oMath>
          </w:p>
        </w:tc>
      </w:tr>
      <w:tr>
        <w:tc>
          <w:tcPr/>
          <w:p>
            <w:pPr>
              <w:pStyle w:val="Compact"/>
              <w:jc w:val="left"/>
            </w:pPr>
            <w:r>
              <w:t xml:space="preserve">50,000</w:t>
            </w:r>
          </w:p>
        </w:tc>
        <w:tc>
          <w:tcPr/>
          <w:p>
            <w:pPr>
              <w:pStyle w:val="Compact"/>
              <w:jc w:val="center"/>
            </w:pPr>
            <m:oMath>
              <m:r>
                <m:t>0.001</m:t>
              </m:r>
            </m:oMath>
          </w:p>
        </w:tc>
        <w:tc>
          <w:tcPr/>
          <w:p>
            <w:pPr>
              <w:pStyle w:val="Compact"/>
              <w:jc w:val="center"/>
            </w:pPr>
            <m:oMath>
              <m:r>
                <m:t>0.342</m:t>
              </m:r>
              <m:r>
                <m:rPr>
                  <m:sty m:val="p"/>
                </m:rPr>
                <m:t>±</m:t>
              </m:r>
              <m:r>
                <m:t>0.003</m:t>
              </m:r>
            </m:oMath>
          </w:p>
        </w:tc>
        <w:tc>
          <w:tcPr/>
          <w:p>
            <w:pPr>
              <w:pStyle w:val="Compact"/>
              <w:jc w:val="center"/>
            </w:pPr>
            <m:oMath>
              <m:r>
                <m:t>0.122</m:t>
              </m:r>
              <m:r>
                <m:rPr>
                  <m:sty m:val="p"/>
                </m:rPr>
                <m:t>±</m:t>
              </m:r>
              <m:r>
                <m:t>0.001</m:t>
              </m:r>
            </m:oMath>
          </w:p>
        </w:tc>
      </w:tr>
      <w:tr>
        <w:tc>
          <w:tcPr/>
          <w:p>
            <w:pPr>
              <w:pStyle w:val="Compact"/>
              <w:jc w:val="left"/>
            </w:pPr>
            <w:r>
              <w:t xml:space="preserve">100,000</w:t>
            </w:r>
          </w:p>
        </w:tc>
        <w:tc>
          <w:tcPr/>
          <w:p>
            <w:pPr>
              <w:pStyle w:val="Compact"/>
              <w:jc w:val="center"/>
            </w:pPr>
            <m:oMath>
              <m:r>
                <m:t>0.001</m:t>
              </m:r>
            </m:oMath>
          </w:p>
        </w:tc>
        <w:tc>
          <w:tcPr/>
          <w:p>
            <w:pPr>
              <w:pStyle w:val="Compact"/>
              <w:jc w:val="center"/>
            </w:pPr>
            <m:oMath>
              <m:r>
                <m:t>0.341</m:t>
              </m:r>
              <m:r>
                <m:rPr>
                  <m:sty m:val="p"/>
                </m:rPr>
                <m:t>±</m:t>
              </m:r>
              <m:r>
                <m:t>0.003</m:t>
              </m:r>
            </m:oMath>
          </w:p>
        </w:tc>
        <w:tc>
          <w:tcPr/>
          <w:p>
            <w:pPr>
              <w:pStyle w:val="Compact"/>
              <w:jc w:val="center"/>
            </w:pPr>
            <m:oMath>
              <m:r>
                <m:t>0.122</m:t>
              </m:r>
              <m:r>
                <m:rPr>
                  <m:sty m:val="p"/>
                </m:rPr>
                <m:t>±</m:t>
              </m:r>
              <m:r>
                <m:t>0.001</m:t>
              </m:r>
            </m:oMath>
          </w:p>
        </w:tc>
      </w:tr>
      <w:tr>
        <w:tc>
          <w:tcPr/>
          <w:p>
            <w:pPr>
              <w:pStyle w:val="Compact"/>
              <w:jc w:val="left"/>
            </w:pPr>
            <w:r>
              <w:t xml:space="preserve">200,000</w:t>
            </w:r>
          </w:p>
        </w:tc>
        <w:tc>
          <w:tcPr/>
          <w:p>
            <w:pPr>
              <w:pStyle w:val="Compact"/>
              <w:jc w:val="center"/>
            </w:pPr>
            <m:oMath>
              <m:r>
                <m:t>0.000</m:t>
              </m:r>
            </m:oMath>
          </w:p>
        </w:tc>
        <w:tc>
          <w:tcPr/>
          <w:p>
            <w:pPr>
              <w:pStyle w:val="Compact"/>
              <w:jc w:val="center"/>
            </w:pPr>
            <m:oMath>
              <m:r>
                <m:t>0.340</m:t>
              </m:r>
              <m:r>
                <m:rPr>
                  <m:sty m:val="p"/>
                </m:rPr>
                <m:t>±</m:t>
              </m:r>
              <m:r>
                <m:t>0.002</m:t>
              </m:r>
            </m:oMath>
          </w:p>
        </w:tc>
        <w:tc>
          <w:tcPr/>
          <w:p>
            <w:pPr>
              <w:pStyle w:val="Compact"/>
              <w:jc w:val="center"/>
            </w:pPr>
            <m:oMath>
              <m:r>
                <m:t>0.122</m:t>
              </m:r>
              <m:r>
                <m:rPr>
                  <m:sty m:val="p"/>
                </m:rPr>
                <m:t>±</m:t>
              </m:r>
              <m:r>
                <m:t>0.001</m:t>
              </m:r>
            </m:oMath>
          </w:p>
        </w:tc>
      </w:tr>
      <w:tr>
        <w:tc>
          <w:tcPr/>
          <w:p>
            <w:pPr>
              <w:pStyle w:val="Compact"/>
              <w:jc w:val="left"/>
            </w:pPr>
            <w:r>
              <w:t xml:space="preserve">500,000</w:t>
            </w:r>
          </w:p>
        </w:tc>
        <w:tc>
          <w:tcPr/>
          <w:p>
            <w:pPr>
              <w:pStyle w:val="Compact"/>
              <w:jc w:val="center"/>
            </w:pPr>
            <m:oMath>
              <m:r>
                <m:t>0.000</m:t>
              </m:r>
            </m:oMath>
          </w:p>
        </w:tc>
        <w:tc>
          <w:tcPr/>
          <w:p>
            <w:pPr>
              <w:pStyle w:val="Compact"/>
              <w:jc w:val="center"/>
            </w:pPr>
            <m:oMath>
              <m:r>
                <m:t>0.340</m:t>
              </m:r>
              <m:r>
                <m:rPr>
                  <m:sty m:val="p"/>
                </m:rPr>
                <m:t>±</m:t>
              </m:r>
              <m:r>
                <m:t>0.001</m:t>
              </m:r>
            </m:oMath>
          </w:p>
        </w:tc>
        <w:tc>
          <w:tcPr/>
          <w:p>
            <w:pPr>
              <w:pStyle w:val="Compact"/>
              <w:jc w:val="center"/>
            </w:pPr>
            <m:oMath>
              <m:r>
                <m:t>0.122</m:t>
              </m:r>
              <m:r>
                <m:rPr>
                  <m:sty m:val="p"/>
                </m:rPr>
                <m:t>±</m:t>
              </m:r>
              <m:r>
                <m:t>0.000</m:t>
              </m:r>
            </m:oMath>
          </w:p>
        </w:tc>
      </w:tr>
      <w:tr>
        <w:tc>
          <w:tcPr/>
          <w:p>
            <w:pPr>
              <w:pStyle w:val="Compact"/>
              <w:jc w:val="left"/>
            </w:pPr>
            <w:r>
              <w:t xml:space="preserve">1,000,000</w:t>
            </w:r>
          </w:p>
        </w:tc>
        <w:tc>
          <w:tcPr/>
          <w:p>
            <w:pPr>
              <w:pStyle w:val="Compact"/>
              <w:jc w:val="center"/>
            </w:pPr>
            <m:oMath>
              <m:r>
                <m:t>0.000</m:t>
              </m:r>
            </m:oMath>
          </w:p>
        </w:tc>
        <w:tc>
          <w:tcPr/>
          <w:p>
            <w:pPr>
              <w:pStyle w:val="Compact"/>
              <w:jc w:val="center"/>
            </w:pPr>
            <m:oMath>
              <m:r>
                <m:t>0.340</m:t>
              </m:r>
              <m:r>
                <m:rPr>
                  <m:sty m:val="p"/>
                </m:rPr>
                <m:t>±</m:t>
              </m:r>
              <m:r>
                <m:t>0.001</m:t>
              </m:r>
            </m:oMath>
          </w:p>
        </w:tc>
        <w:tc>
          <w:tcPr/>
          <w:p>
            <w:pPr>
              <w:pStyle w:val="Compact"/>
              <w:jc w:val="center"/>
            </w:pPr>
            <m:oMath>
              <m:r>
                <m:t>0.122</m:t>
              </m:r>
              <m:r>
                <m:rPr>
                  <m:sty m:val="p"/>
                </m:rPr>
                <m:t>±</m:t>
              </m:r>
              <m:r>
                <m:t>0.000</m:t>
              </m:r>
            </m:oMath>
          </w:p>
        </w:tc>
      </w:tr>
      <w:tr>
        <w:tc>
          <w:tcPr/>
          <w:p>
            <w:pPr>
              <w:pStyle w:val="Compact"/>
              <w:jc w:val="left"/>
            </w:pPr>
            <w:r>
              <w:t xml:space="preserve">2,000,000</w:t>
            </w:r>
          </w:p>
        </w:tc>
        <w:tc>
          <w:tcPr/>
          <w:p>
            <w:pPr>
              <w:pStyle w:val="Compact"/>
              <w:jc w:val="center"/>
            </w:pPr>
            <m:oMath>
              <m:r>
                <m:t>0.000</m:t>
              </m:r>
            </m:oMath>
          </w:p>
        </w:tc>
        <w:tc>
          <w:tcPr/>
          <w:p>
            <w:pPr>
              <w:pStyle w:val="Compact"/>
              <w:jc w:val="center"/>
            </w:pPr>
            <m:oMath>
              <m:r>
                <m:t>0.340</m:t>
              </m:r>
              <m:r>
                <m:rPr>
                  <m:sty m:val="p"/>
                </m:rPr>
                <m:t>±</m:t>
              </m:r>
              <m:r>
                <m:t>0.000</m:t>
              </m:r>
            </m:oMath>
          </w:p>
        </w:tc>
        <w:tc>
          <w:tcPr/>
          <w:p>
            <w:pPr>
              <w:pStyle w:val="Compact"/>
              <w:jc w:val="center"/>
            </w:pPr>
            <m:oMath>
              <m:r>
                <m:t>0.122</m:t>
              </m:r>
              <m:r>
                <m:rPr>
                  <m:sty m:val="p"/>
                </m:rPr>
                <m:t>±</m:t>
              </m:r>
              <m:r>
                <m:t>0.000</m:t>
              </m:r>
            </m:oMath>
          </w:p>
        </w:tc>
      </w:tr>
      <w:tr>
        <w:tc>
          <w:tcPr/>
          <w:p>
            <w:pPr>
              <w:pStyle w:val="Compact"/>
              <w:jc w:val="left"/>
            </w:pPr>
            <w:r>
              <w:t xml:space="preserve">Full corpus</w:t>
            </w:r>
          </w:p>
        </w:tc>
        <w:tc>
          <w:tcPr/>
          <w:p>
            <w:pPr>
              <w:pStyle w:val="Compact"/>
              <w:jc w:val="center"/>
            </w:pPr>
            <w:r>
              <w:t xml:space="preserve">–</w:t>
            </w:r>
          </w:p>
        </w:tc>
        <w:tc>
          <w:tcPr/>
          <w:p>
            <w:pPr>
              <w:pStyle w:val="Compact"/>
              <w:jc w:val="center"/>
            </w:pPr>
            <m:oMath>
              <m:r>
                <m:t>0.340</m:t>
              </m:r>
            </m:oMath>
          </w:p>
        </w:tc>
        <w:tc>
          <w:tcPr/>
          <w:p>
            <w:pPr>
              <w:pStyle w:val="Compact"/>
              <w:jc w:val="center"/>
            </w:pPr>
            <m:oMath>
              <m:r>
                <m:t>0.122</m:t>
              </m:r>
            </m:oMath>
          </w:p>
        </w:tc>
      </w:tr>
    </w:tbl>
    <w:bookmarkEnd w:id="102"/>
    <w:p>
      <w:pPr>
        <w:pStyle w:val="BodyText"/>
      </w:pPr>
      <w:r>
        <w:rPr>
          <w:iCs/>
          <w:i/>
        </w:rPr>
        <w:t xml:space="preserve">Notes:</w:t>
      </w:r>
      <w:r>
        <w:t xml:space="preserve"> </w:t>
      </w:r>
      <w:r>
        <w:t xml:space="preserve">Mean SD of SDG coverage shares is the unweighted mean of the per-SDG standard deviations in research coverage share across the 100 random draws at each sampled tier. The remaining columns report the mean and draw-to-draw standard deviation of the headline downstream metrics. The full-corpus row is deterministic and therefore has no variance term.</w:t>
      </w:r>
    </w:p>
    <w:p>
      <w:pPr>
        <w:pStyle w:val="BodyText"/>
      </w:pPr>
      <w:r>
        <w:rPr>
          <w:iCs/>
          <w:i/>
        </w:rPr>
        <w:t xml:space="preserve">Plain-language guide.</w:t>
      </w:r>
      <w:r>
        <w:rPr>
          <w:rStyle w:val="FootnoteReference"/>
        </w:rPr>
        <w:footnoteReference w:id="103"/>
      </w:r>
      <w:r>
        <w:t xml:space="preserve"> </w:t>
      </w:r>
      <w:r>
        <w:t xml:space="preserve">The stability ladder shows that the clearest practical plateau appears by roughly 200</w:t>
      </w:r>
      <w:r>
        <w:t xml:space="preserve">,</w:t>
      </w:r>
      <w:r>
        <w:t xml:space="preserve">000 papers, where the mean semantic gap (</w:t>
      </w:r>
      <m:oMath>
        <m:r>
          <m:rPr>
            <m:sty m:val="p"/>
          </m:rPr>
          <m:t>∼</m:t>
        </m:r>
      </m:oMath>
      <w:r>
        <w:t xml:space="preserve">0.340) and policy-text calibration bias (</w:t>
      </w:r>
      <m:oMath>
        <m:r>
          <m:rPr>
            <m:sty m:val="p"/>
          </m:rPr>
          <m:t>∼</m:t>
        </m:r>
      </m:oMath>
      <w:r>
        <w:t xml:space="preserve">0.122) already stabilise to within 0.001 of their full-corpus values.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104" w:name="app:balanced-subset-stability"/>
      <w:bookmarkEnd w:id="104"/>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105"/>
    <w:bookmarkStart w:id="107" w:name="app:model-selection"/>
    <w:p>
      <w:pPr>
        <w:pStyle w:val="Heading1"/>
      </w:pPr>
      <w:r>
        <w:t xml:space="preserve">Model Selection: Grid Search Protocol and Rationale</w:t>
      </w:r>
    </w:p>
    <w:p>
      <w:pPr>
        <w:pStyle w:val="FirstParagraph"/>
      </w:pPr>
      <w:r>
        <w:t xml:space="preserve">Three model families were considered under 5-fold GroupKFold cross-validation (document-level grouping, not random splits) on the pooled training data (n=52</w:t>
      </w:r>
      <w:r>
        <w:t xml:space="preserve">,</w:t>
      </w:r>
      <w:r>
        <w:t xml:space="preserve">835); the held-out test set (n=9</w:t>
      </w:r>
      <w:r>
        <w:t xml:space="preserve">,</w:t>
      </w:r>
      <w:r>
        <w:t xml:space="preserve">338) was never touched during any grid search. Logistic regression, which exposes interpretable per-dimension coefficients, and a multi-layer perceptron (MLP) were compared; random forests and gradient boosting were excluded because the embedding space is already a learned representation, so bagged trees add ensemble complexity without a mechanism for improvement or per-dimension interpretability.</w:t>
      </w:r>
    </w:p>
    <w:p>
      <w:pPr>
        <w:pStyle w:val="BodyText"/>
      </w:pPr>
      <w:r>
        <w:t xml:space="preserve">The LR grid searched C</w:t>
      </w:r>
      <w:r>
        <w:t xml:space="preserve"> </w:t>
      </w:r>
      <m:oMath>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 class_weight</w:t>
      </w:r>
      <w:r>
        <w:t xml:space="preserve"> </w:t>
      </w:r>
      <m:oMath>
        <m:r>
          <m:rPr>
            <m:sty m:val="p"/>
          </m:rPr>
          <m:t>∈</m:t>
        </m:r>
        <m:r>
          <m:rPr>
            <m:sty m:val="p"/>
          </m:rPr>
          <m:t>{</m:t>
        </m:r>
        <m:r>
          <m:rPr>
            <m:nor/>
            <m:sty m:val="p"/>
          </m:rPr>
          <m:t>None</m:t>
        </m:r>
        <m:r>
          <m:rPr>
            <m:sty m:val="p"/>
          </m:rPr>
          <m:t>,</m:t>
        </m:r>
        <m:r>
          <m:rPr>
            <m:nor/>
            <m:sty m:val="p"/>
          </m:rPr>
          <m:t>balanced</m:t>
        </m:r>
        <m:r>
          <m:rPr>
            <m:sty m:val="p"/>
          </m:rPr>
          <m:t>}</m:t>
        </m:r>
      </m:oMath>
      <w:r>
        <w:t xml:space="preserve">; the MLP grid swept n_layers</w:t>
      </w:r>
      <w:r>
        <w:t xml:space="preserve"> </w:t>
      </w:r>
      <m:oMath>
        <m:r>
          <m:rPr>
            <m:sty m:val="p"/>
          </m:rPr>
          <m:t>∈</m:t>
        </m:r>
        <m:r>
          <m:rPr>
            <m:sty m:val="p"/>
          </m:rPr>
          <m:t>{</m:t>
        </m:r>
        <m:r>
          <m:t>2</m:t>
        </m:r>
        <m:r>
          <m:rPr>
            <m:sty m:val="p"/>
          </m:rPr>
          <m:t>,</m:t>
        </m:r>
        <m:r>
          <m:t>3</m:t>
        </m:r>
        <m:r>
          <m:rPr>
            <m:sty m:val="p"/>
          </m:rPr>
          <m:t>,</m:t>
        </m:r>
        <m:r>
          <m:t>4</m:t>
        </m:r>
        <m:r>
          <m:rPr>
            <m:sty m:val="p"/>
          </m:rPr>
          <m:t>,</m:t>
        </m:r>
        <m:r>
          <m:t>6</m:t>
        </m:r>
        <m:r>
          <m:rPr>
            <m:sty m:val="p"/>
          </m:rPr>
          <m:t>}</m:t>
        </m:r>
      </m:oMath>
      <w:r>
        <w:t xml:space="preserve"> </w:t>
      </w:r>
      <m:oMath>
        <m:r>
          <m:rPr>
            <m:sty m:val="p"/>
          </m:rPr>
          <m:t>×</m:t>
        </m:r>
      </m:oMath>
      <w:r>
        <w:t xml:space="preserve"> </w:t>
      </w:r>
      <w:r>
        <w:t xml:space="preserve">hidden_size</w:t>
      </w:r>
      <w:r>
        <w:t xml:space="preserve"> </w:t>
      </w:r>
      <m:oMath>
        <m:r>
          <m:rPr>
            <m:sty m:val="p"/>
          </m:rPr>
          <m:t>∈</m:t>
        </m:r>
        <m:r>
          <m:rPr>
            <m:sty m:val="p"/>
          </m:rPr>
          <m:t>{</m:t>
        </m:r>
        <m:r>
          <m:t>256</m:t>
        </m:r>
        <m:r>
          <m:rPr>
            <m:sty m:val="p"/>
          </m:rPr>
          <m:t>,</m:t>
        </m:r>
        <m:r>
          <m:t>384</m:t>
        </m:r>
        <m:r>
          <m:rPr>
            <m:sty m:val="p"/>
          </m:rPr>
          <m:t>}</m:t>
        </m:r>
      </m:oMath>
      <w:r>
        <w:t xml:space="preserve"> </w:t>
      </w:r>
      <m:oMath>
        <m:r>
          <m:rPr>
            <m:sty m:val="p"/>
          </m:rPr>
          <m:t>×</m:t>
        </m:r>
      </m:oMath>
      <w:r>
        <w:t xml:space="preserve"> </w:t>
      </w:r>
      <w:r>
        <w:t xml:space="preserve">lr</w:t>
      </w:r>
      <w:r>
        <w:t xml:space="preserve"> </w:t>
      </w:r>
      <m:oMath>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 weight_decay=0, dropout=0.3, AdamW, and early stopping. Grid search over architecture depth, hidden size, and learning rate showed negligible performance variance across the MLP configurations (CV macro-</w:t>
      </w:r>
      <m:oMath>
        <m:sSub>
          <m:e>
            <m:r>
              <m:t>F</m:t>
            </m:r>
          </m:e>
          <m:sub>
            <m:r>
              <m:t>1</m:t>
            </m:r>
          </m:sub>
        </m:sSub>
      </m:oMath>
      <w:r>
        <w:t xml:space="preserve"> </w:t>
      </w:r>
      <w:r>
        <w:t xml:space="preserve">=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confirming that architecture is not a binding constraint (Table </w:t>
      </w:r>
      <w:hyperlink w:anchor="tab:model-selection-ranking">
        <w:r>
          <w:rPr>
            <w:rStyle w:val="Hyperlink"/>
          </w:rPr>
          <w:t xml:space="preserve">2</w:t>
        </w:r>
      </w:hyperlink>
      <w:r>
        <w:t xml:space="preserve">).</w:t>
      </w:r>
    </w:p>
    <w:p>
      <w:pPr>
        <w:pStyle w:val="BodyText"/>
      </w:pPr>
      <w:r>
        <w:rPr>
          <w:bCs/>
          <w:b/>
        </w:rPr>
        <w:t xml:space="preserve">Champion: LR (C=3.0, L2).</w:t>
      </w:r>
      <w:r>
        <w:t xml:space="preserve"> </w:t>
      </w:r>
      <w:r>
        <w:t xml:space="preserve">LR (C=3.0, L2, class_weight=None) was chosen over the highest-scoring MLP despite a 0.0091 macro-</w:t>
      </w:r>
      <m:oMath>
        <m:sSub>
          <m:e>
            <m:r>
              <m:t>F</m:t>
            </m:r>
          </m:e>
          <m:sub>
            <m:r>
              <m:t>1</m:t>
            </m:r>
          </m:sub>
        </m:sSub>
      </m:oMath>
      <w:r>
        <w:t xml:space="preserve"> </w:t>
      </w:r>
      <w:r>
        <w:t xml:space="preserve">gap: LR requires one free parameter (C) and no hidden layers, dropout, learning-rate tuning, or early stopping, and it provides 768 signed coefficients per SDG class, each directly attributable to a specific semantic dimension, whereas MLP’s hidden layers diffuse this information across non-linear transformations. For this study’s purpose – building an interpretable supervised reference to compare corpora, not a classifier built to label single documents – LR is chosen for transparency, not superior accuracy. The MLP test macro-</w:t>
      </w:r>
      <m:oMath>
        <m:sSub>
          <m:e>
            <m:r>
              <m:t>F</m:t>
            </m:r>
          </m:e>
          <m:sub>
            <m:r>
              <m:t>1</m:t>
            </m:r>
          </m:sub>
        </m:sSub>
      </m:oMath>
      <w:r>
        <w:t xml:space="preserve"> </w:t>
      </w:r>
      <w:r>
        <w:t xml:space="preserve">(0.826) cited in Section </w:t>
      </w:r>
      <w:hyperlink w:anchor="sec:validation">
        <w:r>
          <w:rPr>
            <w:rStyle w:val="Hyperlink"/>
          </w:rPr>
          <w:t xml:space="preserve">4.1</w:t>
        </w:r>
      </w:hyperlink>
      <w:r>
        <w:t xml:space="preserve"> </w:t>
      </w:r>
      <w:r>
        <w:t xml:space="preserve">is a single held-out evaluation of the champion MLP retrained on the full training pool (n=52</w:t>
      </w:r>
      <w:r>
        <w:t xml:space="preserve">,</w:t>
      </w:r>
      <w:r>
        <w:t xml:space="preserve">835), distinct from the CV mean of 0.8192 </w:t>
      </w:r>
      <m:oMath>
        <m:r>
          <m:rPr>
            <m:sty m:val="p"/>
          </m:rPr>
          <m:t>±</m:t>
        </m:r>
      </m:oMath>
      <w:r>
        <w:t xml:space="preserve"> 0.0032 above. The full candidate ranking is reproduced in Table </w:t>
      </w:r>
      <w:hyperlink w:anchor="tab:model-selection-appendix">
        <w:r>
          <w:rPr>
            <w:rStyle w:val="Hyperlink"/>
          </w:rPr>
          <w:t xml:space="preserve">14</w:t>
        </w:r>
      </w:hyperlink>
      <w:r>
        <w:t xml:space="preserve">.</w:t>
      </w:r>
    </w:p>
    <w:p>
      <w:pPr>
        <w:pStyle w:val="BodyText"/>
      </w:pPr>
      <w:r>
        <w:t xml:space="preserve">Held-out test performance (Table </w:t>
      </w:r>
      <w:hyperlink w:anchor="tab:validation">
        <w:r>
          <w:rPr>
            <w:rStyle w:val="Hyperlink"/>
          </w:rPr>
          <w:t xml:space="preserve">3</w:t>
        </w:r>
      </w:hyperlink>
      <w:r>
        <w:t xml:space="preserve">) quantifies the cost of each simplification. The champion MLP reaches macro-F1 0.826 and micro-F1 0.8396, only  1.0 and  0.9 points above LR (0.816 / 0.831) with a near-identical per-SDG ordering (Spearman</w:t>
      </w:r>
      <w:r>
        <w:t xml:space="preserve"> </w:t>
      </w:r>
      <m:oMath>
        <m:r>
          <m:t>ρ</m:t>
        </m:r>
        <m:r>
          <m:rPr>
            <m:sty m:val="p"/>
          </m:rPr>
          <m:t>=</m:t>
        </m:r>
        <m:r>
          <m:t>0.98</m:t>
        </m:r>
      </m:oMath>
      <w:r>
        <w:t xml:space="preserve">), so its extra capacity yields negligible accuracy and the interpretability-first choice of LR is justified. The zero-shot nearest-centroid baseline is weaker – macro-F1 0.760 and micro-F1 0.7743,  5.6 points below LR – because it has no trained decision boundary, only the unweighted mean of reference embeddings, and the penalty is concentrated on the goals hardest to separate for all methods (SDG 10: 0.485 vs 0.610; SDG 17: 0.671). ZS still recovers the same broad ranking (</w:t>
      </w:r>
      <m:oMath>
        <m:r>
          <m:t>ρ</m:t>
        </m:r>
        <m:r>
          <m:rPr>
            <m:sty m:val="p"/>
          </m:rPr>
          <m:t>=</m:t>
        </m:r>
        <m:r>
          <m:t>0.93</m:t>
        </m:r>
      </m:oMath>
      <w:r>
        <w:t xml:space="preserve"> </w:t>
      </w:r>
      <w:r>
        <w:t xml:space="preserve">vs LR) and far exceeds the 1/17 random baseline, so it remains a usable unsupervised sanity check rather than a competitive classifier.</w:t>
      </w:r>
    </w:p>
    <w:bookmarkStart w:id="106" w:name="tab:model-selection-appendix"/>
    <w:p>
      <w:pPr>
        <w:pStyle w:val="TableCaption"/>
      </w:pPr>
      <w:r>
        <w:t xml:space="preserve">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106"/>
    <w:bookmarkEnd w:id="107"/>
    <w:bookmarkStart w:id="124" w:name="app:register-removal"/>
    <w:p>
      <w:pPr>
        <w:pStyle w:val="Heading1"/>
      </w:pPr>
      <w:r>
        <w:t xml:space="preserve">Register Removal: Convergence and Validation</w:t>
      </w:r>
    </w:p>
    <w:bookmarkStart w:id="111" w:name="app:register-robustness"/>
    <w:p>
      <w:pPr>
        <w:pStyle w:val="Heading2"/>
      </w:pPr>
      <w:r>
        <w:t xml:space="preserve">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108"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108"/>
    <w:bookmarkStart w:id="110"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a rapid early drop followed by a plateau, is identical, confirming that the stopping behaviour reported above is a property of the INLP procedure rather than of the MPNet embedding space.</w:t>
      </w:r>
    </w:p>
    <w:bookmarkStart w:id="109" w:name="tab:iterative-register-check"/>
    <w:p>
      <w:pPr>
        <w:pStyle w:val="TableCaption"/>
      </w:pPr>
      <w:r>
        <w:t xml:space="preserve">Stratified iterative register-removal diagnostic across the three encoder tracks.</w:t>
      </w:r>
    </w:p>
    <w:tbl>
      <w:tblPr>
        <w:tblStyle w:val="Table"/>
        <w:tblW w:type="auto" w:w="0"/>
        <w:tblLook w:firstRow="1" w:lastRow="0" w:firstColumn="0" w:lastColumn="0" w:noHBand="0" w:noVBand="0" w:val="0020"/>
        <w:jc w:val="start"/>
        <w:tblCaption w:val="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109"/>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110"/>
    <w:bookmarkEnd w:id="111"/>
    <w:bookmarkStart w:id="123" w:name="app:register-validation"/>
    <w:p>
      <w:pPr>
        <w:pStyle w:val="Heading2"/>
      </w:pPr>
      <w:r>
        <w:t xml:space="preserve">Construct Validation</w:t>
      </w:r>
    </w:p>
    <w:bookmarkStart w:id="112" w:name="sec:regval-purpose"/>
    <w:p>
      <w:pPr>
        <w:pStyle w:val="Heading3"/>
      </w:pPr>
      <w:r>
        <w:t xml:space="preserve">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establishes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establish three things: whether the adjustment removes a large corpus-separable component; whether the removal is accompanied by evidence that SDG (topic) structure is being destroyed; and whether apparent residual register signals survive controlled samples. It cannot establish that the removed subspace is identical to the measured linguistic register features, and the register score used here is a small set of surface indicators; the validation is single-encoder and sample-limited.</w:t>
      </w:r>
    </w:p>
    <w:bookmarkEnd w:id="112"/>
    <w:bookmarkStart w:id="115" w:name="sec:regval-operationalisation"/>
    <w:p>
      <w:pPr>
        <w:pStyle w:val="Heading3"/>
      </w:pPr>
      <w:r>
        <w:t xml:space="preserve">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408 segments per sample (12 per SDG per corpus, seed 42), and the same frozen projection matrix</w:t>
      </w:r>
      <w:r>
        <w:t xml:space="preserve"> </w:t>
      </w:r>
      <m:oMath>
        <m:r>
          <m:t>G</m:t>
        </m:r>
      </m:oMath>
      <w:r>
        <w:t xml:space="preserve"> </w:t>
      </w:r>
      <w:r>
        <w:t xml:space="preserve">as the main analysis. A small set of long flagship reports (the SDSN Sustainable Development Reports 2024 and 2025, the UNDP Human Development Report 2021/22, the WHO report on ethics and governance of AI for health, the EU AI Act, and two UN SDG progress reports) contribute 25 segments across 15 of the 17 SDGs, often as near-duplicates of the same document. These segments are style outliers (mean sentence length 276.9 words vs. 35.6 for the remaining units; nominalisation rate 20.0 vs. 38.8) and, because segments of one document sit close in embedding space, can create fake pooled correlations. The main test therefore uses a one-segment-per-document design (global deduplication by source document; 408 distinct parents, no multi-parent units), which caps each flagship document at one segment and replaces excluded segments with other policy segments from the same SDG, drawn mostly from shorter national and thematic monitoring reports. The two designs differ in makeup, which the Limitations return to. Table </w:t>
      </w:r>
      <w:hyperlink w:anchor="tab:register-sample-design">
        <w:r>
          <w:rPr>
            <w:rStyle w:val="Hyperlink"/>
          </w:rPr>
          <w:t xml:space="preserve">16</w:t>
        </w:r>
      </w:hyperlink>
      <w:r>
        <w:t xml:space="preserve"> </w:t>
      </w:r>
      <w:r>
        <w:t xml:space="preserve">summarises both.</w:t>
      </w:r>
    </w:p>
    <w:bookmarkStart w:id="113" w:name="tab:register-sample-design"/>
    <w:p>
      <w:pPr>
        <w:pStyle w:val="TableCaption"/>
      </w:pPr>
      <w:r>
        <w:t xml:space="preserve">Validation sample construction: the two designs.</w:t>
      </w:r>
    </w:p>
    <w:tbl>
      <w:tblPr>
        <w:tblStyle w:val="Table"/>
        <w:tblW w:type="auto" w:w="0"/>
        <w:tblLook w:firstRow="1" w:lastRow="0" w:firstColumn="0" w:lastColumn="0" w:noHBand="0" w:noVBand="0" w:val="0020"/>
        <w:jc w:val="start"/>
        <w:tblCaption w:val="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113"/>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There it emerges that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114" w:name="tab:register-feature-contrasts"/>
    <w:p>
      <w:pPr>
        <w:pStyle w:val="TableCaption"/>
      </w:pPr>
      <w:r>
        <w:t xml:space="preserve">Corpus register-feature contrasts (original sample).</w:t>
      </w:r>
    </w:p>
    <w:tbl>
      <w:tblPr>
        <w:tblStyle w:val="Table"/>
        <w:tblW w:type="auto" w:w="0"/>
        <w:tblLook w:firstRow="1" w:lastRow="0" w:firstColumn="0" w:lastColumn="0" w:noHBand="0" w:noVBand="0" w:val="0020"/>
        <w:jc w:val="start"/>
        <w:tblCaption w:val="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114"/>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115"/>
    <w:bookmarkStart w:id="116" w:name="sec:regval-discrimination"/>
    <w:p>
      <w:pPr>
        <w:pStyle w:val="Heading3"/>
      </w:pPr>
      <w:r>
        <w:t xml:space="preserve">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clearly above chance.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116"/>
    <w:bookmarkStart w:id="117" w:name="sec:regval-topic"/>
    <w:p>
      <w:pPr>
        <w:pStyle w:val="Heading3"/>
      </w:pPr>
      <w:r>
        <w:t xml:space="preserve">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117"/>
    <w:bookmarkStart w:id="118" w:name="sec:regval-residual"/>
    <w:p>
      <w:pPr>
        <w:pStyle w:val="Heading3"/>
      </w:pPr>
      <w:r>
        <w:t xml:space="preserve">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118"/>
    <w:bookmarkStart w:id="119" w:name="sec:regval-conclusion"/>
    <w:p>
      <w:pPr>
        <w:pStyle w:val="Heading3"/>
      </w:pPr>
      <w:r>
        <w:t xml:space="preserve">Validation Conclusion</w:t>
      </w:r>
    </w:p>
    <w:p>
      <w:pPr>
        <w:pStyle w:val="FirstParagraph"/>
      </w:pPr>
      <w:r>
        <w:t xml:space="preserve">The validation supports the following claims.</w:t>
      </w:r>
    </w:p>
    <w:p>
      <w:pPr>
        <w:numPr>
          <w:ilvl w:val="0"/>
          <w:numId w:val="1006"/>
        </w:numPr>
      </w:pPr>
      <w:r>
        <w:t xml:space="preserve">The adjustment removes a substantial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established, and residual corpus-linear signal remains.</w:t>
      </w:r>
    </w:p>
    <w:p>
      <w:pPr>
        <w:pStyle w:val="FirstParagraph"/>
      </w:pPr>
      <w:r>
        <w:t xml:space="preserve">The register interpretation is therefore consistent with the validation evidence rather than confirmed by it; the main text describes it as resting on partial, not complete, empirical support.</w:t>
      </w:r>
    </w:p>
    <w:bookmarkEnd w:id="119"/>
    <w:bookmarkStart w:id="122" w:name="sec:regval-limitations"/>
    <w:p>
      <w:pPr>
        <w:pStyle w:val="Heading3"/>
      </w:pPr>
      <w:r>
        <w:t xml:space="preserve">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partial rather than complete.</w:t>
      </w:r>
    </w:p>
    <w:bookmarkStart w:id="120" w:name="tab:register-validation-accuracy"/>
    <w:p>
      <w:pPr>
        <w:pStyle w:val="TableCaption"/>
      </w:pPr>
      <w:r>
        <w:t xml:space="preserve">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120"/>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121" w:name="tab:register-validation-selectivity"/>
    <w:p>
      <w:pPr>
        <w:pStyle w:val="TableCaption"/>
      </w:pPr>
      <w:r>
        <w:t xml:space="preserve">17-way SDG (topic) selectivity before and after register removal (original per-SDG-dedup sample, draw 1).</w:t>
      </w:r>
    </w:p>
    <w:tbl>
      <w:tblPr>
        <w:tblStyle w:val="Table"/>
        <w:tblW w:type="auto" w:w="0"/>
        <w:tblLook w:firstRow="1" w:lastRow="0" w:firstColumn="0" w:lastColumn="0" w:noHBand="0" w:noVBand="0" w:val="0020"/>
        <w:jc w:val="start"/>
        <w:tblCaption w:val="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121"/>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122"/>
    <w:bookmarkEnd w:id="123"/>
    <w:bookmarkEnd w:id="124"/>
    <w:bookmarkStart w:id="146" w:name="app:cross-method-section"/>
    <w:p>
      <w:pPr>
        <w:pStyle w:val="Heading1"/>
      </w:pPr>
      <w:r>
        <w:t xml:space="preserve">Supplementary Cross-Method Data</w:t>
      </w:r>
    </w:p>
    <w:bookmarkStart w:id="125" w:name="app:cross-method-gap-values"/>
    <w:p>
      <w:pPr>
        <w:pStyle w:val="Heading2"/>
      </w:pPr>
      <w:r>
        <w:t xml:space="preserve">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7</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(Assumption A19); semantic gap policy centroids use a 50-segment-per-document cap. The zero-shot nearest-centroid method is reported for the canonical MPNet encoder only (Appendix </w:t>
      </w:r>
      <w:hyperlink w:anchor="app:assignment-method-comparison">
        <w:r>
          <w:rPr>
            <w:rStyle w:val="Hyperlink"/>
          </w:rPr>
          <w:t xml:space="preserve">14.5</w:t>
        </w:r>
      </w:hyperlink>
      <w:r>
        <w:t xml:space="preserve">).</w:t>
      </w:r>
    </w:p>
    <w:bookmarkEnd w:id="125"/>
    <w:bookmarkStart w:id="128" w:name="sec:cross-sensitivity"/>
    <w:p>
      <w:pPr>
        <w:pStyle w:val="Heading2"/>
      </w:pPr>
      <w:r>
        <w:t xml:space="preserve">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126" w:name="tab:cross-sensitivity-robustness"/>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0.97</w:t>
            </w:r>
          </w:p>
        </w:tc>
        <w:tc>
          <w:tcPr/>
          <w:p>
            <w:pPr>
              <w:pStyle w:val="Compact"/>
              <w:jc w:val="center"/>
            </w:pPr>
            <w:r>
              <w:t xml:space="preserve">0.75</w:t>
            </w:r>
          </w:p>
        </w:tc>
        <w:tc>
          <w:tcPr/>
          <w:p>
            <w:pPr>
              <w:pStyle w:val="Compact"/>
              <w:jc w:val="center"/>
            </w:pPr>
            <w:r>
              <w:t xml:space="preserve">0.68</w:t>
            </w:r>
          </w:p>
        </w:tc>
      </w:tr>
    </w:tbl>
    <w:bookmarkEnd w:id="126"/>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127" w:name="tab:cross-sensitivity-robustness-raw"/>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0.74</w:t>
            </w:r>
          </w:p>
        </w:tc>
        <w:tc>
          <w:tcPr/>
          <w:p>
            <w:pPr>
              <w:pStyle w:val="Compact"/>
              <w:jc w:val="center"/>
            </w:pPr>
            <w:r>
              <w:t xml:space="preserve">0.91</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0.81</w:t>
            </w:r>
          </w:p>
        </w:tc>
        <w:tc>
          <w:tcPr/>
          <w:p>
            <w:pPr>
              <w:pStyle w:val="Compact"/>
              <w:jc w:val="center"/>
            </w:pPr>
            <w:r>
              <w:t xml:space="preserve">0.68</w:t>
            </w:r>
          </w:p>
        </w:tc>
      </w:tr>
    </w:tbl>
    <w:bookmarkEnd w:id="127"/>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128"/>
    <w:bookmarkStart w:id="133" w:name="sec:encoder-sensitivity"/>
    <w:p>
      <w:pPr>
        <w:pStyle w:val="Heading2"/>
      </w:pPr>
      <w:r>
        <w:t xml:space="preserve">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0.54</m:t>
        </m:r>
      </m:oMath>
      <w:r>
        <w:t xml:space="preserve">; MPNet–LR vs. MiniLM–LR</w:t>
      </w:r>
      <w:r>
        <w:t xml:space="preserve"> </w:t>
      </w:r>
      <m:oMath>
        <m:r>
          <m:t>ρ</m:t>
        </m:r>
        <m:r>
          <m:rPr>
            <m:sty m:val="p"/>
          </m:rPr>
          <m:t>≈</m:t>
        </m:r>
        <m:r>
          <m:t>0.63</m:t>
        </m:r>
      </m:oMath>
      <w:r>
        <w:t xml:space="preserve">), and the coverage-gap ranking is highly stable (MPNet–LR vs. SciBERT–LR</w:t>
      </w:r>
      <w:r>
        <w:t xml:space="preserve"> </w:t>
      </w:r>
      <m:oMath>
        <m:r>
          <m:t>ρ</m:t>
        </m:r>
        <m:r>
          <m:rPr>
            <m:sty m:val="p"/>
          </m:rPr>
          <m:t>=</m:t>
        </m:r>
        <m:r>
          <m:t>0.93</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m:t>
        </m:r>
      </m:oMath>
      <w:r>
        <w:t xml:space="preserve">, LR vs. zero-shot</w:t>
      </w:r>
      <w:r>
        <w:t xml:space="preserve"> </w:t>
      </w:r>
      <m:oMath>
        <m:r>
          <m:t>ρ</m:t>
        </m:r>
        <m:r>
          <m:rPr>
            <m:sty m:val="p"/>
          </m:rPr>
          <m:t>=</m:t>
        </m:r>
        <m:r>
          <m:t>0.60</m:t>
        </m:r>
      </m:oMath>
      <w:r>
        <w:t xml:space="preserve">); under the raw gap, SDG 17 is the most classifier-sensitive goal, sitting at rank 17 under LR but rank 8 under zero-shot. The LR baseline is the canonical reference, with MLP and zero-shot as uncertainty bounds.</w:t>
      </w:r>
    </w:p>
    <w:bookmarkStart w:id="129" w:name="tab:encoder-sensitivity-semantic"/>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0.85</w:t>
            </w:r>
          </w:p>
        </w:tc>
        <w:tc>
          <w:tcPr/>
          <w:p>
            <w:pPr>
              <w:pStyle w:val="Compact"/>
              <w:jc w:val="center"/>
            </w:pPr>
            <w:r>
              <w:t xml:space="preserve">0.60</w:t>
            </w:r>
          </w:p>
        </w:tc>
        <w:tc>
          <w:tcPr/>
          <w:p>
            <w:pPr>
              <w:pStyle w:val="Compact"/>
              <w:jc w:val="center"/>
            </w:pPr>
            <w:r>
              <w:t xml:space="preserve">0.63</w:t>
            </w:r>
          </w:p>
        </w:tc>
        <w:tc>
          <w:tcPr/>
          <w:p>
            <w:pPr>
              <w:pStyle w:val="Compact"/>
              <w:jc w:val="center"/>
            </w:pPr>
            <w:r>
              <w:t xml:space="preserve">0.71</w:t>
            </w:r>
          </w:p>
        </w:tc>
        <w:tc>
          <w:tcPr/>
          <w:p>
            <w:pPr>
              <w:pStyle w:val="Compact"/>
              <w:jc w:val="center"/>
            </w:pPr>
            <w:r>
              <w:t xml:space="preserve">0.54</w:t>
            </w:r>
          </w:p>
        </w:tc>
        <w:tc>
          <w:tcPr/>
          <w:p>
            <w:pPr>
              <w:pStyle w:val="Compact"/>
              <w:jc w:val="center"/>
            </w:pPr>
            <w:r>
              <w:t xml:space="preserve">0.36</w:t>
            </w:r>
          </w:p>
        </w:tc>
      </w:tr>
    </w:tbl>
    <w:bookmarkEnd w:id="129"/>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adjusted MPNet-LR column.</w:t>
      </w:r>
    </w:p>
    <w:bookmarkStart w:id="130" w:name="tab:encoder-sensitivity-semantic-raw"/>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0.86</w:t>
            </w:r>
          </w:p>
        </w:tc>
        <w:tc>
          <w:tcPr/>
          <w:p>
            <w:pPr>
              <w:pStyle w:val="Compact"/>
              <w:jc w:val="center"/>
            </w:pPr>
            <w:r>
              <w:t xml:space="preserve">0.53</w:t>
            </w:r>
          </w:p>
        </w:tc>
        <w:tc>
          <w:tcPr/>
          <w:p>
            <w:pPr>
              <w:pStyle w:val="Compact"/>
              <w:jc w:val="center"/>
            </w:pPr>
            <w:r>
              <w:t xml:space="preserve">0.40</w:t>
            </w:r>
          </w:p>
        </w:tc>
        <w:tc>
          <w:tcPr/>
          <w:p>
            <w:pPr>
              <w:pStyle w:val="Compact"/>
              <w:jc w:val="center"/>
            </w:pPr>
            <w:r>
              <w:t xml:space="preserve">0.37</w:t>
            </w:r>
          </w:p>
        </w:tc>
        <w:tc>
          <w:tcPr/>
          <w:p>
            <w:pPr>
              <w:pStyle w:val="Compact"/>
              <w:jc w:val="center"/>
            </w:pPr>
            <w:r>
              <w:t xml:space="preserve">0.46</w:t>
            </w:r>
          </w:p>
        </w:tc>
        <w:tc>
          <w:tcPr/>
          <w:p>
            <w:pPr>
              <w:pStyle w:val="Compact"/>
              <w:jc w:val="center"/>
            </w:pPr>
            <w:r>
              <w:t xml:space="preserve">0.62</w:t>
            </w:r>
          </w:p>
        </w:tc>
      </w:tr>
    </w:tbl>
    <w:bookmarkEnd w:id="130"/>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raw MPNet-LR column.</w:t>
      </w:r>
    </w:p>
    <w:bookmarkStart w:id="131" w:name="tab:encoder-sensitivity-coverage"/>
    <w:p>
      <w:pPr>
        <w:pStyle w:val="TableCaption"/>
      </w:pPr>
      <w:r>
        <w:t xml:space="preserve">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0.92</w:t>
            </w:r>
          </w:p>
        </w:tc>
        <w:tc>
          <w:tcPr/>
          <w:p>
            <w:pPr>
              <w:pStyle w:val="Compact"/>
              <w:jc w:val="center"/>
            </w:pPr>
            <w:r>
              <w:t xml:space="preserve">0.75</w:t>
            </w:r>
          </w:p>
        </w:tc>
        <w:tc>
          <w:tcPr/>
          <w:p>
            <w:pPr>
              <w:pStyle w:val="Compact"/>
              <w:jc w:val="center"/>
            </w:pPr>
            <w:r>
              <w:t xml:space="preserve">0.89</w:t>
            </w:r>
          </w:p>
        </w:tc>
        <w:tc>
          <w:tcPr/>
          <w:p>
            <w:pPr>
              <w:pStyle w:val="Compact"/>
              <w:jc w:val="center"/>
            </w:pPr>
            <w:r>
              <w:t xml:space="preserve">0.90</w:t>
            </w:r>
          </w:p>
        </w:tc>
        <w:tc>
          <w:tcPr/>
          <w:p>
            <w:pPr>
              <w:pStyle w:val="Compact"/>
              <w:jc w:val="center"/>
            </w:pPr>
            <w:r>
              <w:t xml:space="preserve">0.93</w:t>
            </w:r>
          </w:p>
        </w:tc>
        <w:tc>
          <w:tcPr/>
          <w:p>
            <w:pPr>
              <w:pStyle w:val="Compact"/>
              <w:jc w:val="center"/>
            </w:pPr>
            <w:r>
              <w:t xml:space="preserve">0.90</w:t>
            </w:r>
          </w:p>
        </w:tc>
      </w:tr>
    </w:tbl>
    <w:bookmarkEnd w:id="131"/>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132" w:name="tab:cross-sensitivity-coverage"/>
    <w:p>
      <w:pPr>
        <w:pStyle w:val="TableCaption"/>
      </w:pPr>
      <w:r>
        <w:t xml:space="preserve">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0.40</w:t>
            </w:r>
          </w:p>
        </w:tc>
        <w:tc>
          <w:tcPr/>
          <w:p>
            <w:pPr>
              <w:pStyle w:val="Compact"/>
              <w:jc w:val="center"/>
            </w:pPr>
            <w:r>
              <w:t xml:space="preserve">0.77</w:t>
            </w:r>
          </w:p>
        </w:tc>
        <w:tc>
          <w:tcPr/>
          <w:p>
            <w:pPr>
              <w:pStyle w:val="Compact"/>
              <w:jc w:val="center"/>
            </w:pPr>
            <w:r>
              <w:t xml:space="preserve">0.54</w:t>
            </w:r>
          </w:p>
        </w:tc>
        <w:tc>
          <w:tcPr/>
          <w:p>
            <w:pPr>
              <w:pStyle w:val="Compact"/>
              <w:jc w:val="center"/>
            </w:pPr>
            <w:r>
              <w:t xml:space="preserve">0.87</w:t>
            </w:r>
          </w:p>
        </w:tc>
        <w:tc>
          <w:tcPr/>
          <w:p>
            <w:pPr>
              <w:pStyle w:val="Compact"/>
              <w:jc w:val="center"/>
            </w:pPr>
            <w:r>
              <w:t xml:space="preserve">0.66</w:t>
            </w:r>
          </w:p>
        </w:tc>
      </w:tr>
    </w:tbl>
    <w:bookmarkEnd w:id="132"/>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133"/>
    <w:bookmarkStart w:id="138" w:name="app:reference-tables"/>
    <w:p>
      <w:pPr>
        <w:pStyle w:val="Heading2"/>
      </w:pPr>
      <w:r>
        <w:t xml:space="preserve">Per-Track Reference Value Tables</w:t>
      </w:r>
    </w:p>
    <w:p>
      <w:pPr>
        <w:pStyle w:val="FirstParagraph"/>
      </w:pPr>
      <w:r>
        <w:t xml:space="preserve">The consolidated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134" w:name="tab:reference-minilm"/>
    <w:p>
      <w:pPr>
        <w:pStyle w:val="TableCaption"/>
      </w:pPr>
      <w:r>
        <w:t xml:space="preserve">MiniLM track — per-SDG reference values (semantic-gap and coverage-predictor families).</w:t>
      </w:r>
    </w:p>
    <w:tbl>
      <w:tblPr>
        <w:tblStyle w:val="Table"/>
        <w:tblW w:type="auto" w:w="0"/>
        <w:tblLook w:firstRow="1" w:lastRow="0" w:firstColumn="0" w:lastColumn="0" w:noHBand="0" w:noVBand="0" w:val="0020"/>
        <w:jc w:val="start"/>
        <w:tblCaption w:val="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4"/>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5" w:name="tab:reference-scibert"/>
    <w:p>
      <w:pPr>
        <w:pStyle w:val="TableCaption"/>
      </w:pPr>
      <w:r>
        <w:t xml:space="preserve">SciBERT track — per-SDG reference values (semantic-gap and coverage-predictor families).</w:t>
      </w:r>
    </w:p>
    <w:tbl>
      <w:tblPr>
        <w:tblStyle w:val="Table"/>
        <w:tblW w:type="auto" w:w="0"/>
        <w:tblLook w:firstRow="1" w:lastRow="0" w:firstColumn="0" w:lastColumn="0" w:noHBand="0" w:noVBand="0" w:val="0020"/>
        <w:jc w:val="start"/>
        <w:tblCaption w:val="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5"/>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6" w:name="tab:app-cross-method-covgap"/>
    <w:p>
      <w:pPr>
        <w:pStyle w:val="TableCaption"/>
      </w:pPr>
      <w:r>
        <w:t xml:space="preserve">Coverage gap values across embedding architectures, classifier variants, and retrieval strategies.</w:t>
      </w:r>
    </w:p>
    <w:tbl>
      <w:tblPr>
        <w:tblStyle w:val="Table"/>
        <w:tblW w:type="auto" w:w="0"/>
        <w:tblLook w:firstRow="0" w:lastRow="0" w:firstColumn="0" w:lastColumn="0" w:noHBand="0" w:noVBand="0" w:val="0000"/>
        <w:jc w:val="start"/>
        <w:tblCaption w:val="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136"/>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(Assumption A19) for all methods.</w:t>
      </w:r>
    </w:p>
    <w:bookmarkStart w:id="137" w:name="tab:app-cross-method-semgap"/>
    <w:p>
      <w:pPr>
        <w:pStyle w:val="TableCaption"/>
      </w:pPr>
      <w:r>
        <w:t xml:space="preserve">(continued)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137"/>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14.2</w:t>
        </w:r>
      </w:hyperlink>
      <w:r>
        <w:t xml:space="preserve">).</w:t>
      </w:r>
    </w:p>
    <w:bookmarkEnd w:id="138"/>
    <w:bookmarkStart w:id="140" w:name="app:assignment-method-comparison"/>
    <w:p>
      <w:pPr>
        <w:pStyle w:val="Heading2"/>
      </w:pPr>
      <w:r>
        <w:t xml:space="preserve">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139" w:name="tab:app-assignment-method-comparison"/>
    <w:p>
      <w:pPr>
        <w:pStyle w:val="TableCaption"/>
      </w:pPr>
      <w:r>
        <w:t xml:space="preserve">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139"/>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MLP agreement against zero-shot is reported for both corpora: research MLP-vs-ZS agreement is computed from the persisted per-shard research scores and shown as the overall Res MLP % (59.5%), alongside the policy MLP-vs-ZS rates.</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8.2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140"/>
    <w:bookmarkStart w:id="142" w:name="app:raw-value-correlation"/>
    <w:p>
      <w:pPr>
        <w:pStyle w:val="Heading2"/>
      </w:pPr>
      <w:r>
        <w:t xml:space="preserve">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m:t>
        </m:r>
        <m:r>
          <m:t>​</m:t>
        </m:r>
      </m:oMath>
      <w:r>
        <w:t xml:space="preserve"> </w:t>
      </w:r>
      <w:r>
        <w:t xml:space="preserve">against</w:t>
      </w:r>
      <w:r>
        <w:t xml:space="preserve"> </w:t>
      </w:r>
      <m:oMath>
        <m:r>
          <m:t>0.34</m:t>
        </m:r>
        <m:r>
          <m:t>​</m:t>
        </m:r>
      </m:oMath>
      <w:r>
        <w:t xml:space="preserve">,</w:t>
      </w:r>
      <w:r>
        <w:t xml:space="preserve"> </w:t>
      </w:r>
      <w:r>
        <w:t xml:space="preserve">Section </w:t>
      </w:r>
      <w:hyperlink w:anchor="sec:encoder-sensitivity">
        <w:r>
          <w:rPr>
            <w:rStyle w:val="Hyperlink"/>
          </w:rPr>
          <w:t xml:space="preserve">14.3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established, and the divergence does not threaten the conclusion, which rests on the supervised tracks where the signal is large (</w:t>
      </w:r>
      <m:oMath>
        <m:r>
          <m:rPr>
            <m:sty m:val="p"/>
          </m:rPr>
          <m:t>+</m:t>
        </m:r>
        <m:r>
          <m:t>0.70</m:t>
        </m:r>
      </m:oMath>
      <w:r>
        <w:t xml:space="preserve">) and stable across metrics. The raw-value specification therefore confirms, rather than threatens, the rank-based result.</w:t>
      </w:r>
    </w:p>
    <w:bookmarkStart w:id="141" w:name="tab:raw-value-correlation"/>
    <w:p>
      <w:pPr>
        <w:pStyle w:val="TableCaption"/>
      </w:pPr>
      <w:r>
        <w:t xml:space="preserve">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141"/>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is MPNet-only per manuscript</w:t>
      </w:r>
      <w:r>
        <w:t xml:space="preserve"> </w:t>
      </w:r>
      <w:r>
        <w:t xml:space="preserve">scope.</w:t>
      </w:r>
    </w:p>
    <w:bookmarkEnd w:id="142"/>
    <w:bookmarkStart w:id="145" w:name="app:policy-source-data"/>
    <w:p>
      <w:pPr>
        <w:pStyle w:val="Heading2"/>
      </w:pPr>
      <w:r>
        <w:t xml:space="preserve">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broad international-institutional profile is clearly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flat,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143" w:name="tab:policy-source-family"/>
    <w:p>
      <w:pPr>
        <w:pStyle w:val="TableCaption"/>
      </w:pPr>
      <w:r>
        <w:t xml:space="preserve">Per-SDG policy source-family sensitivity: coverage share and semantic gap.</w:t>
      </w:r>
    </w:p>
    <w:tbl>
      <w:tblPr>
        <w:tblStyle w:val="Table"/>
        <w:tblW w:type="auto" w:w="0"/>
        <w:tblLook w:firstRow="1" w:lastRow="0" w:firstColumn="0" w:lastColumn="0" w:noHBand="0" w:noVBand="0" w:val="0020"/>
        <w:jc w:val="start"/>
        <w:tblCaption w:val="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0.42 (1,689)</w:t>
            </w:r>
          </w:p>
        </w:tc>
        <w:tc>
          <w:tcPr/>
          <w:p>
            <w:pPr>
              <w:pStyle w:val="Compact"/>
              <w:jc w:val="center"/>
            </w:pPr>
            <w:r>
              <w:t xml:space="preserve">1.1 (1)</w:t>
            </w:r>
          </w:p>
        </w:tc>
        <w:tc>
          <w:tcPr/>
          <w:p>
            <w:pPr>
              <w:pStyle w:val="Compact"/>
              <w:jc w:val="center"/>
            </w:pPr>
            <w:r>
              <w:t xml:space="preserve">0.44 (357)</w:t>
            </w:r>
          </w:p>
        </w:tc>
        <w:tc>
          <w:tcPr/>
          <w:p>
            <w:pPr>
              <w:pStyle w:val="Compact"/>
              <w:jc w:val="center"/>
            </w:pPr>
            <w:r>
              <w:t xml:space="preserve">5.9 (250)</w:t>
            </w:r>
          </w:p>
        </w:tc>
        <w:tc>
          <w:tcPr/>
          <w:p>
            <w:pPr>
              <w:pStyle w:val="Compact"/>
              <w:jc w:val="center"/>
            </w:pPr>
            <w:r>
              <w:t xml:space="preserve">0.42 (1,191)</w:t>
            </w:r>
          </w:p>
        </w:tc>
        <w:tc>
          <w:tcPr/>
          <w:p>
            <w:pPr>
              <w:pStyle w:val="Compact"/>
              <w:jc w:val="center"/>
            </w:pPr>
            <w:r>
              <w:t xml:space="preserve">1.8 (37)</w:t>
            </w:r>
          </w:p>
        </w:tc>
        <w:tc>
          <w:tcPr/>
          <w:p>
            <w:pPr>
              <w:pStyle w:val="Compact"/>
              <w:jc w:val="center"/>
            </w:pPr>
            <w:r>
              <w:t xml:space="preserve">0.56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0.30 (1,508)</w:t>
            </w:r>
          </w:p>
        </w:tc>
        <w:tc>
          <w:tcPr/>
          <w:p>
            <w:pPr>
              <w:pStyle w:val="Compact"/>
              <w:jc w:val="center"/>
            </w:pPr>
            <w:r>
              <w:t xml:space="preserve">0.0 (0)</w:t>
            </w:r>
          </w:p>
        </w:tc>
        <w:tc>
          <w:tcPr/>
          <w:p>
            <w:pPr>
              <w:pStyle w:val="Compact"/>
              <w:jc w:val="center"/>
            </w:pPr>
            <w:r>
              <w:t xml:space="preserve">0.35 (240)</w:t>
            </w:r>
          </w:p>
        </w:tc>
        <w:tc>
          <w:tcPr/>
          <w:p>
            <w:pPr>
              <w:pStyle w:val="Compact"/>
              <w:jc w:val="center"/>
            </w:pPr>
            <w:r>
              <w:t xml:space="preserve">5.8 (246)</w:t>
            </w:r>
          </w:p>
        </w:tc>
        <w:tc>
          <w:tcPr/>
          <w:p>
            <w:pPr>
              <w:pStyle w:val="Compact"/>
              <w:jc w:val="center"/>
            </w:pPr>
            <w:r>
              <w:t xml:space="preserve">0.29 (1,196)</w:t>
            </w:r>
          </w:p>
        </w:tc>
        <w:tc>
          <w:tcPr/>
          <w:p>
            <w:pPr>
              <w:pStyle w:val="Compact"/>
              <w:jc w:val="center"/>
            </w:pPr>
            <w:r>
              <w:t xml:space="preserve">1.4 (28)</w:t>
            </w:r>
          </w:p>
        </w:tc>
        <w:tc>
          <w:tcPr/>
          <w:p>
            <w:pPr>
              <w:pStyle w:val="Compact"/>
              <w:jc w:val="center"/>
            </w:pPr>
            <w:r>
              <w:t xml:space="preserve">0.45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 (2,408)</w:t>
            </w:r>
          </w:p>
        </w:tc>
        <w:tc>
          <w:tcPr/>
          <w:p>
            <w:pPr>
              <w:pStyle w:val="Compact"/>
              <w:jc w:val="center"/>
            </w:pPr>
            <w:r>
              <w:t xml:space="preserve">6.4 (6)</w:t>
            </w:r>
          </w:p>
        </w:tc>
        <w:tc>
          <w:tcPr/>
          <w:p>
            <w:pPr>
              <w:pStyle w:val="Compact"/>
              <w:jc w:val="center"/>
            </w:pPr>
            <w:r>
              <w:t xml:space="preserve">0.36 (643)</w:t>
            </w:r>
          </w:p>
        </w:tc>
        <w:tc>
          <w:tcPr/>
          <w:p>
            <w:pPr>
              <w:pStyle w:val="Compact"/>
              <w:jc w:val="center"/>
            </w:pPr>
            <w:r>
              <w:t xml:space="preserve">6.7 (284)</w:t>
            </w:r>
          </w:p>
        </w:tc>
        <w:tc>
          <w:tcPr/>
          <w:p>
            <w:pPr>
              <w:pStyle w:val="Compact"/>
              <w:jc w:val="center"/>
            </w:pPr>
            <w:r>
              <w:t xml:space="preserve">0.55 (1,707)</w:t>
            </w:r>
          </w:p>
        </w:tc>
        <w:tc>
          <w:tcPr/>
          <w:p>
            <w:pPr>
              <w:pStyle w:val="Compact"/>
              <w:jc w:val="center"/>
            </w:pPr>
            <w:r>
              <w:t xml:space="preserve">0.4 (8)</w:t>
            </w:r>
          </w:p>
        </w:tc>
        <w:tc>
          <w:tcPr/>
          <w:p>
            <w:pPr>
              <w:pStyle w:val="Compact"/>
              <w:jc w:val="center"/>
            </w:pPr>
            <w:r>
              <w:t xml:space="preserve">0.70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0.27 (2,055)</w:t>
            </w:r>
          </w:p>
        </w:tc>
        <w:tc>
          <w:tcPr/>
          <w:p>
            <w:pPr>
              <w:pStyle w:val="Compact"/>
              <w:jc w:val="center"/>
            </w:pPr>
            <w:r>
              <w:t xml:space="preserve">0.0 (0)</w:t>
            </w:r>
          </w:p>
        </w:tc>
        <w:tc>
          <w:tcPr/>
          <w:p>
            <w:pPr>
              <w:pStyle w:val="Compact"/>
              <w:jc w:val="center"/>
            </w:pPr>
            <w:r>
              <w:t xml:space="preserve">0.21 (274)</w:t>
            </w:r>
          </w:p>
        </w:tc>
        <w:tc>
          <w:tcPr/>
          <w:p>
            <w:pPr>
              <w:pStyle w:val="Compact"/>
              <w:jc w:val="center"/>
            </w:pPr>
            <w:r>
              <w:t xml:space="preserve">7.0 (296)</w:t>
            </w:r>
          </w:p>
        </w:tc>
        <w:tc>
          <w:tcPr/>
          <w:p>
            <w:pPr>
              <w:pStyle w:val="Compact"/>
              <w:jc w:val="center"/>
            </w:pPr>
            <w:r>
              <w:t xml:space="preserve">0.29 (1,718)</w:t>
            </w:r>
          </w:p>
        </w:tc>
        <w:tc>
          <w:tcPr/>
          <w:p>
            <w:pPr>
              <w:pStyle w:val="Compact"/>
              <w:jc w:val="center"/>
            </w:pPr>
            <w:r>
              <w:t xml:space="preserve">0.4 (9)</w:t>
            </w:r>
          </w:p>
        </w:tc>
        <w:tc>
          <w:tcPr/>
          <w:p>
            <w:pPr>
              <w:pStyle w:val="Compact"/>
              <w:jc w:val="center"/>
            </w:pPr>
            <w:r>
              <w:t xml:space="preserve">0.40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0.28 (2,005)</w:t>
            </w:r>
          </w:p>
        </w:tc>
        <w:tc>
          <w:tcPr/>
          <w:p>
            <w:pPr>
              <w:pStyle w:val="Compact"/>
              <w:jc w:val="center"/>
            </w:pPr>
            <w:r>
              <w:t xml:space="preserve">0.0 (0)</w:t>
            </w:r>
          </w:p>
        </w:tc>
        <w:tc>
          <w:tcPr/>
          <w:p>
            <w:pPr>
              <w:pStyle w:val="Compact"/>
              <w:jc w:val="center"/>
            </w:pPr>
            <w:r>
              <w:t xml:space="preserve">0.28 (272)</w:t>
            </w:r>
          </w:p>
        </w:tc>
        <w:tc>
          <w:tcPr/>
          <w:p>
            <w:pPr>
              <w:pStyle w:val="Compact"/>
              <w:jc w:val="center"/>
            </w:pPr>
            <w:r>
              <w:t xml:space="preserve">6.6 (278)</w:t>
            </w:r>
          </w:p>
        </w:tc>
        <w:tc>
          <w:tcPr/>
          <w:p>
            <w:pPr>
              <w:pStyle w:val="Compact"/>
              <w:jc w:val="center"/>
            </w:pPr>
            <w:r>
              <w:t xml:space="preserve">0.28 (1,531)</w:t>
            </w:r>
          </w:p>
        </w:tc>
        <w:tc>
          <w:tcPr/>
          <w:p>
            <w:pPr>
              <w:pStyle w:val="Compact"/>
              <w:jc w:val="center"/>
            </w:pPr>
            <w:r>
              <w:t xml:space="preserve">2.2 (46)</w:t>
            </w:r>
          </w:p>
        </w:tc>
        <w:tc>
          <w:tcPr/>
          <w:p>
            <w:pPr>
              <w:pStyle w:val="Compact"/>
              <w:jc w:val="center"/>
            </w:pPr>
            <w:r>
              <w:t xml:space="preserve">0.41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 (1,206)</w:t>
            </w:r>
          </w:p>
        </w:tc>
        <w:tc>
          <w:tcPr/>
          <w:p>
            <w:pPr>
              <w:pStyle w:val="Compact"/>
              <w:jc w:val="center"/>
            </w:pPr>
            <w:r>
              <w:t xml:space="preserve">0.0 (0)</w:t>
            </w:r>
          </w:p>
        </w:tc>
        <w:tc>
          <w:tcPr/>
          <w:p>
            <w:pPr>
              <w:pStyle w:val="Compact"/>
              <w:jc w:val="center"/>
            </w:pPr>
            <w:r>
              <w:t xml:space="preserve">0.35 (137)</w:t>
            </w:r>
          </w:p>
        </w:tc>
        <w:tc>
          <w:tcPr/>
          <w:p>
            <w:pPr>
              <w:pStyle w:val="Compact"/>
              <w:jc w:val="center"/>
            </w:pPr>
            <w:r>
              <w:t xml:space="preserve">5.3 (226)</w:t>
            </w:r>
          </w:p>
        </w:tc>
        <w:tc>
          <w:tcPr/>
          <w:p>
            <w:pPr>
              <w:pStyle w:val="Compact"/>
              <w:jc w:val="center"/>
            </w:pPr>
            <w:r>
              <w:t xml:space="preserve">0.29 (1,038)</w:t>
            </w:r>
          </w:p>
        </w:tc>
        <w:tc>
          <w:tcPr/>
          <w:p>
            <w:pPr>
              <w:pStyle w:val="Compact"/>
              <w:jc w:val="center"/>
            </w:pPr>
            <w:r>
              <w:t xml:space="preserve">0.6 (12)</w:t>
            </w:r>
          </w:p>
        </w:tc>
        <w:tc>
          <w:tcPr/>
          <w:p>
            <w:pPr>
              <w:pStyle w:val="Compact"/>
              <w:jc w:val="center"/>
            </w:pPr>
            <w:r>
              <w:t xml:space="preserve">0.42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0.43 (1,578)</w:t>
            </w:r>
          </w:p>
        </w:tc>
        <w:tc>
          <w:tcPr/>
          <w:p>
            <w:pPr>
              <w:pStyle w:val="Compact"/>
              <w:jc w:val="center"/>
            </w:pPr>
            <w:r>
              <w:t xml:space="preserve">1.1 (1)</w:t>
            </w:r>
          </w:p>
        </w:tc>
        <w:tc>
          <w:tcPr/>
          <w:p>
            <w:pPr>
              <w:pStyle w:val="Compact"/>
              <w:jc w:val="center"/>
            </w:pPr>
            <w:r>
              <w:t xml:space="preserve">0.51 (358)</w:t>
            </w:r>
          </w:p>
        </w:tc>
        <w:tc>
          <w:tcPr/>
          <w:p>
            <w:pPr>
              <w:pStyle w:val="Compact"/>
              <w:jc w:val="center"/>
            </w:pPr>
            <w:r>
              <w:t xml:space="preserve">6.0 (253)</w:t>
            </w:r>
          </w:p>
        </w:tc>
        <w:tc>
          <w:tcPr/>
          <w:p>
            <w:pPr>
              <w:pStyle w:val="Compact"/>
              <w:jc w:val="center"/>
            </w:pPr>
            <w:r>
              <w:t xml:space="preserve">0.41 (1,147)</w:t>
            </w:r>
          </w:p>
        </w:tc>
        <w:tc>
          <w:tcPr/>
          <w:p>
            <w:pPr>
              <w:pStyle w:val="Compact"/>
              <w:jc w:val="center"/>
            </w:pPr>
            <w:r>
              <w:t xml:space="preserve">0.9 (19)</w:t>
            </w:r>
          </w:p>
        </w:tc>
        <w:tc>
          <w:tcPr/>
          <w:p>
            <w:pPr>
              <w:pStyle w:val="Compact"/>
              <w:jc w:val="center"/>
            </w:pPr>
            <w:r>
              <w:t xml:space="preserve">0.59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0.39 (1,886)</w:t>
            </w:r>
          </w:p>
        </w:tc>
        <w:tc>
          <w:tcPr/>
          <w:p>
            <w:pPr>
              <w:pStyle w:val="Compact"/>
              <w:jc w:val="center"/>
            </w:pPr>
            <w:r>
              <w:t xml:space="preserve">0.0 (0)</w:t>
            </w:r>
          </w:p>
        </w:tc>
        <w:tc>
          <w:tcPr/>
          <w:p>
            <w:pPr>
              <w:pStyle w:val="Compact"/>
              <w:jc w:val="center"/>
            </w:pPr>
            <w:r>
              <w:t xml:space="preserve">0.40 (309)</w:t>
            </w:r>
          </w:p>
        </w:tc>
        <w:tc>
          <w:tcPr/>
          <w:p>
            <w:pPr>
              <w:pStyle w:val="Compact"/>
              <w:jc w:val="center"/>
            </w:pPr>
            <w:r>
              <w:t xml:space="preserve">6.5 (275)</w:t>
            </w:r>
          </w:p>
        </w:tc>
        <w:tc>
          <w:tcPr/>
          <w:p>
            <w:pPr>
              <w:pStyle w:val="Compact"/>
              <w:jc w:val="center"/>
            </w:pPr>
            <w:r>
              <w:t xml:space="preserve">0.40 (1,558)</w:t>
            </w:r>
          </w:p>
        </w:tc>
        <w:tc>
          <w:tcPr/>
          <w:p>
            <w:pPr>
              <w:pStyle w:val="Compact"/>
              <w:jc w:val="center"/>
            </w:pPr>
            <w:r>
              <w:t xml:space="preserve">0.0 (1)</w:t>
            </w:r>
          </w:p>
        </w:tc>
        <w:tc>
          <w:tcPr/>
          <w:p>
            <w:pPr>
              <w:pStyle w:val="Compact"/>
              <w:jc w:val="center"/>
            </w:pPr>
            <w:r>
              <w:t xml:space="preserve">0.54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 (2,986)</w:t>
            </w:r>
          </w:p>
        </w:tc>
        <w:tc>
          <w:tcPr/>
          <w:p>
            <w:pPr>
              <w:pStyle w:val="Compact"/>
              <w:jc w:val="center"/>
            </w:pPr>
            <w:r>
              <w:t xml:space="preserve">50.0 (47)</w:t>
            </w:r>
          </w:p>
        </w:tc>
        <w:tc>
          <w:tcPr/>
          <w:p>
            <w:pPr>
              <w:pStyle w:val="Compact"/>
              <w:jc w:val="center"/>
            </w:pPr>
            <w:r>
              <w:t xml:space="preserve">0.27 (1,838)</w:t>
            </w:r>
          </w:p>
        </w:tc>
        <w:tc>
          <w:tcPr/>
          <w:p>
            <w:pPr>
              <w:pStyle w:val="Compact"/>
              <w:jc w:val="center"/>
            </w:pPr>
            <w:r>
              <w:t xml:space="preserve">5.1 (215)</w:t>
            </w:r>
          </w:p>
        </w:tc>
        <w:tc>
          <w:tcPr/>
          <w:p>
            <w:pPr>
              <w:pStyle w:val="Compact"/>
              <w:jc w:val="center"/>
            </w:pPr>
            <w:r>
              <w:t xml:space="preserve">0.54 (1,116)</w:t>
            </w:r>
          </w:p>
        </w:tc>
        <w:tc>
          <w:tcPr/>
          <w:p>
            <w:pPr>
              <w:pStyle w:val="Compact"/>
              <w:jc w:val="center"/>
            </w:pPr>
            <w:r>
              <w:t xml:space="preserve">0.6 (12)</w:t>
            </w:r>
          </w:p>
        </w:tc>
        <w:tc>
          <w:tcPr/>
          <w:p>
            <w:pPr>
              <w:pStyle w:val="Compact"/>
              <w:jc w:val="center"/>
            </w:pPr>
            <w:r>
              <w:t xml:space="preserve">0.46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 (1,085)</w:t>
            </w:r>
          </w:p>
        </w:tc>
        <w:tc>
          <w:tcPr/>
          <w:p>
            <w:pPr>
              <w:pStyle w:val="Compact"/>
              <w:jc w:val="center"/>
            </w:pPr>
            <w:r>
              <w:t xml:space="preserve">0.0 (0)</w:t>
            </w:r>
          </w:p>
        </w:tc>
        <w:tc>
          <w:tcPr/>
          <w:p>
            <w:pPr>
              <w:pStyle w:val="Compact"/>
              <w:jc w:val="center"/>
            </w:pPr>
            <w:r>
              <w:t xml:space="preserve">0.33 (258)</w:t>
            </w:r>
          </w:p>
        </w:tc>
        <w:tc>
          <w:tcPr/>
          <w:p>
            <w:pPr>
              <w:pStyle w:val="Compact"/>
              <w:jc w:val="center"/>
            </w:pPr>
            <w:r>
              <w:t xml:space="preserve">4.2 (176)</w:t>
            </w:r>
          </w:p>
        </w:tc>
        <w:tc>
          <w:tcPr/>
          <w:p>
            <w:pPr>
              <w:pStyle w:val="Compact"/>
              <w:jc w:val="center"/>
            </w:pPr>
            <w:r>
              <w:t xml:space="preserve">0.28 (774)</w:t>
            </w:r>
          </w:p>
        </w:tc>
        <w:tc>
          <w:tcPr/>
          <w:p>
            <w:pPr>
              <w:pStyle w:val="Compact"/>
              <w:jc w:val="center"/>
            </w:pPr>
            <w:r>
              <w:t xml:space="preserve">0.3 (6)</w:t>
            </w:r>
          </w:p>
        </w:tc>
        <w:tc>
          <w:tcPr/>
          <w:p>
            <w:pPr>
              <w:pStyle w:val="Compact"/>
              <w:jc w:val="center"/>
            </w:pPr>
            <w:r>
              <w:t xml:space="preserve">0.40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0.45 (1,658)</w:t>
            </w:r>
          </w:p>
        </w:tc>
        <w:tc>
          <w:tcPr/>
          <w:p>
            <w:pPr>
              <w:pStyle w:val="Compact"/>
              <w:jc w:val="center"/>
            </w:pPr>
            <w:r>
              <w:t xml:space="preserve">0.0 (0)</w:t>
            </w:r>
          </w:p>
        </w:tc>
        <w:tc>
          <w:tcPr/>
          <w:p>
            <w:pPr>
              <w:pStyle w:val="Compact"/>
              <w:jc w:val="center"/>
            </w:pPr>
            <w:r>
              <w:t xml:space="preserve">0.43 (175)</w:t>
            </w:r>
          </w:p>
        </w:tc>
        <w:tc>
          <w:tcPr/>
          <w:p>
            <w:pPr>
              <w:pStyle w:val="Compact"/>
              <w:jc w:val="center"/>
            </w:pPr>
            <w:r>
              <w:t xml:space="preserve">8.0 (336)</w:t>
            </w:r>
          </w:p>
        </w:tc>
        <w:tc>
          <w:tcPr/>
          <w:p>
            <w:pPr>
              <w:pStyle w:val="Compact"/>
              <w:jc w:val="center"/>
            </w:pPr>
            <w:r>
              <w:t xml:space="preserve">0.46 (1,474)</w:t>
            </w:r>
          </w:p>
        </w:tc>
        <w:tc>
          <w:tcPr/>
          <w:p>
            <w:pPr>
              <w:pStyle w:val="Compact"/>
              <w:jc w:val="center"/>
            </w:pPr>
            <w:r>
              <w:t xml:space="preserve">0.1 (2)</w:t>
            </w:r>
          </w:p>
        </w:tc>
        <w:tc>
          <w:tcPr/>
          <w:p>
            <w:pPr>
              <w:pStyle w:val="Compact"/>
              <w:jc w:val="center"/>
            </w:pPr>
            <w:r>
              <w:t xml:space="preserve">0.57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0.30 (1,132)</w:t>
            </w:r>
          </w:p>
        </w:tc>
        <w:tc>
          <w:tcPr/>
          <w:p>
            <w:pPr>
              <w:pStyle w:val="Compact"/>
              <w:jc w:val="center"/>
            </w:pPr>
            <w:r>
              <w:t xml:space="preserve">0.0 (0)</w:t>
            </w:r>
          </w:p>
        </w:tc>
        <w:tc>
          <w:tcPr/>
          <w:p>
            <w:pPr>
              <w:pStyle w:val="Compact"/>
              <w:jc w:val="center"/>
            </w:pPr>
            <w:r>
              <w:t xml:space="preserve">0.38 (178)</w:t>
            </w:r>
          </w:p>
        </w:tc>
        <w:tc>
          <w:tcPr/>
          <w:p>
            <w:pPr>
              <w:pStyle w:val="Compact"/>
              <w:jc w:val="center"/>
            </w:pPr>
            <w:r>
              <w:t xml:space="preserve">5.3 (225)</w:t>
            </w:r>
          </w:p>
        </w:tc>
        <w:tc>
          <w:tcPr/>
          <w:p>
            <w:pPr>
              <w:pStyle w:val="Compact"/>
              <w:jc w:val="center"/>
            </w:pPr>
            <w:r>
              <w:t xml:space="preserve">0.30 (947)</w:t>
            </w:r>
          </w:p>
        </w:tc>
        <w:tc>
          <w:tcPr/>
          <w:p>
            <w:pPr>
              <w:pStyle w:val="Compact"/>
              <w:jc w:val="center"/>
            </w:pPr>
            <w:r>
              <w:t xml:space="preserve">0.0 (1)</w:t>
            </w:r>
          </w:p>
        </w:tc>
        <w:tc>
          <w:tcPr/>
          <w:p>
            <w:pPr>
              <w:pStyle w:val="Compact"/>
              <w:jc w:val="center"/>
            </w:pPr>
            <w:r>
              <w:t xml:space="preserve">0.49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 (3,084)</w:t>
            </w:r>
          </w:p>
        </w:tc>
        <w:tc>
          <w:tcPr/>
          <w:p>
            <w:pPr>
              <w:pStyle w:val="Compact"/>
              <w:jc w:val="center"/>
            </w:pPr>
            <w:r>
              <w:t xml:space="preserve">7.4 (7)</w:t>
            </w:r>
          </w:p>
        </w:tc>
        <w:tc>
          <w:tcPr/>
          <w:p>
            <w:pPr>
              <w:pStyle w:val="Compact"/>
              <w:jc w:val="center"/>
            </w:pPr>
            <w:r>
              <w:t xml:space="preserve">0.44 (613)</w:t>
            </w:r>
          </w:p>
        </w:tc>
        <w:tc>
          <w:tcPr/>
          <w:p>
            <w:pPr>
              <w:pStyle w:val="Compact"/>
              <w:jc w:val="center"/>
            </w:pPr>
            <w:r>
              <w:t xml:space="preserve">6.0 (252)</w:t>
            </w:r>
          </w:p>
        </w:tc>
        <w:tc>
          <w:tcPr/>
          <w:p>
            <w:pPr>
              <w:pStyle w:val="Compact"/>
              <w:jc w:val="center"/>
            </w:pPr>
            <w:r>
              <w:t xml:space="preserve">0.44 (1,268)</w:t>
            </w:r>
          </w:p>
        </w:tc>
        <w:tc>
          <w:tcPr/>
          <w:p>
            <w:pPr>
              <w:pStyle w:val="Compact"/>
              <w:jc w:val="center"/>
            </w:pPr>
            <w:r>
              <w:t xml:space="preserve">22.4 (459)</w:t>
            </w:r>
          </w:p>
        </w:tc>
        <w:tc>
          <w:tcPr/>
          <w:p>
            <w:pPr>
              <w:pStyle w:val="Compact"/>
              <w:jc w:val="center"/>
            </w:pPr>
            <w:r>
              <w:t xml:space="preserve">0.58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 (1,293)</w:t>
            </w:r>
          </w:p>
        </w:tc>
        <w:tc>
          <w:tcPr/>
          <w:p>
            <w:pPr>
              <w:pStyle w:val="Compact"/>
              <w:jc w:val="center"/>
            </w:pPr>
            <w:r>
              <w:t xml:space="preserve">0.0 (0)</w:t>
            </w:r>
          </w:p>
        </w:tc>
        <w:tc>
          <w:tcPr/>
          <w:p>
            <w:pPr>
              <w:pStyle w:val="Compact"/>
              <w:jc w:val="center"/>
            </w:pPr>
            <w:r>
              <w:t xml:space="preserve">0.37 (216)</w:t>
            </w:r>
          </w:p>
        </w:tc>
        <w:tc>
          <w:tcPr/>
          <w:p>
            <w:pPr>
              <w:pStyle w:val="Compact"/>
              <w:jc w:val="center"/>
            </w:pPr>
            <w:r>
              <w:t xml:space="preserve">4.5 (189)</w:t>
            </w:r>
          </w:p>
        </w:tc>
        <w:tc>
          <w:tcPr/>
          <w:p>
            <w:pPr>
              <w:pStyle w:val="Compact"/>
              <w:jc w:val="center"/>
            </w:pPr>
            <w:r>
              <w:t xml:space="preserve">0.35 (856)</w:t>
            </w:r>
          </w:p>
        </w:tc>
        <w:tc>
          <w:tcPr/>
          <w:p>
            <w:pPr>
              <w:pStyle w:val="Compact"/>
              <w:jc w:val="center"/>
            </w:pPr>
            <w:r>
              <w:t xml:space="preserve">2.5 (52)</w:t>
            </w:r>
          </w:p>
        </w:tc>
        <w:tc>
          <w:tcPr/>
          <w:p>
            <w:pPr>
              <w:pStyle w:val="Compact"/>
              <w:jc w:val="center"/>
            </w:pPr>
            <w:r>
              <w:t xml:space="preserve">0.49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0.24 (1,484)</w:t>
            </w:r>
          </w:p>
        </w:tc>
        <w:tc>
          <w:tcPr/>
          <w:p>
            <w:pPr>
              <w:pStyle w:val="Compact"/>
              <w:jc w:val="center"/>
            </w:pPr>
            <w:r>
              <w:t xml:space="preserve">0.0 (0)</w:t>
            </w:r>
          </w:p>
        </w:tc>
        <w:tc>
          <w:tcPr/>
          <w:p>
            <w:pPr>
              <w:pStyle w:val="Compact"/>
              <w:jc w:val="center"/>
            </w:pPr>
            <w:r>
              <w:t xml:space="preserve">0.29 (299)</w:t>
            </w:r>
          </w:p>
        </w:tc>
        <w:tc>
          <w:tcPr/>
          <w:p>
            <w:pPr>
              <w:pStyle w:val="Compact"/>
              <w:jc w:val="center"/>
            </w:pPr>
            <w:r>
              <w:t xml:space="preserve">5.7 (239)</w:t>
            </w:r>
          </w:p>
        </w:tc>
        <w:tc>
          <w:tcPr/>
          <w:p>
            <w:pPr>
              <w:pStyle w:val="Compact"/>
              <w:jc w:val="center"/>
            </w:pPr>
            <w:r>
              <w:t xml:space="preserve">0.24 (1,108)</w:t>
            </w:r>
          </w:p>
        </w:tc>
        <w:tc>
          <w:tcPr/>
          <w:p>
            <w:pPr>
              <w:pStyle w:val="Compact"/>
              <w:jc w:val="center"/>
            </w:pPr>
            <w:r>
              <w:t xml:space="preserve">1.3 (27)</w:t>
            </w:r>
          </w:p>
        </w:tc>
        <w:tc>
          <w:tcPr/>
          <w:p>
            <w:pPr>
              <w:pStyle w:val="Compact"/>
              <w:jc w:val="center"/>
            </w:pPr>
            <w:r>
              <w:t xml:space="preserve">0.41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0.33 (4,890)</w:t>
            </w:r>
          </w:p>
        </w:tc>
        <w:tc>
          <w:tcPr/>
          <w:p>
            <w:pPr>
              <w:pStyle w:val="Compact"/>
              <w:jc w:val="center"/>
            </w:pPr>
            <w:r>
              <w:t xml:space="preserve">12.8 (12)</w:t>
            </w:r>
          </w:p>
        </w:tc>
        <w:tc>
          <w:tcPr/>
          <w:p>
            <w:pPr>
              <w:pStyle w:val="Compact"/>
              <w:jc w:val="center"/>
            </w:pPr>
            <w:r>
              <w:t xml:space="preserve">0.20 (1,092)</w:t>
            </w:r>
          </w:p>
        </w:tc>
        <w:tc>
          <w:tcPr/>
          <w:p>
            <w:pPr>
              <w:pStyle w:val="Compact"/>
              <w:jc w:val="center"/>
            </w:pPr>
            <w:r>
              <w:t xml:space="preserve">5.9 (250)</w:t>
            </w:r>
          </w:p>
        </w:tc>
        <w:tc>
          <w:tcPr/>
          <w:p>
            <w:pPr>
              <w:pStyle w:val="Compact"/>
              <w:jc w:val="center"/>
            </w:pPr>
            <w:r>
              <w:t xml:space="preserve">0.38 (1,395)</w:t>
            </w:r>
          </w:p>
        </w:tc>
        <w:tc>
          <w:tcPr/>
          <w:p>
            <w:pPr>
              <w:pStyle w:val="Compact"/>
              <w:jc w:val="center"/>
            </w:pPr>
            <w:r>
              <w:t xml:space="preserve">40.9 (838)</w:t>
            </w:r>
          </w:p>
        </w:tc>
        <w:tc>
          <w:tcPr/>
          <w:p>
            <w:pPr>
              <w:pStyle w:val="Compact"/>
              <w:jc w:val="center"/>
            </w:pPr>
            <w:r>
              <w:t xml:space="preserve">0.51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0.18 (3,645)</w:t>
            </w:r>
          </w:p>
        </w:tc>
        <w:tc>
          <w:tcPr/>
          <w:p>
            <w:pPr>
              <w:pStyle w:val="Compact"/>
              <w:jc w:val="center"/>
            </w:pPr>
            <w:r>
              <w:t xml:space="preserve">21.3 (20)</w:t>
            </w:r>
          </w:p>
        </w:tc>
        <w:tc>
          <w:tcPr/>
          <w:p>
            <w:pPr>
              <w:pStyle w:val="Compact"/>
              <w:jc w:val="center"/>
            </w:pPr>
            <w:r>
              <w:t xml:space="preserve">0.18 (859)</w:t>
            </w:r>
          </w:p>
        </w:tc>
        <w:tc>
          <w:tcPr/>
          <w:p>
            <w:pPr>
              <w:pStyle w:val="Compact"/>
              <w:jc w:val="center"/>
            </w:pPr>
            <w:r>
              <w:t xml:space="preserve">5.6 (235)</w:t>
            </w:r>
          </w:p>
        </w:tc>
        <w:tc>
          <w:tcPr/>
          <w:p>
            <w:pPr>
              <w:pStyle w:val="Compact"/>
              <w:jc w:val="center"/>
            </w:pPr>
            <w:r>
              <w:t xml:space="preserve">0.16 (1,322)</w:t>
            </w:r>
          </w:p>
        </w:tc>
        <w:tc>
          <w:tcPr/>
          <w:p>
            <w:pPr>
              <w:pStyle w:val="Compact"/>
              <w:jc w:val="center"/>
            </w:pPr>
            <w:r>
              <w:t xml:space="preserve">24.0 (491)</w:t>
            </w:r>
          </w:p>
        </w:tc>
        <w:tc>
          <w:tcPr/>
          <w:p>
            <w:pPr>
              <w:pStyle w:val="Compact"/>
              <w:jc w:val="center"/>
            </w:pPr>
            <w:r>
              <w:t xml:space="preserve">0.26 (1,464)</w:t>
            </w:r>
          </w:p>
        </w:tc>
      </w:tr>
      <w:tr>
        <w:tc>
          <w:tcPr/>
          <w:p>
            <w:pPr>
              <w:pStyle w:val="Compact"/>
              <w:jc w:val="left"/>
            </w:pPr>
            <m:oMath>
              <m:r>
                <m:t>ρ</m:t>
              </m:r>
            </m:oMath>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0.36</w:t>
            </w:r>
          </w:p>
        </w:tc>
        <w:tc>
          <w:tcPr/>
          <w:p>
            <w:pPr>
              <w:pStyle w:val="Compact"/>
              <w:jc w:val="center"/>
            </w:pPr>
            <w:r>
              <w:t xml:space="preserve">0.73</w:t>
            </w:r>
          </w:p>
        </w:tc>
        <w:tc>
          <w:tcPr/>
          <w:p>
            <w:pPr>
              <w:pStyle w:val="Compact"/>
              <w:jc w:val="center"/>
            </w:pPr>
            <w:r>
              <w:t xml:space="preserve">0.61</w:t>
            </w:r>
          </w:p>
        </w:tc>
        <w:tc>
          <w:tcPr/>
          <w:p>
            <w:pPr>
              <w:pStyle w:val="Compact"/>
              <w:jc w:val="center"/>
            </w:pPr>
            <w:r>
              <w:t xml:space="preserve">0.91</w:t>
            </w:r>
          </w:p>
        </w:tc>
        <w:tc>
          <w:tcPr/>
          <w:p>
            <w:pPr>
              <w:pStyle w:val="Compact"/>
              <w:jc w:val="center"/>
            </w:pPr>
            <w:r>
              <w:t xml:space="preserve">0.45</w:t>
            </w:r>
          </w:p>
        </w:tc>
        <w:tc>
          <w:tcPr/>
          <w:p>
            <w:pPr>
              <w:pStyle w:val="Compact"/>
              <w:jc w:val="center"/>
            </w:pPr>
            <w:r>
              <w:t xml:space="preserve">0.97</w:t>
            </w:r>
          </w:p>
        </w:tc>
      </w:tr>
    </w:tbl>
    <w:bookmarkEnd w:id="143"/>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tests within each policy source family (Table </w:t>
      </w:r>
      <w:hyperlink w:anchor="tab:policy-source-family-h25">
        <w:r>
          <w:rPr>
            <w:rStyle w:val="Hyperlink"/>
          </w:rPr>
          <w:t xml:space="preserve">33</w:t>
        </w:r>
      </w:hyperlink>
      <w:r>
        <w:t xml:space="preserve">) confirms the null is not an artefact of comparing an AI-specific research intersection with a broader policy union: the curated AI/SDG construction reproduces the full-corpus cancellation (Section </w:t>
      </w:r>
      <w:hyperlink w:anchor="sec:interaction">
        <w:r>
          <w:rPr>
            <w:rStyle w:val="Hyperlink"/>
          </w:rPr>
          <w:t xml:space="preserve">4.4</w:t>
        </w:r>
      </w:hyperlink>
      <w:r>
        <w:t xml:space="preserve">), while the SDGi and UNGDC families show positive research-share associations (</w:t>
      </w:r>
      <m:oMath>
        <m:r>
          <m:t>ρ</m:t>
        </m:r>
        <m:r>
          <m:rPr>
            <m:sty m:val="p"/>
          </m:rPr>
          <m:t>=</m:t>
        </m:r>
        <m:r>
          <m:t>0.60</m:t>
        </m:r>
      </m:oMath>
      <w:r>
        <w:t xml:space="preserve">,</w:t>
      </w:r>
      <w:r>
        <w:t xml:space="preserve"> </w:t>
      </w:r>
      <m:oMath>
        <m:r>
          <m:t>p</m:t>
        </m:r>
        <m:r>
          <m:rPr>
            <m:sty m:val="p"/>
          </m:rPr>
          <m:t>=</m:t>
        </m:r>
        <m:r>
          <m:t>0.014</m:t>
        </m:r>
      </m:oMath>
      <w:r>
        <w:t xml:space="preserve">;</w:t>
      </w:r>
      <w:r>
        <w:t xml:space="preserve"> </w:t>
      </w:r>
      <m:oMath>
        <m:r>
          <m:t>ρ</m:t>
        </m:r>
        <m:r>
          <m:rPr>
            <m:sty m:val="p"/>
          </m:rPr>
          <m:t>=</m:t>
        </m:r>
        <m:r>
          <m:t>0.42</m:t>
        </m:r>
      </m:oMath>
      <w:r>
        <w:t xml:space="preserve">,</w:t>
      </w:r>
      <w:r>
        <w:t xml:space="preserve"> </w:t>
      </w:r>
      <m:oMath>
        <m:r>
          <m:t>p</m:t>
        </m:r>
        <m:r>
          <m:rPr>
            <m:sty m:val="p"/>
          </m:rPr>
          <m:t>=</m:t>
        </m:r>
        <m:r>
          <m:t>0.115</m:t>
        </m:r>
      </m:oMath>
      <w:r>
        <w:t xml:space="preserve">). The full-corpus row of Table </w:t>
      </w:r>
      <w:hyperlink w:anchor="tab:policy-source-family-h25">
        <w:r>
          <w:rPr>
            <w:rStyle w:val="Hyperlink"/>
          </w:rPr>
          <w:t xml:space="preserve">33</w:t>
        </w:r>
      </w:hyperlink>
      <w:r>
        <w:t xml:space="preserve"> </w:t>
      </w:r>
      <w:r>
        <w:t xml:space="preserve">reproduces the canonical interaction estimates (Section </w:t>
      </w:r>
      <w:hyperlink w:anchor="sec:interaction">
        <w:r>
          <w:rPr>
            <w:rStyle w:val="Hyperlink"/>
          </w:rPr>
          <w:t xml:space="preserve">4.4</w:t>
        </w:r>
      </w:hyperlink>
      <w:r>
        <w:t xml:space="preserve">), confirming the replication is faithful.</w:t>
      </w:r>
    </w:p>
    <w:bookmarkStart w:id="144" w:name="tab:policy-source-family-h25"/>
    <w:p>
      <w:pPr>
        <w:pStyle w:val="TableCaption"/>
      </w:pPr>
      <w:r>
        <w:t xml:space="preserve">Per-family interaction test: coverage predictors vs the within-SDG semantic gap.</w:t>
      </w:r>
    </w:p>
    <w:tbl>
      <w:tblPr>
        <w:tblStyle w:val="Table"/>
        <w:tblW w:type="auto" w:w="0"/>
        <w:tblLook w:firstRow="1" w:lastRow="0" w:firstColumn="0" w:lastColumn="0" w:noHBand="0" w:noVBand="0" w:val="0020"/>
        <w:jc w:val="start"/>
        <w:tblCaption w:val="Per-family interaction test: coverage predictors vs the within-SDG semantic gap."/>
      </w:tblPr>
      <w:tblGrid>
        <w:gridCol w:w="1584"/>
        <w:gridCol w:w="1584"/>
        <w:gridCol w:w="1584"/>
        <w:gridCol w:w="1584"/>
        <w:gridCol w:w="1584"/>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0.45 (0.071)</w:t>
            </w:r>
          </w:p>
        </w:tc>
        <w:tc>
          <w:tcPr/>
          <w:p>
            <w:pPr>
              <w:pStyle w:val="Compact"/>
              <w:jc w:val="center"/>
            </w:pPr>
            <w:r>
              <w:t xml:space="preserve">-0.01 (0.959)</w:t>
            </w:r>
          </w:p>
        </w:tc>
        <w:tc>
          <w:tcPr/>
          <w:p>
            <w:pPr>
              <w:pStyle w:val="Compact"/>
              <w:jc w:val="center"/>
            </w:pPr>
            <w:r>
              <w:t xml:space="preserve">0.61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-0.06 (0.833)</w:t>
            </w:r>
          </w:p>
        </w:tc>
        <w:tc>
          <w:tcPr/>
          <w:p>
            <w:pPr>
              <w:pStyle w:val="Compact"/>
              <w:jc w:val="center"/>
            </w:pPr>
            <w:r>
              <w:t xml:space="preserve">-0.22 (0.386)</w:t>
            </w:r>
          </w:p>
        </w:tc>
        <w:tc>
          <w:tcPr/>
          <w:p>
            <w:pPr>
              <w:pStyle w:val="Compact"/>
              <w:jc w:val="center"/>
            </w:pPr>
            <w:r>
              <w:t xml:space="preserve">0.05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0.60 (0.014)</w:t>
            </w:r>
          </w:p>
        </w:tc>
        <w:tc>
          <w:tcPr/>
          <w:p>
            <w:pPr>
              <w:pStyle w:val="Compact"/>
              <w:jc w:val="center"/>
            </w:pPr>
            <w:r>
              <w:t xml:space="preserve">0.04 (0.873)</w:t>
            </w:r>
          </w:p>
        </w:tc>
        <w:tc>
          <w:tcPr/>
          <w:p>
            <w:pPr>
              <w:pStyle w:val="Compact"/>
              <w:jc w:val="center"/>
            </w:pPr>
            <w:r>
              <w:t xml:space="preserve">0.70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 (0.115)</w:t>
            </w:r>
          </w:p>
        </w:tc>
        <w:tc>
          <w:tcPr/>
          <w:p>
            <w:pPr>
              <w:pStyle w:val="Compact"/>
              <w:jc w:val="center"/>
            </w:pPr>
            <w:r>
              <w:t xml:space="preserve">0.35 (0.195)</w:t>
            </w:r>
          </w:p>
        </w:tc>
        <w:tc>
          <w:tcPr/>
          <w:p>
            <w:pPr>
              <w:pStyle w:val="Compact"/>
              <w:jc w:val="center"/>
            </w:pPr>
            <w:r>
              <w:t xml:space="preserve">0.61 (0.024)</w:t>
            </w:r>
          </w:p>
        </w:tc>
      </w:tr>
    </w:tbl>
    <w:bookmarkEnd w:id="144"/>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curated AI/SDG family is the symmetric AI/SDG-vs-AI/SDG control matching the research corpus’s AI</w:t>
      </w:r>
      <w:r>
        <w:t xml:space="preserve"> </w:t>
      </w:r>
      <m:oMath>
        <m:r>
          <m:rPr>
            <m:sty m:val="p"/>
          </m:rPr>
          <m:t>∩</m:t>
        </m:r>
      </m:oMath>
      <w:r>
        <w:t xml:space="preserve"> </w:t>
      </w:r>
      <w:r>
        <w:t xml:space="preserve">SDG scope.</w:t>
      </w:r>
    </w:p>
    <w:bookmarkEnd w:id="145"/>
    <w:bookmarkEnd w:id="146"/>
    <w:bookmarkStart w:id="148" w:name="app:regression"/>
    <w:p>
      <w:pPr>
        <w:pStyle w:val="Heading1"/>
      </w:pPr>
      <w:r>
        <w:t xml:space="preserve">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cancellation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w:t>
      </w:r>
    </w:p>
    <w:bookmarkStart w:id="147" w:name="tab:k1-specification-grid"/>
    <w:p>
      <w:pPr>
        <w:pStyle w:val="TableCaption"/>
      </w:pPr>
      <w:r>
        <w:t xml:space="preserve">Pooled OLS: coverage predictors and the within-SDG semantic gap rank across 24 configurations.</w:t>
      </w:r>
    </w:p>
    <w:tbl>
      <w:tblPr>
        <w:tblStyle w:val="Table"/>
        <w:tblW w:type="auto" w:w="0"/>
        <w:tblLook w:firstRow="1" w:lastRow="0" w:firstColumn="0" w:lastColumn="0" w:noHBand="0" w:noVBand="0" w:val="0020"/>
        <w:jc w:val="start"/>
        <w:tblCaption w:val="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+0.2</w:t>
            </w:r>
            <m:oMath>
              <m:sSup>
                <m:e>
                  <m:r>
                    <m:t>​</m:t>
                  </m:r>
                </m:e>
                <m:sup>
                  <m:r>
                    <m:rPr>
                      <m:sty m:val="p"/>
                    </m:rPr>
                    <m:t>†</m:t>
                  </m:r>
                </m:sup>
              </m:sSup>
            </m:oMath>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w:t>
            </w:r>
            <m:oMath>
              <m:sSup>
                <m:e>
                  <m:r>
                    <m:t>​</m:t>
                  </m:r>
                </m:e>
                <m:sup>
                  <m:r>
                    <m:rPr>
                      <m:sty m:val="p"/>
                    </m:rPr>
                    <m:t>†</m:t>
                  </m:r>
                </m:sup>
              </m:sSup>
            </m:oMath>
          </w:p>
        </w:tc>
        <w:tc>
          <w:tcPr/>
          <w:p>
            <w:pPr>
              <w:pStyle w:val="Compact"/>
              <w:jc w:val="center"/>
            </w:pPr>
            <w:r>
              <w:t xml:space="preserve">-0.0</w:t>
            </w:r>
          </w:p>
        </w:tc>
        <w:tc>
          <w:tcPr/>
          <w:p>
            <w:pPr>
              <w:pStyle w:val="Compact"/>
              <w:jc w:val="center"/>
            </w:pPr>
            <w:r>
              <w:t xml:space="preserve">+0.2</w:t>
            </w:r>
            <m:oMath>
              <m:sSup>
                <m:e>
                  <m:r>
                    <m:t>​</m:t>
                  </m:r>
                </m:e>
                <m:sup>
                  <m:r>
                    <m:rPr>
                      <m:sty m:val="p"/>
                    </m:rPr>
                    <m:t>*</m:t>
                  </m:r>
                </m:sup>
              </m:sSup>
            </m:oMath>
          </w:p>
        </w:tc>
        <w:tc>
          <w:tcPr/>
          <w:p>
            <w:pPr>
              <w:pStyle w:val="Compact"/>
              <w:jc w:val="center"/>
            </w:pPr>
            <w:r>
              <w:t xml:space="preserve">+0.2</w:t>
            </w:r>
          </w:p>
        </w:tc>
        <w:tc>
          <w:tcPr/>
          <w:p>
            <w:pPr>
              <w:pStyle w:val="Compact"/>
              <w:jc w:val="center"/>
            </w:pPr>
            <w:r>
              <w:t xml:space="preserve">+0.3</w:t>
            </w:r>
            <m:oMath>
              <m:sSup>
                <m:e>
                  <m:r>
                    <m:t>​</m:t>
                  </m:r>
                </m:e>
                <m:sup>
                  <m:r>
                    <m:rPr>
                      <m:sty m:val="p"/>
                    </m:rPr>
                    <m:t>*</m:t>
                  </m:r>
                  <m:r>
                    <m:rPr>
                      <m:sty m:val="p"/>
                    </m:rPr>
                    <m:t>*</m:t>
                  </m:r>
                </m:sup>
              </m:sSup>
            </m:oMath>
          </w:p>
        </w:tc>
        <w:tc>
          <w:tcPr/>
          <w:p>
            <w:pPr>
              <w:pStyle w:val="Compact"/>
              <w:jc w:val="center"/>
            </w:pPr>
            <w:r>
              <w:t xml:space="preserve">-0.0</w:t>
            </w:r>
          </w:p>
        </w:tc>
        <w:tc>
          <w:tcPr/>
          <w:p>
            <w:pPr>
              <w:pStyle w:val="Compact"/>
              <w:jc w:val="center"/>
            </w:pPr>
            <w:r>
              <w:t xml:space="preserve">+0.3</w:t>
            </w:r>
            <m:oMath>
              <m:sSup>
                <m:e>
                  <m:r>
                    <m:t>​</m:t>
                  </m:r>
                </m:e>
                <m:sup>
                  <m:r>
                    <m:rPr>
                      <m:sty m:val="p"/>
                    </m:rPr>
                    <m:t>*</m:t>
                  </m:r>
                  <m:r>
                    <m:rPr>
                      <m:sty m:val="p"/>
                    </m:rPr>
                    <m:t>*</m:t>
                  </m:r>
                </m:sup>
              </m:sSup>
            </m:oMath>
          </w:p>
        </w:tc>
        <w:tc>
          <w:tcPr/>
          <w:p>
            <w:pPr>
              <w:pStyle w:val="Compact"/>
              <w:jc w:val="center"/>
            </w:pPr>
            <w:r>
              <w:t xml:space="preserve">+0.2</w:t>
            </w:r>
          </w:p>
        </w:tc>
        <w:tc>
          <w:tcPr/>
          <w:p>
            <w:pPr>
              <w:pStyle w:val="Compact"/>
              <w:jc w:val="center"/>
            </w:pPr>
            <w:r>
              <w:t xml:space="preserve">+0.2</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r>
                    <m:rPr>
                      <m:sty m:val="p"/>
                    </m:rPr>
                    <m:t>*</m:t>
                  </m:r>
                </m:sup>
              </m:sSup>
            </m:oMath>
          </w:p>
        </w:tc>
        <w:tc>
          <w:tcPr/>
          <w:p>
            <w:pPr>
              <w:pStyle w:val="Compact"/>
              <w:jc w:val="center"/>
            </w:pPr>
            <w:r>
              <w:t xml:space="preserve">+0.0</w:t>
            </w:r>
            <m:oMath>
              <m:sSup>
                <m:e>
                  <m:r>
                    <m:t>​</m:t>
                  </m:r>
                </m:e>
                <m:sup>
                  <m:r>
                    <m:rPr>
                      <m:sty m:val="p"/>
                    </m:rPr>
                    <m:t>*</m:t>
                  </m:r>
                  <m:r>
                    <m:rPr>
                      <m:sty m:val="p"/>
                    </m:rPr>
                    <m:t>*</m:t>
                  </m:r>
                </m:sup>
              </m:sSup>
            </m:oMath>
          </w:p>
        </w:tc>
        <w:tc>
          <w:tcPr/>
          <w:p>
            <w:pPr>
              <w:pStyle w:val="Compact"/>
              <w:jc w:val="center"/>
            </w:pPr>
            <w:r>
              <w:t xml:space="preserve">+0.0</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r>
                    <m:rPr>
                      <m:sty m:val="p"/>
                    </m:rPr>
                    <m:t>*</m:t>
                  </m:r>
                </m:sup>
              </m:sSup>
            </m:oMath>
          </w:p>
        </w:tc>
        <w:tc>
          <w:tcPr/>
          <w:p>
            <w:pPr>
              <w:pStyle w:val="Compact"/>
              <w:jc w:val="center"/>
            </w:pPr>
            <w:r>
              <w:t xml:space="preserve">+0.2</w:t>
            </w:r>
            <m:oMath>
              <m:sSup>
                <m:e>
                  <m:r>
                    <m:t>​</m:t>
                  </m:r>
                </m:e>
                <m:sup>
                  <m:r>
                    <m:rPr>
                      <m:sty m:val="p"/>
                    </m:rPr>
                    <m:t>†</m:t>
                  </m:r>
                </m:sup>
              </m:sSup>
            </m:oMath>
          </w:p>
        </w:tc>
      </w:tr>
      <w:tr>
        <w:tc>
          <w:tcPr/>
          <w:p>
            <w:pPr>
              <w:pStyle w:val="Compact"/>
            </w:pPr>
          </w:p>
        </w:tc>
        <w:tc>
          <w:tcPr/>
          <w:p>
            <w:pPr>
              <w:pStyle w:val="Compact"/>
              <w:jc w:val="center"/>
            </w:pPr>
            <w:r>
              <w:t xml:space="preserve">(0.1)</w:t>
            </w:r>
          </w:p>
        </w:tc>
        <w:tc>
          <w:tcPr/>
          <w:p>
            <w:pPr>
              <w:pStyle w:val="Compact"/>
            </w:pPr>
          </w:p>
        </w:tc>
        <w:tc>
          <w:tcPr/>
          <w:p>
            <w:pPr>
              <w:pStyle w:val="Compact"/>
              <w:jc w:val="center"/>
            </w:pPr>
            <w:r>
              <w:t xml:space="preserve">(0.2)</w:t>
            </w: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(0.1)</w:t>
            </w:r>
          </w:p>
        </w:tc>
      </w:tr>
      <w:tr>
        <w:tc>
          <w:tcPr/>
          <w:p>
            <w:pPr>
              <w:pStyle w:val="Compact"/>
              <w:jc w:val="left"/>
            </w:pPr>
            <w:r>
              <w:t xml:space="preserve">Policy coverage</w:t>
            </w:r>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+0.5</w:t>
            </w:r>
            <m:oMath>
              <m:sSup>
                <m:e>
                  <m:r>
                    <m:t>​</m:t>
                  </m:r>
                </m:e>
                <m:sup>
                  <m:r>
                    <m:rPr>
                      <m:sty m:val="p"/>
                    </m:rPr>
                    <m:t>*</m:t>
                  </m:r>
                  <m:r>
                    <m:rPr>
                      <m:sty m:val="p"/>
                    </m:rPr>
                    <m:t>*</m:t>
                  </m:r>
                </m:sup>
              </m:sSup>
            </m:oMath>
          </w:p>
        </w:tc>
        <w:tc>
          <w:tcPr/>
          <w:p>
            <w:pPr>
              <w:pStyle w:val="Compact"/>
              <w:jc w:val="center"/>
            </w:pPr>
            <w:r>
              <w:t xml:space="preserve">-0.1</w:t>
            </w:r>
          </w:p>
        </w:tc>
        <w:tc>
          <w:tcPr/>
          <w:p>
            <w:pPr>
              <w:pStyle w:val="Compact"/>
              <w:jc w:val="center"/>
            </w:pPr>
            <w:r>
              <w:t xml:space="preserve">+0.1</w:t>
            </w:r>
          </w:p>
        </w:tc>
        <w:tc>
          <w:tcPr/>
          <w:p>
            <w:pPr>
              <w:pStyle w:val="Compact"/>
              <w:jc w:val="center"/>
            </w:pPr>
            <w:r>
              <w:t xml:space="preserve">-0.3</w:t>
            </w:r>
            <m:oMath>
              <m:sSup>
                <m:e>
                  <m:r>
                    <m:t>​</m:t>
                  </m:r>
                </m:e>
                <m:sup>
                  <m:r>
                    <m:rPr>
                      <m:sty m:val="p"/>
                    </m:rPr>
                    <m:t>†</m:t>
                  </m:r>
                </m:sup>
              </m:sSup>
            </m:oMath>
          </w:p>
        </w:tc>
        <w:tc>
          <w:tcPr/>
          <w:p>
            <w:pPr>
              <w:pStyle w:val="Compact"/>
              <w:jc w:val="center"/>
            </w:pPr>
            <w:r>
              <w:t xml:space="preserve">-0.3</w:t>
            </w:r>
          </w:p>
        </w:tc>
        <w:tc>
          <w:tcPr/>
          <w:p>
            <w:pPr>
              <w:pStyle w:val="Compact"/>
              <w:jc w:val="center"/>
            </w:pPr>
            <w:r>
              <w:t xml:space="preserve">+0.5</w:t>
            </w:r>
            <m:oMath>
              <m:sSup>
                <m:e>
                  <m:r>
                    <m:t>​</m:t>
                  </m:r>
                </m:e>
                <m:sup>
                  <m:r>
                    <m:rPr>
                      <m:sty m:val="p"/>
                    </m:rPr>
                    <m:t>*</m:t>
                  </m:r>
                  <m:r>
                    <m:rPr>
                      <m:sty m:val="p"/>
                    </m:rPr>
                    <m:t>*</m:t>
                  </m:r>
                </m:sup>
              </m:sSup>
            </m:oMath>
          </w:p>
        </w:tc>
        <w:tc>
          <w:tcPr/>
          <w:p>
            <w:pPr>
              <w:pStyle w:val="Compact"/>
              <w:jc w:val="center"/>
            </w:pPr>
            <w:r>
              <w:t xml:space="preserve">-0.1</w:t>
            </w:r>
          </w:p>
        </w:tc>
        <w:tc>
          <w:tcPr/>
          <w:p>
            <w:pPr>
              <w:pStyle w:val="Compact"/>
              <w:jc w:val="center"/>
            </w:pPr>
            <w:r>
              <w:t xml:space="preserve">-0.3</w:t>
            </w:r>
            <m:oMath>
              <m:sSup>
                <m:e>
                  <m:r>
                    <m:t>​</m:t>
                  </m:r>
                </m:e>
                <m:sup>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+1.2</w:t>
            </w:r>
            <m:oMath>
              <m:sSup>
                <m:e>
                  <m:r>
                    <m:t>​</m:t>
                  </m:r>
                </m:e>
                <m:sup>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sup>
              </m:sSup>
            </m:oMath>
          </w:p>
        </w:tc>
        <w:tc>
          <w:tcPr/>
          <w:p>
            <w:pPr>
              <w:pStyle w:val="Compact"/>
              <w:jc w:val="center"/>
            </w:pPr>
            <w:r>
              <w:t xml:space="preserve">+1.2</w:t>
            </w:r>
            <m:oMath>
              <m:sSup>
                <m:e>
                  <m:r>
                    <m:t>​</m:t>
                  </m:r>
                </m:e>
                <m:sup>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+0.0</w:t>
            </w:r>
            <m:oMath>
              <m:sSup>
                <m:e>
                  <m:r>
                    <m:t>​</m:t>
                  </m:r>
                </m:e>
                <m:sup>
                  <m:r>
                    <m:rPr>
                      <m:sty m:val="p"/>
                    </m:rPr>
                    <m:t>*</m:t>
                  </m:r>
                </m:sup>
              </m:sSup>
            </m:oMath>
          </w:p>
        </w:tc>
        <w:tc>
          <w:tcPr/>
          <w:p>
            <w:pPr>
              <w:pStyle w:val="Compact"/>
              <w:jc w:val="center"/>
            </w:pPr>
            <w:r>
              <w:t xml:space="preserve">+0.0</w:t>
            </w:r>
            <m:oMath>
              <m:sSup>
                <m:e>
                  <m:r>
                    <m:t>​</m:t>
                  </m:r>
                </m:e>
                <m:sup>
                  <m:r>
                    <m:rPr>
                      <m:sty m:val="p"/>
                    </m:rPr>
                    <m:t>*</m:t>
                  </m:r>
                </m:sup>
              </m:sSup>
            </m:oMath>
          </w:p>
        </w:tc>
        <w:tc>
          <w:tcPr/>
          <w:p>
            <w:pPr>
              <w:pStyle w:val="Compact"/>
              <w:jc w:val="center"/>
            </w:pPr>
            <w:r>
              <w:t xml:space="preserve">+0.5</w:t>
            </w:r>
            <m:oMath>
              <m:sSup>
                <m:e>
                  <m:r>
                    <m:t>​</m:t>
                  </m:r>
                </m:e>
                <m:sup>
                  <m:r>
                    <m:rPr>
                      <m:sty m:val="p"/>
                    </m:rPr>
                    <m:t>*</m:t>
                  </m:r>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r>
      <w:tr>
        <w:tc>
          <w:tcPr/>
          <w:p>
            <w:pPr>
              <w:pStyle w:val="Compact"/>
            </w:pP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(0.7)</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(0.7)</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(0.1)</w:t>
            </w:r>
          </w:p>
        </w:tc>
      </w:tr>
      <w:tr>
        <w:tc>
          <w:tcPr/>
          <w:p>
            <w:pPr>
              <w:pStyle w:val="Compact"/>
              <w:jc w:val="left"/>
            </w:pPr>
            <w:r>
              <w:t xml:space="preserve">MiniLM (vs. MPNet)</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+0.4</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+0.5</w:t>
            </w:r>
          </w:p>
        </w:tc>
        <w:tc>
          <w:tcPr/>
          <w:p>
            <w:pPr>
              <w:pStyle w:val="Compact"/>
              <w:jc w:val="center"/>
            </w:pPr>
            <w:r>
              <w:t xml:space="preserve">-0.0</w:t>
            </w:r>
            <m:oMath>
              <m:sSup>
                <m:e>
                  <m:r>
                    <m:t>​</m:t>
                  </m:r>
                </m:e>
                <m:sup>
                  <m:r>
                    <m:rPr>
                      <m:sty m:val="p"/>
                    </m:rPr>
                    <m:t>*</m:t>
                  </m:r>
                  <m:r>
                    <m:rPr>
                      <m:sty m:val="p"/>
                    </m:rPr>
                    <m:t>*</m:t>
                  </m:r>
                </m:sup>
              </m:sSup>
            </m:oMath>
          </w:p>
        </w:tc>
        <w:tc>
          <w:tcPr/>
          <w:p>
            <w:pPr>
              <w:pStyle w:val="Compact"/>
              <w:jc w:val="center"/>
            </w:pPr>
            <w:r>
              <w:t xml:space="preserve">-0.0</w:t>
            </w:r>
            <m:oMath>
              <m:sSup>
                <m:e>
                  <m:r>
                    <m:t>​</m:t>
                  </m:r>
                </m:e>
                <m:sup>
                  <m:r>
                    <m:rPr>
                      <m:sty m:val="p"/>
                    </m:rPr>
                    <m:t>*</m:t>
                  </m:r>
                  <m:r>
                    <m:rPr>
                      <m:sty m:val="p"/>
                    </m:rPr>
                    <m:t>*</m:t>
                  </m:r>
                </m:sup>
              </m:sSup>
            </m:oMath>
          </w:p>
        </w:tc>
        <w:tc>
          <w:tcPr/>
          <w:p>
            <w:pPr>
              <w:pStyle w:val="Compact"/>
              <w:jc w:val="center"/>
            </w:pPr>
            <w:r>
              <w:t xml:space="preserve">+0.2</w:t>
            </w:r>
          </w:p>
        </w:tc>
        <w:tc>
          <w:tcPr/>
          <w:p>
            <w:pPr>
              <w:pStyle w:val="Compact"/>
              <w:jc w:val="center"/>
            </w:pPr>
            <w:r>
              <w:t xml:space="preserve">+0.1</w:t>
            </w:r>
          </w:p>
        </w:tc>
      </w:tr>
      <w:tr>
        <w:tc>
          <w:tcPr/>
          <w:p>
            <w:pPr>
              <w:pStyle w:val="Compact"/>
            </w:pPr>
          </w:p>
        </w:tc>
        <w:tc>
          <w:tcPr/>
          <w:p>
            <w:pPr>
              <w:pStyle w:val="Compact"/>
              <w:jc w:val="center"/>
            </w:pPr>
            <w:r>
              <w:t xml:space="preserve">(0.8)</w:t>
            </w:r>
          </w:p>
        </w:tc>
        <w:tc>
          <w:tcPr/>
          <w:p>
            <w:pPr>
              <w:pStyle w:val="Compact"/>
              <w:jc w:val="center"/>
            </w:pPr>
            <w:r>
              <w:t xml:space="preserve">(0.8)</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(0.9)</w:t>
            </w:r>
          </w:p>
        </w:tc>
        <w:tc>
          <w:tcPr/>
          <w:p>
            <w:pPr>
              <w:pStyle w:val="Compact"/>
              <w:jc w:val="center"/>
            </w:pPr>
            <w:r>
              <w:t xml:space="preserve">(0.9)</w:t>
            </w:r>
          </w:p>
        </w:tc>
        <w:tc>
          <w:tcPr/>
          <w:p>
            <w:pPr>
              <w:pStyle w:val="Compact"/>
              <w:jc w:val="center"/>
            </w:pPr>
            <w:r>
              <w:t xml:space="preserve">(0.8)</w:t>
            </w:r>
          </w:p>
        </w:tc>
        <w:tc>
          <w:tcPr/>
          <w:p>
            <w:pPr>
              <w:pStyle w:val="Compact"/>
              <w:jc w:val="center"/>
            </w:pPr>
            <w:r>
              <w:t xml:space="preserve">(1.1)</w:t>
            </w:r>
          </w:p>
        </w:tc>
        <w:tc>
          <w:tcPr/>
          <w:p>
            <w:pPr>
              <w:pStyle w:val="Compact"/>
              <w:jc w:val="center"/>
            </w:pPr>
            <w:r>
              <w:t xml:space="preserve">(0.9)</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(0.9)</w:t>
            </w:r>
          </w:p>
        </w:tc>
        <w:tc>
          <w:tcPr/>
          <w:p>
            <w:pPr>
              <w:pStyle w:val="Compact"/>
              <w:jc w:val="center"/>
            </w:pPr>
            <w:r>
              <w:t xml:space="preserve">(0.8)</w:t>
            </w:r>
          </w:p>
        </w:tc>
        <w:tc>
          <w:tcPr/>
          <w:p>
            <w:pPr>
              <w:pStyle w:val="Compact"/>
            </w:pPr>
          </w:p>
        </w:tc>
        <w:tc>
          <w:tcPr/>
          <w:p>
            <w:pPr>
              <w:pStyle w:val="Compact"/>
              <w:jc w:val="center"/>
            </w:pPr>
            <w:r>
              <w:t xml:space="preserve">(0.8)</w:t>
            </w:r>
          </w:p>
        </w:tc>
        <w:tc>
          <w:tcPr/>
          <w:p>
            <w:pPr>
              <w:pStyle w:val="Compact"/>
              <w:jc w:val="center"/>
            </w:pPr>
            <w:r>
              <w:t xml:space="preserve">(1.1)</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(1.1)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(0.9)</w:t>
            </w:r>
          </w:p>
        </w:tc>
        <w:tc>
          <w:tcPr/>
          <w:p>
            <w:pPr>
              <w:pStyle w:val="Compact"/>
              <w:jc w:val="center"/>
            </w:pPr>
            <w:r>
              <w:t xml:space="preserve">(0.8)</w:t>
            </w:r>
          </w:p>
        </w:tc>
      </w:tr>
      <w:tr>
        <w:tc>
          <w:tcPr/>
          <w:p>
            <w:pPr>
              <w:pStyle w:val="Compact"/>
              <w:jc w:val="left"/>
            </w:pPr>
            <w:r>
              <w:t xml:space="preserve">SciBERT (vs. MPNet)</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+2.6</w:t>
            </w:r>
            <m:oMath>
              <m:sSup>
                <m:e>
                  <m:r>
                    <m:t>​</m:t>
                  </m:r>
                </m:e>
                <m:sup>
                  <m:r>
                    <m:rPr>
                      <m:sty m:val="p"/>
                    </m:rPr>
                    <m:t>*</m:t>
                  </m:r>
                </m:sup>
              </m:sSup>
            </m:oMath>
          </w:p>
        </w:tc>
        <w:tc>
          <w:tcPr/>
          <w:p>
            <w:pPr>
              <w:pStyle w:val="Compact"/>
              <w:jc w:val="center"/>
            </w:pPr>
            <w:r>
              <w:t xml:space="preserve">-0.1</w:t>
            </w:r>
          </w:p>
        </w:tc>
        <w:tc>
          <w:tcPr/>
          <w:p>
            <w:pPr>
              <w:pStyle w:val="Compact"/>
              <w:jc w:val="center"/>
            </w:pPr>
            <w:r>
              <w:t xml:space="preserve">-0.1</w:t>
            </w:r>
          </w:p>
        </w:tc>
        <w:tc>
          <w:tcPr/>
          <w:p>
            <w:pPr>
              <w:pStyle w:val="Compact"/>
              <w:jc w:val="center"/>
            </w:pPr>
            <w:r>
              <w:t xml:space="preserve">+2.8</w:t>
            </w:r>
            <m:oMath>
              <m:sSup>
                <m:e>
                  <m:r>
                    <m:t>​</m:t>
                  </m:r>
                </m:e>
                <m:sup>
                  <m:r>
                    <m:rPr>
                      <m:sty m:val="p"/>
                    </m:rPr>
                    <m:t>*</m:t>
                  </m:r>
                </m:sup>
              </m:sSup>
            </m:oMath>
          </w:p>
        </w:tc>
        <w:tc>
          <w:tcPr/>
          <w:p>
            <w:pPr>
              <w:pStyle w:val="Compact"/>
              <w:jc w:val="center"/>
            </w:pPr>
            <w:r>
              <w:t xml:space="preserve">-0.1</w:t>
            </w:r>
            <m:oMath>
              <m:sSup>
                <m:e>
                  <m:r>
                    <m:t>​</m:t>
                  </m:r>
                </m:e>
                <m:sup>
                  <m:r>
                    <m:rPr>
                      <m:sty m:val="p"/>
                    </m:rPr>
                    <m:t>*</m:t>
                  </m:r>
                  <m:r>
                    <m:rPr>
                      <m:sty m:val="p"/>
                    </m:rPr>
                    <m:t>*</m:t>
                  </m:r>
                  <m:r>
                    <m:rPr>
                      <m:sty m:val="p"/>
                    </m:rPr>
                    <m:t>*</m:t>
                  </m:r>
                </m:sup>
              </m:sSup>
            </m:oMath>
          </w:p>
        </w:tc>
        <w:tc>
          <w:tcPr/>
          <w:p>
            <w:pPr>
              <w:pStyle w:val="Compact"/>
              <w:jc w:val="center"/>
            </w:pPr>
            <w:r>
              <w:t xml:space="preserve">-0.1</w:t>
            </w:r>
            <m:oMath>
              <m:sSup>
                <m:e>
                  <m:r>
                    <m:t>​</m:t>
                  </m:r>
                </m:e>
                <m:sup>
                  <m:r>
                    <m:rPr>
                      <m:sty m:val="p"/>
                    </m:rPr>
                    <m:t>*</m:t>
                  </m:r>
                  <m:r>
                    <m:rPr>
                      <m:sty m:val="p"/>
                    </m:rPr>
                    <m:t>*</m:t>
                  </m:r>
                  <m:r>
                    <m:rPr>
                      <m:sty m:val="p"/>
                    </m:rPr>
                    <m:t>*</m:t>
                  </m:r>
                </m:sup>
              </m:sSup>
            </m:oMath>
          </w:p>
        </w:tc>
        <w:tc>
          <w:tcPr/>
          <w:p>
            <w:pPr>
              <w:pStyle w:val="Compact"/>
              <w:jc w:val="center"/>
            </w:pPr>
            <w:r>
              <w:t xml:space="preserve">-3.4</w:t>
            </w:r>
          </w:p>
        </w:tc>
        <w:tc>
          <w:tcPr/>
          <w:p>
            <w:pPr>
              <w:pStyle w:val="Compact"/>
              <w:jc w:val="center"/>
            </w:pPr>
            <w:r>
              <w:t xml:space="preserve">-0.1</w:t>
            </w:r>
          </w:p>
        </w:tc>
      </w:tr>
      <w:tr>
        <w:tc>
          <w:tcPr/>
          <w:p>
            <w:pPr>
              <w:pStyle w:val="Compact"/>
            </w:pP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(1.1)</w:t>
            </w:r>
          </w:p>
        </w:tc>
        <w:tc>
          <w:tcPr/>
          <w:p>
            <w:pPr>
              <w:pStyle w:val="Compact"/>
            </w:pP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(2.1)</w:t>
            </w:r>
          </w:p>
        </w:tc>
        <w:tc>
          <w:tcPr/>
          <w:p>
            <w:pPr>
              <w:pStyle w:val="Compact"/>
              <w:jc w:val="center"/>
            </w:pPr>
            <w:r>
              <w:t xml:space="preserve">(1.1)</w:t>
            </w:r>
          </w:p>
        </w:tc>
      </w:tr>
      <w:tr>
        <w:tc>
          <w:tcPr/>
          <w:p>
            <w:pPr>
              <w:pStyle w:val="Compact"/>
              <w:jc w:val="left"/>
            </w:pPr>
            <w:r>
              <w:t xml:space="preserve">Concept (vs. keyword)</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-0.6</w:t>
            </w:r>
          </w:p>
        </w:tc>
        <w:tc>
          <w:tcPr/>
          <w:p>
            <w:pPr>
              <w:pStyle w:val="Compact"/>
              <w:jc w:val="center"/>
            </w:pPr>
            <w:r>
              <w:t xml:space="preserve">-0.0</w:t>
            </w:r>
          </w:p>
        </w:tc>
        <w:tc>
          <w:tcPr/>
          <w:p>
            <w:pPr>
              <w:pStyle w:val="Compact"/>
              <w:jc w:val="center"/>
            </w:pPr>
            <w:r>
              <w:t xml:space="preserve">+0.8</w:t>
            </w:r>
          </w:p>
        </w:tc>
        <w:tc>
          <w:tcPr/>
          <w:p>
            <w:pPr>
              <w:pStyle w:val="Compact"/>
              <w:jc w:val="center"/>
            </w:pPr>
            <w:r>
              <w:t xml:space="preserve">+0.1</w:t>
            </w:r>
            <m:oMath>
              <m:sSup>
                <m:e>
                  <m:r>
                    <m:t>​</m:t>
                  </m:r>
                </m:e>
                <m:sup>
                  <m:r>
                    <m:rPr>
                      <m:sty m:val="p"/>
                    </m:rPr>
                    <m:t>*</m:t>
                  </m:r>
                  <m:r>
                    <m:rPr>
                      <m:sty m:val="p"/>
                    </m:rPr>
                    <m:t>*</m:t>
                  </m:r>
                  <m:r>
                    <m:rPr>
                      <m:sty m:val="p"/>
                    </m:rPr>
                    <m:t>*</m:t>
                  </m:r>
                </m:sup>
              </m:sSup>
            </m:oMath>
          </w:p>
        </w:tc>
        <w:tc>
          <w:tcPr/>
          <w:p>
            <w:pPr>
              <w:pStyle w:val="Compact"/>
              <w:jc w:val="center"/>
            </w:pPr>
            <w:r>
              <w:t xml:space="preserve">+0.1</w:t>
            </w:r>
            <m:oMath>
              <m:sSup>
                <m:e>
                  <m:r>
                    <m:t>​</m:t>
                  </m:r>
                </m:e>
                <m:sup>
                  <m:r>
                    <m:rPr>
                      <m:sty m:val="p"/>
                    </m:rPr>
                    <m:t>*</m:t>
                  </m:r>
                  <m:r>
                    <m:rPr>
                      <m:sty m:val="p"/>
                    </m:rPr>
                    <m:t>*</m:t>
                  </m:r>
                  <m:r>
                    <m:rPr>
                      <m:sty m:val="p"/>
                    </m:rPr>
                    <m:t>*</m:t>
                  </m:r>
                </m:sup>
              </m:sSup>
            </m:oMath>
          </w:p>
        </w:tc>
        <w:tc>
          <w:tcPr/>
          <w:p>
            <w:pPr>
              <w:pStyle w:val="Compact"/>
              <w:jc w:val="center"/>
            </w:pPr>
            <w:r>
              <w:t xml:space="preserve">-1.0</w:t>
            </w:r>
          </w:p>
        </w:tc>
        <w:tc>
          <w:tcPr/>
          <w:p>
            <w:pPr>
              <w:pStyle w:val="Compact"/>
              <w:jc w:val="center"/>
            </w:pPr>
            <w:r>
              <w:t xml:space="preserve">-0.0</w:t>
            </w:r>
          </w:p>
        </w:tc>
      </w:tr>
      <w:tr>
        <w:tc>
          <w:tcPr/>
          <w:p>
            <w:pPr>
              <w:pStyle w:val="Compact"/>
            </w:pPr>
          </w:p>
        </w:tc>
        <w:tc>
          <w:tcPr/>
          <w:p>
            <w:pPr>
              <w:pStyle w:val="Compact"/>
              <w:jc w:val="center"/>
            </w:pPr>
            <w:r>
              <w:t xml:space="preserve">(0.7)</w:t>
            </w:r>
          </w:p>
        </w:tc>
        <w:tc>
          <w:tcPr/>
          <w:p>
            <w:pPr>
              <w:pStyle w:val="Compact"/>
              <w:jc w:val="center"/>
            </w:pPr>
            <w:r>
              <w:t xml:space="preserve">(0.7)</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(0.7)</w:t>
            </w:r>
          </w:p>
        </w:tc>
        <w:tc>
          <w:tcPr/>
          <w:p>
            <w:pPr>
              <w:pStyle w:val="Compact"/>
              <w:jc w:val="center"/>
            </w:pPr>
            <w:r>
              <w:t xml:space="preserve">(0.8)</w:t>
            </w:r>
          </w:p>
        </w:tc>
        <w:tc>
          <w:tcPr/>
          <w:p>
            <w:pPr>
              <w:pStyle w:val="Compact"/>
              <w:jc w:val="center"/>
            </w:pPr>
            <w:r>
              <w:t xml:space="preserve">(1.0)</w:t>
            </w:r>
          </w:p>
        </w:tc>
        <w:tc>
          <w:tcPr/>
          <w:p>
            <w:pPr>
              <w:pStyle w:val="Compact"/>
              <w:jc w:val="center"/>
            </w:pPr>
            <w:r>
              <w:t xml:space="preserve">(0.6)</w:t>
            </w:r>
          </w:p>
        </w:tc>
        <w:tc>
          <w:tcPr/>
          <w:p>
            <w:pPr>
              <w:pStyle w:val="Compact"/>
              <w:jc w:val="center"/>
            </w:pPr>
            <w:r>
              <w:t xml:space="preserve">(0.7)</w:t>
            </w:r>
          </w:p>
        </w:tc>
        <w:tc>
          <w:tcPr/>
          <w:p>
            <w:pPr>
              <w:pStyle w:val="Compact"/>
              <w:jc w:val="center"/>
            </w:pPr>
            <w:r>
              <w:t xml:space="preserve">(0.7)</w:t>
            </w:r>
          </w:p>
        </w:tc>
        <w:tc>
          <w:tcPr/>
          <w:p>
            <w:pPr>
              <w:pStyle w:val="Compact"/>
            </w:pPr>
          </w:p>
        </w:tc>
        <w:tc>
          <w:tcPr/>
          <w:p>
            <w:pPr>
              <w:pStyle w:val="Compact"/>
              <w:jc w:val="center"/>
            </w:pPr>
            <w:r>
              <w:t xml:space="preserve">(0.8)</w:t>
            </w:r>
          </w:p>
        </w:tc>
        <w:tc>
          <w:tcPr/>
          <w:p>
            <w:pPr>
              <w:pStyle w:val="Compact"/>
              <w:jc w:val="center"/>
            </w:pPr>
            <w:r>
              <w:t xml:space="preserve">(0.7)</w:t>
            </w:r>
          </w:p>
        </w:tc>
        <w:tc>
          <w:tcPr/>
          <w:p>
            <w:pPr>
              <w:pStyle w:val="Compact"/>
              <w:jc w:val="center"/>
            </w:pPr>
            <w:r>
              <w:t xml:space="preserve">(0.7)</w:t>
            </w:r>
          </w:p>
        </w:tc>
        <w:tc>
          <w:tcPr/>
          <w:p>
            <w:pPr>
              <w:pStyle w:val="Compact"/>
              <w:jc w:val="center"/>
            </w:pPr>
            <w:r>
              <w:t xml:space="preserve">(1.0)</w:t>
            </w:r>
          </w:p>
        </w:tc>
        <w:tc>
          <w:tcPr/>
          <w:p>
            <w:pPr>
              <w:pStyle w:val="Compact"/>
              <w:jc w:val="center"/>
            </w:pPr>
            <w:r>
              <w:t xml:space="preserve">(0.7)</w:t>
            </w:r>
          </w:p>
        </w:tc>
        <w:tc>
          <w:tcPr/>
          <w:p>
            <w:pPr>
              <w:pStyle w:val="Compact"/>
              <w:jc w:val="center"/>
            </w:pPr>
            <w:r>
              <w:t xml:space="preserve">(0.8)</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(1.2)</w:t>
            </w:r>
          </w:p>
        </w:tc>
        <w:tc>
          <w:tcPr/>
          <w:p>
            <w:pPr>
              <w:pStyle w:val="Compact"/>
              <w:jc w:val="center"/>
            </w:pPr>
            <w:r>
              <w:t xml:space="preserve">(0.7)</w:t>
            </w:r>
          </w:p>
        </w:tc>
      </w:tr>
      <w:tr>
        <w:tc>
          <w:tcPr/>
          <w:p>
            <w:pPr>
              <w:pStyle w:val="Compact"/>
              <w:jc w:val="left"/>
            </w:pPr>
            <w:r>
              <w:t xml:space="preserve">Cap 20 (vs. 50)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m:oMath>
              <m:sSup>
                <m:e>
                  <m:r>
                    <m:t>​</m:t>
                  </m:r>
                </m:e>
                <m:sup>
                  <m:r>
                    <m:rPr>
                      <m:sty m:val="p"/>
                    </m:rPr>
                    <m:t>*</m:t>
                  </m:r>
                </m:sup>
              </m:sSup>
            </m:oMath>
          </w:p>
        </w:tc>
        <w:tc>
          <w:tcPr/>
          <w:p>
            <w:pPr>
              <w:pStyle w:val="Compact"/>
              <w:jc w:val="center"/>
            </w:pPr>
            <w:r>
              <w:t xml:space="preserve">+0.0</w:t>
            </w:r>
            <m:oMath>
              <m:sSup>
                <m:e>
                  <m:r>
                    <m:t>​</m:t>
                  </m:r>
                </m:e>
                <m:sup>
                  <m:r>
                    <m:rPr>
                      <m:sty m:val="p"/>
                    </m:rPr>
                    <m:t>*</m:t>
                  </m:r>
                </m:sup>
              </m:sSup>
            </m:oMath>
          </w:p>
        </w:tc>
        <w:tc>
          <w:tcPr/>
          <w:p>
            <w:pPr>
              <w:pStyle w:val="Compact"/>
              <w:jc w:val="center"/>
            </w:pPr>
            <w:r>
              <w:t xml:space="preserve">-0.1</w:t>
            </w:r>
          </w:p>
        </w:tc>
        <w:tc>
          <w:tcPr/>
          <w:p>
            <w:pPr>
              <w:pStyle w:val="Compact"/>
              <w:jc w:val="center"/>
            </w:pPr>
            <w:r>
              <w:t xml:space="preserve">-0.0</w:t>
            </w:r>
          </w:p>
        </w:tc>
      </w:tr>
      <w:tr>
        <w:tc>
          <w:tcPr/>
          <w:p>
            <w:pPr>
              <w:pStyle w:val="Compact"/>
            </w:pP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(0.3)</w:t>
            </w:r>
          </w:p>
        </w:tc>
        <w:tc>
          <w:tcPr/>
          <w:p>
            <w:pPr>
              <w:pStyle w:val="Compact"/>
              <w:jc w:val="center"/>
            </w:pPr>
            <w:r>
              <w:t xml:space="preserve">(0.1)</w:t>
            </w:r>
          </w:p>
        </w:tc>
      </w:tr>
      <w:tr>
        <w:tc>
          <w:tcPr/>
          <w:p>
            <w:pPr>
              <w:pStyle w:val="Compact"/>
              <w:jc w:val="left"/>
            </w:pPr>
            <w:r>
              <w:t xml:space="preserve">No cap (vs. 50)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-0.2</w:t>
            </w:r>
          </w:p>
        </w:tc>
        <w:tc>
          <w:tcPr/>
          <w:p>
            <w:pPr>
              <w:pStyle w:val="Compact"/>
              <w:jc w:val="center"/>
            </w:pPr>
            <w:r>
              <w:t xml:space="preserve">-0.0</w:t>
            </w:r>
          </w:p>
        </w:tc>
      </w:tr>
      <w:tr>
        <w:tc>
          <w:tcPr/>
          <w:p>
            <w:pPr>
              <w:pStyle w:val="Compact"/>
            </w:pP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(0.3)</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(0.3)</w:t>
            </w:r>
          </w:p>
        </w:tc>
        <w:tc>
          <w:tcPr/>
          <w:p>
            <w:pPr>
              <w:pStyle w:val="Compact"/>
              <w:jc w:val="center"/>
            </w:pPr>
            <w:r>
              <w:t xml:space="preserve">(0.2)</w:t>
            </w:r>
          </w:p>
        </w:tc>
        <w:tc>
          <w:tcPr/>
          <w:p>
            <w:pPr>
              <w:pStyle w:val="Compact"/>
              <w:jc w:val="center"/>
            </w:pPr>
            <w:r>
              <w:t xml:space="preserve">(0.3)</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(0.4)</w:t>
            </w:r>
          </w:p>
        </w:tc>
        <w:tc>
          <w:tcPr/>
          <w:p>
            <w:pPr>
              <w:pStyle w:val="Compact"/>
              <w:jc w:val="center"/>
            </w:pPr>
            <w:r>
              <w:t xml:space="preserve">(0.2)</w:t>
            </w:r>
          </w:p>
        </w:tc>
      </w:tr>
      <w:tr>
        <w:tc>
          <w:tcPr/>
          <w:p>
            <w:pPr>
              <w:pStyle w:val="Compact"/>
              <w:jc w:val="left"/>
            </w:pPr>
            <w:r>
              <w:t xml:space="preserve">MLP (vs. LR)</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+0.6</w:t>
            </w:r>
          </w:p>
        </w:tc>
        <w:tc>
          <w:tcPr/>
          <w:p>
            <w:pPr>
              <w:pStyle w:val="Compact"/>
              <w:jc w:val="center"/>
            </w:pPr>
            <w:r>
              <w:t xml:space="preserve">+0.5</w:t>
            </w:r>
          </w:p>
        </w:tc>
        <w:tc>
          <w:tcPr/>
          <w:p>
            <w:pPr>
              <w:pStyle w:val="Compact"/>
              <w:jc w:val="center"/>
            </w:pPr>
            <w:r>
              <w:t xml:space="preserve">+0.0</w:t>
            </w:r>
            <m:oMath>
              <m:sSup>
                <m:e>
                  <m:r>
                    <m:t>​</m:t>
                  </m:r>
                </m:e>
                <m:sup>
                  <m:r>
                    <m:rPr>
                      <m:sty m:val="p"/>
                    </m:rPr>
                    <m:t>*</m:t>
                  </m:r>
                </m:sup>
              </m:sSup>
            </m:oMath>
          </w:p>
        </w:tc>
        <w:tc>
          <w:tcPr/>
          <w:p>
            <w:pPr>
              <w:pStyle w:val="Compact"/>
              <w:jc w:val="center"/>
            </w:pPr>
            <w:r>
              <w:t xml:space="preserve">+0.0</w:t>
            </w:r>
            <m:oMath>
              <m:sSup>
                <m:e>
                  <m:r>
                    <m:t>​</m:t>
                  </m:r>
                </m:e>
                <m:sup>
                  <m:r>
                    <m:rPr>
                      <m:sty m:val="p"/>
                    </m:rPr>
                    <m:t>*</m:t>
                  </m:r>
                </m:sup>
              </m:sSup>
            </m:oMath>
          </w:p>
        </w:tc>
        <w:tc>
          <w:tcPr/>
          <w:p>
            <w:pPr>
              <w:pStyle w:val="Compact"/>
              <w:jc w:val="center"/>
            </w:pPr>
            <w:r>
              <w:t xml:space="preserve">-0.8</w:t>
            </w:r>
          </w:p>
        </w:tc>
        <w:tc>
          <w:tcPr/>
          <w:p>
            <w:pPr>
              <w:pStyle w:val="Compact"/>
              <w:jc w:val="center"/>
            </w:pPr>
            <w:r>
              <w:t xml:space="preserve">-0.0</w:t>
            </w:r>
          </w:p>
        </w:tc>
      </w:tr>
      <w:tr>
        <w:tc>
          <w:tcPr/>
          <w:p>
            <w:pPr>
              <w:pStyle w:val="Compact"/>
            </w:pPr>
          </w:p>
        </w:tc>
        <w:tc>
          <w:tcPr/>
          <w:p>
            <w:pPr>
              <w:pStyle w:val="Compact"/>
              <w:jc w:val="center"/>
            </w:pPr>
            <w:r>
              <w:t xml:space="preserve">(0.4)</w:t>
            </w:r>
          </w:p>
        </w:tc>
        <w:tc>
          <w:tcPr/>
          <w:p>
            <w:pPr>
              <w:pStyle w:val="Compact"/>
              <w:jc w:val="center"/>
            </w:pPr>
            <w:r>
              <w:t xml:space="preserve">(0.4)</w:t>
            </w:r>
          </w:p>
        </w:tc>
        <w:tc>
          <w:tcPr/>
          <w:p>
            <w:pPr>
              <w:pStyle w:val="Compact"/>
              <w:jc w:val="center"/>
            </w:pPr>
            <w:r>
              <w:t xml:space="preserve">(0.5)</w:t>
            </w:r>
          </w:p>
        </w:tc>
        <w:tc>
          <w:tcPr/>
          <w:p>
            <w:pPr>
              <w:pStyle w:val="Compact"/>
              <w:jc w:val="center"/>
            </w:pPr>
            <w:r>
              <w:t xml:space="preserve">(0.5)</w:t>
            </w:r>
          </w:p>
        </w:tc>
        <w:tc>
          <w:tcPr/>
          <w:p>
            <w:pPr>
              <w:pStyle w:val="Compact"/>
              <w:jc w:val="center"/>
            </w:pPr>
            <w:r>
              <w:t xml:space="preserve">(0.3)</w:t>
            </w:r>
          </w:p>
        </w:tc>
        <w:tc>
          <w:tcPr/>
          <w:p>
            <w:pPr>
              <w:pStyle w:val="Compact"/>
              <w:jc w:val="center"/>
            </w:pPr>
            <w:r>
              <w:t xml:space="preserve">(0.3)</w:t>
            </w:r>
          </w:p>
        </w:tc>
        <w:tc>
          <w:tcPr/>
          <w:p>
            <w:pPr>
              <w:pStyle w:val="Compact"/>
              <w:jc w:val="center"/>
            </w:pPr>
            <w:r>
              <w:t xml:space="preserve">(0.4)</w:t>
            </w:r>
          </w:p>
        </w:tc>
        <w:tc>
          <w:tcPr/>
          <w:p>
            <w:pPr>
              <w:pStyle w:val="Compact"/>
              <w:jc w:val="center"/>
            </w:pPr>
            <w:r>
              <w:t xml:space="preserve">(0.5)</w:t>
            </w:r>
          </w:p>
        </w:tc>
        <w:tc>
          <w:tcPr/>
          <w:p>
            <w:pPr>
              <w:pStyle w:val="Compact"/>
              <w:jc w:val="center"/>
            </w:pPr>
            <w:r>
              <w:t xml:space="preserve">(0.3)</w:t>
            </w:r>
          </w:p>
        </w:tc>
        <w:tc>
          <w:tcPr/>
          <w:p>
            <w:pPr>
              <w:pStyle w:val="Compact"/>
            </w:pPr>
          </w:p>
        </w:tc>
        <w:tc>
          <w:tcPr/>
          <w:p>
            <w:pPr>
              <w:pStyle w:val="Compact"/>
              <w:jc w:val="center"/>
            </w:pPr>
            <w:r>
              <w:t xml:space="preserve">(0.4)</w:t>
            </w:r>
          </w:p>
        </w:tc>
        <w:tc>
          <w:tcPr/>
          <w:p>
            <w:pPr>
              <w:pStyle w:val="Compact"/>
              <w:jc w:val="center"/>
            </w:pPr>
            <w:r>
              <w:t xml:space="preserve">(0.4)</w:t>
            </w:r>
          </w:p>
        </w:tc>
        <w:tc>
          <w:tcPr/>
          <w:p>
            <w:pPr>
              <w:pStyle w:val="Compact"/>
              <w:jc w:val="center"/>
            </w:pPr>
            <w:r>
              <w:t xml:space="preserve">(0.4)</w:t>
            </w:r>
          </w:p>
        </w:tc>
        <w:tc>
          <w:tcPr/>
          <w:p>
            <w:pPr>
              <w:pStyle w:val="Compact"/>
              <w:jc w:val="center"/>
            </w:pPr>
            <w:r>
              <w:t xml:space="preserve">(0.6)</w:t>
            </w:r>
          </w:p>
        </w:tc>
        <w:tc>
          <w:tcPr/>
          <w:p>
            <w:pPr>
              <w:pStyle w:val="Compact"/>
            </w:pPr>
          </w:p>
        </w:tc>
        <w:tc>
          <w:tcPr/>
          <w:p>
            <w:pPr>
              <w:pStyle w:val="Compact"/>
              <w:jc w:val="center"/>
            </w:pPr>
            <w:r>
              <w:t xml:space="preserve">(0.4)</w:t>
            </w:r>
          </w:p>
        </w:tc>
        <w:tc>
          <w:tcPr/>
          <w:p>
            <w:pPr>
              <w:pStyle w:val="Compact"/>
              <w:jc w:val="center"/>
            </w:pPr>
            <w:r>
              <w:t xml:space="preserve">(0.4)</w:t>
            </w:r>
          </w:p>
        </w:tc>
        <w:tc>
          <w:tcPr/>
          <w:p>
            <w:pPr>
              <w:pStyle w:val="Compact"/>
              <w:jc w:val="center"/>
            </w:pPr>
            <w:r>
              <w:t xml:space="preserve">(0.5)</w:t>
            </w:r>
          </w:p>
        </w:tc>
        <w:tc>
          <w:tcPr/>
          <w:p>
            <w:pPr>
              <w:pStyle w:val="Compact"/>
              <w:jc w:val="center"/>
            </w:pPr>
            <w:r>
              <w:t xml:space="preserve">(0.5)</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(0.9)</w:t>
            </w:r>
          </w:p>
        </w:tc>
        <w:tc>
          <w:tcPr/>
          <w:p>
            <w:pPr>
              <w:pStyle w:val="Compact"/>
              <w:jc w:val="center"/>
            </w:pPr>
            <w:r>
              <w:t xml:space="preserve">(0.4)</w:t>
            </w:r>
          </w:p>
        </w:tc>
      </w:tr>
      <w:tr>
        <w:tc>
          <w:tcPr/>
          <w:p>
            <w:pPr>
              <w:pStyle w:val="Compact"/>
              <w:jc w:val="left"/>
            </w:pPr>
            <w:r>
              <w:t xml:space="preserve">ZS (vs. LR)</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+0.8</w:t>
            </w:r>
          </w:p>
        </w:tc>
        <w:tc>
          <w:tcPr/>
          <w:p>
            <w:pPr>
              <w:pStyle w:val="Compact"/>
              <w:jc w:val="center"/>
            </w:pPr>
            <w:r>
              <w:t xml:space="preserve">+0.7</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-0.8</w:t>
            </w:r>
          </w:p>
        </w:tc>
        <w:tc>
          <w:tcPr/>
          <w:p>
            <w:pPr>
              <w:pStyle w:val="Compact"/>
              <w:jc w:val="center"/>
            </w:pPr>
            <w:r>
              <w:t xml:space="preserve">+0.0</w:t>
            </w:r>
          </w:p>
        </w:tc>
      </w:tr>
      <w:tr>
        <w:tc>
          <w:tcPr/>
          <w:p>
            <w:pPr>
              <w:pStyle w:val="Compact"/>
            </w:pPr>
          </w:p>
        </w:tc>
        <w:tc>
          <w:tcPr/>
          <w:p>
            <w:pPr>
              <w:pStyle w:val="Compact"/>
              <w:jc w:val="center"/>
            </w:pPr>
            <w:r>
              <w:t xml:space="preserve">(0.7)</w:t>
            </w:r>
          </w:p>
        </w:tc>
        <w:tc>
          <w:tcPr/>
          <w:p>
            <w:pPr>
              <w:pStyle w:val="Compact"/>
              <w:jc w:val="center"/>
            </w:pPr>
            <w:r>
              <w:t xml:space="preserve">(0.7)</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(0.7)</w:t>
            </w:r>
          </w:p>
        </w:tc>
        <w:tc>
          <w:tcPr/>
          <w:p>
            <w:pPr>
              <w:pStyle w:val="Compact"/>
              <w:jc w:val="center"/>
            </w:pPr>
            <w:r>
              <w:t xml:space="preserve">(1.3)</w:t>
            </w:r>
          </w:p>
        </w:tc>
        <w:tc>
          <w:tcPr/>
          <w:p>
            <w:pPr>
              <w:pStyle w:val="Compact"/>
              <w:jc w:val="center"/>
            </w:pPr>
            <w:r>
              <w:t xml:space="preserve">(0.8)</w:t>
            </w:r>
          </w:p>
        </w:tc>
        <w:tc>
          <w:tcPr/>
          <w:p>
            <w:pPr>
              <w:pStyle w:val="Compact"/>
            </w:pPr>
          </w:p>
        </w:tc>
        <w:tc>
          <w:tcPr/>
          <w:p>
            <w:pPr>
              <w:pStyle w:val="Compact"/>
              <w:jc w:val="center"/>
            </w:pPr>
            <w:r>
              <w:t xml:space="preserve">(0.7)</w:t>
            </w:r>
          </w:p>
        </w:tc>
        <w:tc>
          <w:tcPr/>
          <w:p>
            <w:pPr>
              <w:pStyle w:val="Compact"/>
            </w:pPr>
          </w:p>
        </w:tc>
        <w:tc>
          <w:tcPr/>
          <w:p>
            <w:pPr>
              <w:pStyle w:val="Compact"/>
              <w:jc w:val="center"/>
            </w:pPr>
            <w:r>
              <w:t xml:space="preserve">(0.7)</w:t>
            </w:r>
          </w:p>
        </w:tc>
        <w:tc>
          <w:tcPr/>
          <w:p>
            <w:pPr>
              <w:pStyle w:val="Compact"/>
              <w:jc w:val="center"/>
            </w:pPr>
            <w:r>
              <w:t xml:space="preserve">(1.0)</w:t>
            </w:r>
          </w:p>
        </w:tc>
        <w:tc>
          <w:tcPr/>
          <w:p>
            <w:pPr>
              <w:pStyle w:val="Compact"/>
            </w:pPr>
          </w:p>
        </w:tc>
        <w:tc>
          <w:tcPr/>
          <w:p>
            <w:pPr>
              <w:pStyle w:val="Compact"/>
              <w:jc w:val="center"/>
            </w:pPr>
            <w:r>
              <w:t xml:space="preserve">(0.7)</w:t>
            </w:r>
          </w:p>
        </w:tc>
        <w:tc>
          <w:tcPr/>
          <w:p>
            <w:pPr>
              <w:pStyle w:val="Compact"/>
              <w:jc w:val="center"/>
            </w:pPr>
            <w:r>
              <w:t xml:space="preserve">(0.7)</w:t>
            </w:r>
          </w:p>
        </w:tc>
        <w:tc>
          <w:tcPr/>
          <w:p>
            <w:pPr>
              <w:pStyle w:val="Compact"/>
              <w:jc w:val="center"/>
            </w:pPr>
            <w:r>
              <w:t xml:space="preserve">(0.9)</w:t>
            </w:r>
          </w:p>
        </w:tc>
        <w:tc>
          <w:tcPr/>
          <w:p>
            <w:pPr>
              <w:pStyle w:val="Compact"/>
              <w:jc w:val="center"/>
            </w:pPr>
            <w:r>
              <w:t xml:space="preserve">(0.9)</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(1.3)</w:t>
            </w:r>
          </w:p>
        </w:tc>
        <w:tc>
          <w:tcPr/>
          <w:p>
            <w:pPr>
              <w:pStyle w:val="Compact"/>
              <w:jc w:val="center"/>
            </w:pPr>
            <w:r>
              <w:t xml:space="preserve">(0.7)</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jc w:val="center"/>
            </w:pPr>
            <w:r>
              <w:t xml:space="preserve">(0.1)</w:t>
            </w: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(3.9)</w:t>
            </w:r>
          </w:p>
        </w:tc>
        <w:tc>
          <w:tcPr/>
          <w:p>
            <w:pPr>
              <w:pStyle w:val="Compact"/>
            </w:pPr>
          </w:p>
        </w:tc>
        <w:tc>
          <w:tcPr/>
          <w:p>
            <w:pPr>
              <w:pStyle w:val="Compact"/>
            </w:pPr>
          </w:p>
        </w:tc>
        <w:tc>
          <w:tcPr/>
          <w:p>
            <w:pPr>
              <w:pStyle w:val="Compact"/>
            </w:pPr>
          </w:p>
        </w:tc>
        <w:tc>
          <w:tcPr/>
          <w:p>
            <w:pPr>
              <w:pStyle w:val="Compact"/>
              <w:jc w:val="center"/>
            </w:pPr>
            <w:r>
              <w:t xml:space="preserve">(3.9)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w:t>
            </w:r>
          </w:p>
        </w:tc>
        <w:tc>
          <w:tcPr/>
          <w:p>
            <w:pPr>
              <w:pStyle w:val="Compact"/>
            </w:pPr>
          </w:p>
        </w:tc>
        <w:tc>
          <w:tcPr/>
          <w:p>
            <w:pPr>
              <w:pStyle w:val="Compact"/>
            </w:pPr>
          </w:p>
        </w:tc>
        <w:tc>
          <w:tcPr/>
          <w:p>
            <w:pPr>
              <w:pStyle w:val="Compact"/>
            </w:pPr>
          </w:p>
        </w:tc>
        <w:tc>
          <w:tcPr/>
          <w:p>
            <w:pPr>
              <w:pStyle w:val="Compact"/>
              <w:jc w:val="center"/>
            </w:pPr>
            <w:r>
              <w:t xml:space="preserve">(4.3)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w:t>
            </w:r>
          </w:p>
        </w:tc>
        <w:tc>
          <w:tcPr/>
          <w:p>
            <w:pPr>
              <w:pStyle w:val="Compact"/>
            </w:pPr>
          </w:p>
        </w:tc>
        <w:tc>
          <w:tcPr/>
          <w:p>
            <w:pPr>
              <w:pStyle w:val="Compact"/>
            </w:pPr>
          </w:p>
        </w:tc>
        <w:tc>
          <w:tcPr/>
          <w:p>
            <w:pPr>
              <w:pStyle w:val="Compact"/>
            </w:pPr>
          </w:p>
        </w:tc>
        <w:tc>
          <w:tcPr/>
          <w:p>
            <w:pPr>
              <w:pStyle w:val="Compact"/>
              <w:jc w:val="center"/>
            </w:pPr>
            <w: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w:t>
            </w:r>
          </w:p>
        </w:tc>
        <w:tc>
          <w:tcPr/>
          <w:p>
            <w:pPr>
              <w:pStyle w:val="Compact"/>
            </w:pPr>
          </w:p>
        </w:tc>
        <w:tc>
          <w:tcPr/>
          <w:p>
            <w:pPr>
              <w:pStyle w:val="Compact"/>
            </w:pPr>
          </w:p>
        </w:tc>
        <w:tc>
          <w:tcPr/>
          <w:p>
            <w:pPr>
              <w:pStyle w:val="Compact"/>
            </w:pPr>
          </w:p>
        </w:tc>
        <w:tc>
          <w:tcPr/>
          <w:p>
            <w:pPr>
              <w:pStyle w:val="Compact"/>
              <w:jc w:val="center"/>
            </w:pPr>
            <w:r>
              <w:t xml:space="preserve">(3.6)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(3.7)</w:t>
            </w:r>
          </w:p>
        </w:tc>
        <w:tc>
          <w:tcPr/>
          <w:p>
            <w:pPr>
              <w:pStyle w:val="Compact"/>
            </w:pPr>
          </w:p>
        </w:tc>
        <w:tc>
          <w:tcPr/>
          <w:p>
            <w:pPr>
              <w:pStyle w:val="Compact"/>
            </w:pPr>
          </w:p>
        </w:tc>
        <w:tc>
          <w:tcPr/>
          <w:p>
            <w:pPr>
              <w:pStyle w:val="Compact"/>
            </w:pPr>
          </w:p>
        </w:tc>
        <w:tc>
          <w:tcPr/>
          <w:p>
            <w:pPr>
              <w:pStyle w:val="Compact"/>
              <w:jc w:val="center"/>
            </w:pPr>
            <w:r>
              <w:t xml:space="preserve">(3.7)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(4.6)</w:t>
            </w:r>
          </w:p>
        </w:tc>
        <w:tc>
          <w:tcPr/>
          <w:p>
            <w:pPr>
              <w:pStyle w:val="Compact"/>
            </w:pPr>
          </w:p>
        </w:tc>
        <w:tc>
          <w:tcPr/>
          <w:p>
            <w:pPr>
              <w:pStyle w:val="Compact"/>
            </w:pPr>
          </w:p>
        </w:tc>
        <w:tc>
          <w:tcPr/>
          <w:p>
            <w:pPr>
              <w:pStyle w:val="Compact"/>
            </w:pPr>
          </w:p>
        </w:tc>
        <w:tc>
          <w:tcPr/>
          <w:p>
            <w:pPr>
              <w:pStyle w:val="Compact"/>
              <w:jc w:val="center"/>
            </w:pPr>
            <w:r>
              <w:t xml:space="preserve">(4.6)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w:t>
            </w:r>
          </w:p>
        </w:tc>
        <w:tc>
          <w:tcPr/>
          <w:p>
            <w:pPr>
              <w:pStyle w:val="Compact"/>
            </w:pPr>
          </w:p>
        </w:tc>
        <w:tc>
          <w:tcPr/>
          <w:p>
            <w:pPr>
              <w:pStyle w:val="Compact"/>
            </w:pPr>
          </w:p>
        </w:tc>
        <w:tc>
          <w:tcPr/>
          <w:p>
            <w:pPr>
              <w:pStyle w:val="Compact"/>
            </w:pPr>
          </w:p>
        </w:tc>
        <w:tc>
          <w:tcPr/>
          <w:p>
            <w:pPr>
              <w:pStyle w:val="Compact"/>
              <w:jc w:val="center"/>
            </w:pPr>
            <w:r>
              <w:t xml:space="preserve">(4.4)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w:t>
            </w:r>
          </w:p>
        </w:tc>
        <w:tc>
          <w:tcPr/>
          <w:p>
            <w:pPr>
              <w:pStyle w:val="Compact"/>
            </w:pPr>
          </w:p>
        </w:tc>
        <w:tc>
          <w:tcPr/>
          <w:p>
            <w:pPr>
              <w:pStyle w:val="Compact"/>
            </w:pPr>
          </w:p>
        </w:tc>
        <w:tc>
          <w:tcPr/>
          <w:p>
            <w:pPr>
              <w:pStyle w:val="Compact"/>
            </w:pPr>
          </w:p>
        </w:tc>
        <w:tc>
          <w:tcPr/>
          <w:p>
            <w:pPr>
              <w:pStyle w:val="Compact"/>
              <w:jc w:val="center"/>
            </w:pPr>
            <w:r>
              <w:t xml:space="preserve">(4.2)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w:t>
            </w:r>
          </w:p>
        </w:tc>
        <w:tc>
          <w:tcPr/>
          <w:p>
            <w:pPr>
              <w:pStyle w:val="Compact"/>
            </w:pPr>
          </w:p>
        </w:tc>
        <w:tc>
          <w:tcPr/>
          <w:p>
            <w:pPr>
              <w:pStyle w:val="Compact"/>
            </w:pPr>
          </w:p>
        </w:tc>
        <w:tc>
          <w:tcPr/>
          <w:p>
            <w:pPr>
              <w:pStyle w:val="Compact"/>
            </w:pPr>
          </w:p>
        </w:tc>
        <w:tc>
          <w:tcPr/>
          <w:p>
            <w:pPr>
              <w:pStyle w:val="Compact"/>
              <w:jc w:val="center"/>
            </w:pPr>
            <w:r>
              <w:t xml:space="preserve">(4.1)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w:t>
            </w:r>
          </w:p>
        </w:tc>
        <w:tc>
          <w:tcPr/>
          <w:p>
            <w:pPr>
              <w:pStyle w:val="Compact"/>
            </w:pPr>
          </w:p>
        </w:tc>
        <w:tc>
          <w:tcPr/>
          <w:p>
            <w:pPr>
              <w:pStyle w:val="Compact"/>
            </w:pPr>
          </w:p>
        </w:tc>
        <w:tc>
          <w:tcPr/>
          <w:p>
            <w:pPr>
              <w:pStyle w:val="Compact"/>
            </w:pPr>
          </w:p>
        </w:tc>
        <w:tc>
          <w:tcPr/>
          <w:p>
            <w:pPr>
              <w:pStyle w:val="Compact"/>
              <w:jc w:val="center"/>
            </w:pPr>
            <w:r>
              <w:t xml:space="preserve">(5.2)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w:t>
            </w:r>
          </w:p>
        </w:tc>
        <w:tc>
          <w:tcPr/>
          <w:p>
            <w:pPr>
              <w:pStyle w:val="Compact"/>
            </w:pPr>
          </w:p>
        </w:tc>
        <w:tc>
          <w:tcPr/>
          <w:p>
            <w:pPr>
              <w:pStyle w:val="Compact"/>
            </w:pPr>
          </w:p>
        </w:tc>
        <w:tc>
          <w:tcPr/>
          <w:p>
            <w:pPr>
              <w:pStyle w:val="Compact"/>
            </w:pPr>
          </w:p>
        </w:tc>
        <w:tc>
          <w:tcPr/>
          <w:p>
            <w:pPr>
              <w:pStyle w:val="Compact"/>
              <w:jc w:val="center"/>
            </w:pPr>
            <w:r>
              <w:t xml:space="preserve">(3.6)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w:t>
            </w:r>
          </w:p>
        </w:tc>
        <w:tc>
          <w:tcPr/>
          <w:p>
            <w:pPr>
              <w:pStyle w:val="Compact"/>
            </w:pPr>
          </w:p>
        </w:tc>
        <w:tc>
          <w:tcPr/>
          <w:p>
            <w:pPr>
              <w:pStyle w:val="Compact"/>
            </w:pPr>
          </w:p>
        </w:tc>
        <w:tc>
          <w:tcPr/>
          <w:p>
            <w:pPr>
              <w:pStyle w:val="Compact"/>
            </w:pPr>
          </w:p>
        </w:tc>
        <w:tc>
          <w:tcPr/>
          <w:p>
            <w:pPr>
              <w:pStyle w:val="Compact"/>
              <w:jc w:val="center"/>
            </w:pPr>
            <w:r>
              <w:t xml:space="preserve">(4.7)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(0.8)</w:t>
            </w:r>
          </w:p>
        </w:tc>
        <w:tc>
          <w:tcPr/>
          <w:p>
            <w:pPr>
              <w:pStyle w:val="Compact"/>
            </w:pPr>
          </w:p>
        </w:tc>
        <w:tc>
          <w:tcPr/>
          <w:p>
            <w:pPr>
              <w:pStyle w:val="Compact"/>
            </w:pPr>
          </w:p>
        </w:tc>
        <w:tc>
          <w:tcPr/>
          <w:p>
            <w:pPr>
              <w:pStyle w:val="Compact"/>
            </w:pPr>
          </w:p>
        </w:tc>
        <w:tc>
          <w:tcPr/>
          <w:p>
            <w:pPr>
              <w:pStyle w:val="Compact"/>
              <w:jc w:val="center"/>
            </w:pPr>
            <w:r>
              <w:t xml:space="preserve">(0.8)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(4.6)</w:t>
            </w:r>
          </w:p>
        </w:tc>
        <w:tc>
          <w:tcPr/>
          <w:p>
            <w:pPr>
              <w:pStyle w:val="Compact"/>
            </w:pPr>
          </w:p>
        </w:tc>
        <w:tc>
          <w:tcPr/>
          <w:p>
            <w:pPr>
              <w:pStyle w:val="Compact"/>
            </w:pPr>
          </w:p>
        </w:tc>
        <w:tc>
          <w:tcPr/>
          <w:p>
            <w:pPr>
              <w:pStyle w:val="Compact"/>
            </w:pPr>
          </w:p>
        </w:tc>
        <w:tc>
          <w:tcPr/>
          <w:p>
            <w:pPr>
              <w:pStyle w:val="Compact"/>
              <w:jc w:val="center"/>
            </w:pPr>
            <w:r>
              <w:t xml:space="preserve">(4.6)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w:t>
            </w:r>
          </w:p>
        </w:tc>
        <w:tc>
          <w:tcPr/>
          <w:p>
            <w:pPr>
              <w:pStyle w:val="Compact"/>
            </w:pPr>
          </w:p>
        </w:tc>
        <w:tc>
          <w:tcPr/>
          <w:p>
            <w:pPr>
              <w:pStyle w:val="Compact"/>
            </w:pPr>
          </w:p>
        </w:tc>
        <w:tc>
          <w:tcPr/>
          <w:p>
            <w:pPr>
              <w:pStyle w:val="Compact"/>
            </w:pPr>
          </w:p>
        </w:tc>
        <w:tc>
          <w:tcPr/>
          <w:p>
            <w:pPr>
              <w:pStyle w:val="Compact"/>
              <w:jc w:val="center"/>
            </w:pPr>
            <w:r>
              <w:t xml:space="preserve">(4.4)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(5.7)</w:t>
            </w:r>
          </w:p>
        </w:tc>
        <w:tc>
          <w:tcPr/>
          <w:p>
            <w:pPr>
              <w:pStyle w:val="Compact"/>
            </w:pPr>
          </w:p>
        </w:tc>
        <w:tc>
          <w:tcPr/>
          <w:p>
            <w:pPr>
              <w:pStyle w:val="Compact"/>
            </w:pPr>
          </w:p>
        </w:tc>
        <w:tc>
          <w:tcPr/>
          <w:p>
            <w:pPr>
              <w:pStyle w:val="Compact"/>
            </w:pPr>
          </w:p>
        </w:tc>
        <w:tc>
          <w:tcPr/>
          <w:p>
            <w:pPr>
              <w:pStyle w:val="Compact"/>
              <w:jc w:val="center"/>
            </w:pPr>
            <w:r>
              <w:t xml:space="preserve">(5.7)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-0.5</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-0.5</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-0.1</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m:oMath>
              <m:sSup>
                <m:e>
                  <m:r>
                    <m:t>​</m:t>
                  </m:r>
                </m:e>
                <m:sup>
                  <m:r>
                    <m:rPr>
                      <m:sty m:val="p"/>
                    </m:rPr>
                    <m:t>†</m:t>
                  </m:r>
                </m:sup>
              </m:sSup>
            </m:oMath>
          </w:p>
        </w:tc>
        <w:tc>
          <w:tcPr/>
          <w:p>
            <w:pPr>
              <w:pStyle w:val="Compact"/>
              <w:jc w:val="center"/>
            </w:pPr>
            <w:r>
              <w:t xml:space="preserve">-0.1</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w:t>
            </w:r>
          </w:p>
        </w:tc>
        <w:tc>
          <w:tcPr/>
          <w:p>
            <w:pPr>
              <w:pStyle w:val="Compact"/>
              <w:jc w:val="center"/>
            </w:pPr>
            <w:r>
              <w:t xml:space="preserve">(0.0)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147"/>
    <w:bookmarkEnd w:id="148"/>
    <w:bookmarkStart w:id="271" w:name="declaration-of-ai-use"/>
    <w:p>
      <w:pPr>
        <w:pStyle w:val="Heading1"/>
      </w:pPr>
      <w:r>
        <w:t xml:space="preserve">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2024–25</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149" w:name="tab:ai-declaration"/>
    <w:p>
      <w:pPr>
        <w:pStyle w:val="TableCaption"/>
      </w:pPr>
      <w:r>
        <w:t xml:space="preserve">Declaration of AI use.</w:t>
      </w:r>
    </w:p>
    <w:tbl>
      <w:tblPr>
        <w:tblStyle w:val="Table"/>
        <w:tblW w:type="auto" w:w="0"/>
        <w:tblLook w:firstRow="1" w:lastRow="0" w:firstColumn="0" w:lastColumn="0" w:noHBand="0" w:noVBand="0" w:val="0020"/>
        <w:jc w:val="start"/>
        <w:tblCaption w:val="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149"/>
    <w:bookmarkStart w:id="270" w:name="refs"/>
    <w:bookmarkStart w:id="151"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150">
        <w:r>
          <w:rPr>
            <w:rStyle w:val="Hyperlink"/>
          </w:rPr>
          <w:t xml:space="preserve">10.3982/ECTA12675</w:t>
        </w:r>
      </w:hyperlink>
      <w:r>
        <w:t xml:space="preserve">.</w:t>
      </w:r>
    </w:p>
    <w:bookmarkEnd w:id="151"/>
    <w:bookmarkStart w:id="153"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152">
        <w:r>
          <w:rPr>
            <w:rStyle w:val="Hyperlink"/>
          </w:rPr>
          <w:t xml:space="preserve">https://arxiv.org/abs/1610.01644</w:t>
        </w:r>
      </w:hyperlink>
      <w:r>
        <w:t xml:space="preserve">.</w:t>
      </w:r>
    </w:p>
    <w:bookmarkEnd w:id="153"/>
    <w:bookmarkStart w:id="155"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154">
        <w:r>
          <w:rPr>
            <w:rStyle w:val="Hyperlink"/>
          </w:rPr>
          <w:t xml:space="preserve">10.1162/qss_a_00071</w:t>
        </w:r>
      </w:hyperlink>
      <w:r>
        <w:t xml:space="preserve">.</w:t>
      </w:r>
    </w:p>
    <w:bookmarkEnd w:id="155"/>
    <w:bookmarkStart w:id="157"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156">
        <w:r>
          <w:rPr>
            <w:rStyle w:val="Hyperlink"/>
          </w:rPr>
          <w:t xml:space="preserve">10.31341/jios.44.2.2</w:t>
        </w:r>
      </w:hyperlink>
      <w:r>
        <w:t xml:space="preserve">.</w:t>
      </w:r>
    </w:p>
    <w:bookmarkEnd w:id="157"/>
    <w:bookmarkStart w:id="159"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158">
        <w:r>
          <w:rPr>
            <w:rStyle w:val="Hyperlink"/>
          </w:rPr>
          <w:t xml:space="preserve">10.3389/frsus.2021.620743</w:t>
        </w:r>
      </w:hyperlink>
      <w:r>
        <w:t xml:space="preserve">.</w:t>
      </w:r>
    </w:p>
    <w:bookmarkEnd w:id="159"/>
    <w:bookmarkStart w:id="161"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160">
        <w:r>
          <w:rPr>
            <w:rStyle w:val="Hyperlink"/>
          </w:rPr>
          <w:t xml:space="preserve">10.48550/arXiv.1903.10676</w:t>
        </w:r>
      </w:hyperlink>
      <w:r>
        <w:t xml:space="preserve">.</w:t>
      </w:r>
    </w:p>
    <w:bookmarkEnd w:id="161"/>
    <w:bookmarkStart w:id="163"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162">
        <w:r>
          <w:rPr>
            <w:rStyle w:val="Hyperlink"/>
          </w:rPr>
          <w:t xml:space="preserve">10.2307/271073</w:t>
        </w:r>
      </w:hyperlink>
      <w:r>
        <w:t xml:space="preserve">.</w:t>
      </w:r>
    </w:p>
    <w:bookmarkEnd w:id="163"/>
    <w:bookmarkStart w:id="165"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64">
        <w:r>
          <w:rPr>
            <w:rStyle w:val="Hyperlink"/>
          </w:rPr>
          <w:t xml:space="preserve">10.1080/08039410.2016.1252424</w:t>
        </w:r>
      </w:hyperlink>
      <w:r>
        <w:t xml:space="preserve">.</w:t>
      </w:r>
    </w:p>
    <w:bookmarkEnd w:id="165"/>
    <w:bookmarkStart w:id="166"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66"/>
    <w:bookmarkStart w:id="167"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67"/>
    <w:bookmarkStart w:id="169"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68">
        <w:r>
          <w:rPr>
            <w:rStyle w:val="Hyperlink"/>
          </w:rPr>
          <w:t xml:space="preserve">10.1007/s11192-016-2115-y</w:t>
        </w:r>
      </w:hyperlink>
      <w:r>
        <w:t xml:space="preserve">.</w:t>
      </w:r>
    </w:p>
    <w:bookmarkEnd w:id="169"/>
    <w:bookmarkStart w:id="171"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70">
        <w:r>
          <w:rPr>
            <w:rStyle w:val="Hyperlink"/>
          </w:rPr>
          <w:t xml:space="preserve">10.18653/v1/N19-1181</w:t>
        </w:r>
      </w:hyperlink>
      <w:r>
        <w:t xml:space="preserve">.</w:t>
      </w:r>
    </w:p>
    <w:bookmarkEnd w:id="171"/>
    <w:bookmarkStart w:id="173"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72">
        <w:r>
          <w:rPr>
            <w:rStyle w:val="Hyperlink"/>
          </w:rPr>
          <w:t xml:space="preserve">10.1177/000276427902200308</w:t>
        </w:r>
      </w:hyperlink>
      <w:r>
        <w:t xml:space="preserve">.</w:t>
      </w:r>
    </w:p>
    <w:bookmarkEnd w:id="173"/>
    <w:bookmarkStart w:id="175"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74">
        <w:r>
          <w:rPr>
            <w:rStyle w:val="Hyperlink"/>
          </w:rPr>
          <w:t xml:space="preserve">10.1073/pnas.1231332100</w:t>
        </w:r>
      </w:hyperlink>
      <w:r>
        <w:t xml:space="preserve">.</w:t>
      </w:r>
    </w:p>
    <w:bookmarkEnd w:id="175"/>
    <w:bookmarkStart w:id="177"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76">
        <w:r>
          <w:rPr>
            <w:rStyle w:val="Hyperlink"/>
          </w:rPr>
          <w:t xml:space="preserve">https://arxiv.org/abs/1805.01070</w:t>
        </w:r>
      </w:hyperlink>
      <w:r>
        <w:t xml:space="preserve">.</w:t>
      </w:r>
    </w:p>
    <w:bookmarkEnd w:id="177"/>
    <w:bookmarkStart w:id="179"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78">
        <w:r>
          <w:rPr>
            <w:rStyle w:val="Hyperlink"/>
          </w:rPr>
          <w:t xml:space="preserve">10.1109/TIT.1967.1053964</w:t>
        </w:r>
      </w:hyperlink>
      <w:r>
        <w:t xml:space="preserve">.</w:t>
      </w:r>
    </w:p>
    <w:bookmarkEnd w:id="179"/>
    <w:bookmarkStart w:id="181"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80">
        <w:r>
          <w:rPr>
            <w:rStyle w:val="Hyperlink"/>
          </w:rPr>
          <w:t xml:space="preserve">10.1038/s42256-021-00296-0</w:t>
        </w:r>
      </w:hyperlink>
      <w:r>
        <w:t xml:space="preserve">.</w:t>
      </w:r>
    </w:p>
    <w:bookmarkEnd w:id="181"/>
    <w:bookmarkStart w:id="183" w:name="ref-Cross2013"/>
    <w:p>
      <w:pPr>
        <w:pStyle w:val="Bibliography"/>
      </w:pPr>
      <w:r>
        <w:t xml:space="preserve">Cross, M.K.D. (2013) Rethinking epistemic communities twenty years later.</w:t>
      </w:r>
      <w:r>
        <w:t xml:space="preserve"> </w:t>
      </w:r>
      <w:r>
        <w:rPr>
          <w:iCs/>
          <w:i/>
        </w:rPr>
        <w:t xml:space="preserve">Review of International Studies</w:t>
      </w:r>
      <w:r>
        <w:t xml:space="preserve">, 39 (1): 137–160. doi:</w:t>
      </w:r>
      <w:hyperlink r:id="rId182">
        <w:r>
          <w:rPr>
            <w:rStyle w:val="Hyperlink"/>
          </w:rPr>
          <w:t xml:space="preserve">10.1017/S0260210512000034</w:t>
        </w:r>
      </w:hyperlink>
      <w:r>
        <w:t xml:space="preserve">.</w:t>
      </w:r>
    </w:p>
    <w:bookmarkEnd w:id="183"/>
    <w:bookmarkStart w:id="185"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84">
        <w:r>
          <w:rPr>
            <w:rStyle w:val="Hyperlink"/>
          </w:rPr>
          <w:t xml:space="preserve">https://eur-lex.europa.eu/legal-content/EN/TXT/?uri=CELEX:32024R1689</w:t>
        </w:r>
      </w:hyperlink>
      <w:r>
        <w:t xml:space="preserve">.</w:t>
      </w:r>
    </w:p>
    <w:bookmarkEnd w:id="185"/>
    <w:bookmarkStart w:id="187"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86">
        <w:r>
          <w:rPr>
            <w:rStyle w:val="Hyperlink"/>
          </w:rPr>
          <w:t xml:space="preserve">10.1080/13552074.2016.1145895</w:t>
        </w:r>
      </w:hyperlink>
      <w:r>
        <w:t xml:space="preserve">.</w:t>
      </w:r>
    </w:p>
    <w:bookmarkEnd w:id="187"/>
    <w:bookmarkStart w:id="188"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88"/>
    <w:bookmarkStart w:id="190"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89">
        <w:r>
          <w:rPr>
            <w:rStyle w:val="Hyperlink"/>
          </w:rPr>
          <w:t xml:space="preserve">10.1109/ACCESS.2025.3595894</w:t>
        </w:r>
      </w:hyperlink>
      <w:r>
        <w:t xml:space="preserve">.</w:t>
      </w:r>
    </w:p>
    <w:bookmarkEnd w:id="190"/>
    <w:bookmarkStart w:id="192"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91">
        <w:r>
          <w:rPr>
            <w:rStyle w:val="Hyperlink"/>
          </w:rPr>
          <w:t xml:space="preserve">10.1038/s41893-025-01598-6</w:t>
        </w:r>
      </w:hyperlink>
      <w:r>
        <w:t xml:space="preserve">.</w:t>
      </w:r>
    </w:p>
    <w:bookmarkEnd w:id="192"/>
    <w:bookmarkStart w:id="194"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93">
        <w:r>
          <w:rPr>
            <w:rStyle w:val="Hyperlink"/>
          </w:rPr>
          <w:t xml:space="preserve">10.3389/frai.2024.1472411</w:t>
        </w:r>
      </w:hyperlink>
      <w:r>
        <w:t xml:space="preserve">.</w:t>
      </w:r>
    </w:p>
    <w:bookmarkEnd w:id="194"/>
    <w:bookmarkStart w:id="196"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95">
        <w:r>
          <w:rPr>
            <w:rStyle w:val="Hyperlink"/>
          </w:rPr>
          <w:t xml:space="preserve">10.24948/2017.01</w:t>
        </w:r>
      </w:hyperlink>
      <w:r>
        <w:t xml:space="preserve">.</w:t>
      </w:r>
    </w:p>
    <w:bookmarkEnd w:id="196"/>
    <w:bookmarkStart w:id="198"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97">
        <w:r>
          <w:rPr>
            <w:rStyle w:val="Hyperlink"/>
          </w:rPr>
          <w:t xml:space="preserve">10.1177/016224390102600401</w:t>
        </w:r>
      </w:hyperlink>
      <w:r>
        <w:t xml:space="preserve">.</w:t>
      </w:r>
    </w:p>
    <w:bookmarkEnd w:id="198"/>
    <w:bookmarkStart w:id="200"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99">
        <w:r>
          <w:rPr>
            <w:rStyle w:val="Hyperlink"/>
          </w:rPr>
          <w:t xml:space="preserve">10.1017/S0020818300001442</w:t>
        </w:r>
      </w:hyperlink>
      <w:r>
        <w:t xml:space="preserve">.</w:t>
      </w:r>
    </w:p>
    <w:bookmarkEnd w:id="200"/>
    <w:bookmarkStart w:id="202" w:name="ref-Harris1954"/>
    <w:p>
      <w:pPr>
        <w:pStyle w:val="Bibliography"/>
      </w:pPr>
      <w:r>
        <w:t xml:space="preserve">Harris, Z.S. (1954) Distributional structure.</w:t>
      </w:r>
      <w:r>
        <w:t xml:space="preserve"> </w:t>
      </w:r>
      <w:r>
        <w:rPr>
          <w:iCs/>
          <w:i/>
        </w:rPr>
        <w:t xml:space="preserve">WORD</w:t>
      </w:r>
      <w:r>
        <w:t xml:space="preserve">, 10 (2–3): 146–162. doi:</w:t>
      </w:r>
      <w:hyperlink r:id="rId201">
        <w:r>
          <w:rPr>
            <w:rStyle w:val="Hyperlink"/>
          </w:rPr>
          <w:t xml:space="preserve">10.1080/00437956.1954.11659520</w:t>
        </w:r>
      </w:hyperlink>
      <w:r>
        <w:t xml:space="preserve">.</w:t>
      </w:r>
    </w:p>
    <w:bookmarkEnd w:id="202"/>
    <w:bookmarkStart w:id="204"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203">
        <w:r>
          <w:rPr>
            <w:rStyle w:val="Hyperlink"/>
          </w:rPr>
          <w:t xml:space="preserve">10.1007/978-0-387-84858-7</w:t>
        </w:r>
      </w:hyperlink>
      <w:r>
        <w:t xml:space="preserve">.</w:t>
      </w:r>
    </w:p>
    <w:bookmarkEnd w:id="204"/>
    <w:bookmarkStart w:id="206"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205">
        <w:r>
          <w:rPr>
            <w:rStyle w:val="Hyperlink"/>
          </w:rPr>
          <w:t xml:space="preserve">10.1007/s43681-023-00259-8</w:t>
        </w:r>
      </w:hyperlink>
      <w:r>
        <w:t xml:space="preserve">.</w:t>
      </w:r>
    </w:p>
    <w:bookmarkEnd w:id="206"/>
    <w:bookmarkStart w:id="207"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207"/>
    <w:bookmarkStart w:id="209"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208">
        <w:r>
          <w:rPr>
            <w:rStyle w:val="Hyperlink"/>
          </w:rPr>
          <w:t xml:space="preserve">10.1002/csr.2202</w:t>
        </w:r>
      </w:hyperlink>
      <w:r>
        <w:t xml:space="preserve">.</w:t>
      </w:r>
    </w:p>
    <w:bookmarkEnd w:id="209"/>
    <w:bookmarkStart w:id="211" w:name="ref-Hickel2019"/>
    <w:p>
      <w:pPr>
        <w:pStyle w:val="Bibliography"/>
      </w:pPr>
      <w:r>
        <w:t xml:space="preserve">Hickel, J. (2019) The contradiction of the sustainable development goals: Growth versus ecology on a finite planet.</w:t>
      </w:r>
      <w:r>
        <w:t xml:space="preserve"> </w:t>
      </w:r>
      <w:r>
        <w:rPr>
          <w:iCs/>
          <w:i/>
        </w:rPr>
        <w:t xml:space="preserve">Sustainable Development</w:t>
      </w:r>
      <w:r>
        <w:t xml:space="preserve">, 27 (5): 873–884. doi:</w:t>
      </w:r>
      <w:hyperlink r:id="rId210">
        <w:r>
          <w:rPr>
            <w:rStyle w:val="Hyperlink"/>
          </w:rPr>
          <w:t xml:space="preserve">10.1002/sd.1947</w:t>
        </w:r>
      </w:hyperlink>
      <w:r>
        <w:t xml:space="preserve">.</w:t>
      </w:r>
    </w:p>
    <w:bookmarkEnd w:id="211"/>
    <w:bookmarkStart w:id="213"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212">
        <w:r>
          <w:rPr>
            <w:rStyle w:val="Hyperlink"/>
          </w:rPr>
          <w:t xml:space="preserve">https://www.ipcc.ch/report/ar6/wg2/</w:t>
        </w:r>
      </w:hyperlink>
      <w:r>
        <w:t xml:space="preserve">.</w:t>
      </w:r>
    </w:p>
    <w:bookmarkEnd w:id="213"/>
    <w:bookmarkStart w:id="215"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214">
        <w:r>
          <w:rPr>
            <w:rStyle w:val="Hyperlink"/>
          </w:rPr>
          <w:t xml:space="preserve">10.1177/00223433241275335</w:t>
        </w:r>
      </w:hyperlink>
      <w:r>
        <w:t xml:space="preserve">.</w:t>
      </w:r>
    </w:p>
    <w:bookmarkEnd w:id="215"/>
    <w:bookmarkStart w:id="217"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216">
        <w:r>
          <w:rPr>
            <w:rStyle w:val="Hyperlink"/>
          </w:rPr>
          <w:t xml:space="preserve">10.1162/qss_a_00304</w:t>
        </w:r>
      </w:hyperlink>
      <w:r>
        <w:t xml:space="preserve">.</w:t>
      </w:r>
    </w:p>
    <w:bookmarkEnd w:id="217"/>
    <w:bookmarkStart w:id="219" w:name="ref-NIPS2012_c399862d"/>
    <w:p>
      <w:pPr>
        <w:pStyle w:val="Bibliography"/>
      </w:pPr>
      <w:r>
        <w:t xml:space="preserve">Krizhevsky, A., Sutskever, I. and Hinton, G.E. (2012)</w:t>
      </w:r>
      <w:r>
        <w:t xml:space="preserve"> </w:t>
      </w:r>
      <w:r>
        <w:t xml:space="preserve">“ImageNet classification with deep convolutional neural networks.”</w:t>
      </w:r>
      <w:r>
        <w:t xml:space="preserve"> </w:t>
      </w:r>
      <w:r>
        <w:rPr>
          <w:u w:val="single"/>
        </w:rPr>
        <w:t xml:space="preserve">In</w:t>
      </w:r>
      <w:r>
        <w:t xml:space="preserve"> Pereira, F., Burges, C.J., Bottou, L., et al. (eds.).</w:t>
      </w:r>
      <w:r>
        <w:t xml:space="preserve"> </w:t>
      </w:r>
      <w:r>
        <w:rPr>
          <w:iCs/>
          <w:i/>
        </w:rPr>
        <w:t xml:space="preserve">Advances in neural information processing systems</w:t>
      </w:r>
      <w:r>
        <w:t xml:space="preserve">. 2012. Curran Associates, Inc. Available at:</w:t>
      </w:r>
      <w:r>
        <w:t xml:space="preserve"> </w:t>
      </w:r>
      <w:hyperlink r:id="rId218">
        <w:r>
          <w:rPr>
            <w:rStyle w:val="Hyperlink"/>
          </w:rPr>
          <w:t xml:space="preserve">https://proceedings.neurips.cc/paper_files/paper/2012/file/c399862d3b9d6b76c8436e924a68c45b-Paper.pdf</w:t>
        </w:r>
      </w:hyperlink>
      <w:r>
        <w:t xml:space="preserve">.</w:t>
      </w:r>
    </w:p>
    <w:bookmarkEnd w:id="219"/>
    <w:bookmarkStart w:id="221"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220">
        <w:r>
          <w:rPr>
            <w:rStyle w:val="Hyperlink"/>
          </w:rPr>
          <w:t xml:space="preserve">10.1002/sd.1582</w:t>
        </w:r>
      </w:hyperlink>
      <w:r>
        <w:t xml:space="preserve">.</w:t>
      </w:r>
    </w:p>
    <w:bookmarkEnd w:id="221"/>
    <w:bookmarkStart w:id="223"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222">
        <w:r>
          <w:rPr>
            <w:rStyle w:val="Hyperlink"/>
          </w:rPr>
          <w:t xml:space="preserve">https://nlp.stanford.edu/IR-book/</w:t>
        </w:r>
      </w:hyperlink>
      <w:r>
        <w:t xml:space="preserve">.</w:t>
      </w:r>
    </w:p>
    <w:bookmarkEnd w:id="223"/>
    <w:bookmarkStart w:id="225"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224">
        <w:r>
          <w:rPr>
            <w:rStyle w:val="Hyperlink"/>
          </w:rPr>
          <w:t xml:space="preserve">10.1016/j.ecoinf.2026.103669</w:t>
        </w:r>
      </w:hyperlink>
      <w:r>
        <w:t xml:space="preserve">.</w:t>
      </w:r>
    </w:p>
    <w:bookmarkEnd w:id="225"/>
    <w:bookmarkStart w:id="227"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226">
        <w:r>
          <w:rPr>
            <w:rStyle w:val="Hyperlink"/>
          </w:rPr>
          <w:t xml:space="preserve">10.1109/ACCESS.2024.3516500</w:t>
        </w:r>
      </w:hyperlink>
      <w:r>
        <w:t xml:space="preserve">.</w:t>
      </w:r>
    </w:p>
    <w:bookmarkEnd w:id="227"/>
    <w:bookmarkStart w:id="229"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228">
        <w:r>
          <w:rPr>
            <w:rStyle w:val="Hyperlink"/>
          </w:rPr>
          <w:t xml:space="preserve">10.1038/534320a</w:t>
        </w:r>
      </w:hyperlink>
      <w:r>
        <w:t xml:space="preserve">.</w:t>
      </w:r>
    </w:p>
    <w:bookmarkEnd w:id="229"/>
    <w:bookmarkStart w:id="231"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September 2017. Association for Computational Linguistics. pp. 20–27. doi:</w:t>
      </w:r>
      <w:hyperlink r:id="rId230">
        <w:r>
          <w:rPr>
            <w:rStyle w:val="Hyperlink"/>
          </w:rPr>
          <w:t xml:space="preserve">10.18653/v1/W17-4903</w:t>
        </w:r>
      </w:hyperlink>
      <w:r>
        <w:t xml:space="preserve">.</w:t>
      </w:r>
    </w:p>
    <w:bookmarkEnd w:id="231"/>
    <w:bookmarkStart w:id="233"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232">
        <w:r>
          <w:rPr>
            <w:rStyle w:val="Hyperlink"/>
          </w:rPr>
          <w:t xml:space="preserve">https://oecd.ai/en/partner-data-methodological-note</w:t>
        </w:r>
      </w:hyperlink>
      <w:r>
        <w:t xml:space="preserve">.</w:t>
      </w:r>
    </w:p>
    <w:bookmarkEnd w:id="233"/>
    <w:bookmarkStart w:id="235"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234">
        <w:r>
          <w:rPr>
            <w:rStyle w:val="Hyperlink"/>
          </w:rPr>
          <w:t xml:space="preserve">10.48550/arXiv.2205.01833</w:t>
        </w:r>
      </w:hyperlink>
      <w:r>
        <w:t xml:space="preserve">.</w:t>
      </w:r>
    </w:p>
    <w:bookmarkEnd w:id="235"/>
    <w:bookmarkStart w:id="237"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236">
        <w:r>
          <w:rPr>
            <w:rStyle w:val="Hyperlink"/>
          </w:rPr>
          <w:t xml:space="preserve">10.48550/arXiv.2211.11252</w:t>
        </w:r>
      </w:hyperlink>
      <w:r>
        <w:t xml:space="preserve">.</w:t>
      </w:r>
    </w:p>
    <w:bookmarkEnd w:id="237"/>
    <w:bookmarkStart w:id="239"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238">
        <w:r>
          <w:rPr>
            <w:rStyle w:val="Hyperlink"/>
          </w:rPr>
          <w:t xml:space="preserve">10.18653/v1/2020.acl-main.647</w:t>
        </w:r>
      </w:hyperlink>
      <w:r>
        <w:t xml:space="preserve">.</w:t>
      </w:r>
    </w:p>
    <w:bookmarkEnd w:id="239"/>
    <w:bookmarkStart w:id="241"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240">
        <w:r>
          <w:rPr>
            <w:rStyle w:val="Hyperlink"/>
          </w:rPr>
          <w:t xml:space="preserve">10.18653/v1/D19-1410</w:t>
        </w:r>
      </w:hyperlink>
      <w:r>
        <w:t xml:space="preserve">.</w:t>
      </w:r>
    </w:p>
    <w:bookmarkEnd w:id="241"/>
    <w:bookmarkStart w:id="243"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242">
        <w:r>
          <w:rPr>
            <w:rStyle w:val="Hyperlink"/>
          </w:rPr>
          <w:t xml:space="preserve">10.1017/S0003055422001228</w:t>
        </w:r>
      </w:hyperlink>
      <w:r>
        <w:t xml:space="preserve">.</w:t>
      </w:r>
    </w:p>
    <w:bookmarkEnd w:id="243"/>
    <w:bookmarkStart w:id="245"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244">
        <w:r>
          <w:rPr>
            <w:rStyle w:val="Hyperlink"/>
          </w:rPr>
          <w:t xml:space="preserve">10.51593/20230</w:t>
        </w:r>
      </w:hyperlink>
      <w:r>
        <w:t xml:space="preserve">.</w:t>
      </w:r>
    </w:p>
    <w:bookmarkEnd w:id="245"/>
    <w:bookmarkStart w:id="247"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246">
        <w:r>
          <w:rPr>
            <w:rStyle w:val="Hyperlink"/>
          </w:rPr>
          <w:t xml:space="preserve">https://github.com/SDGClassification/benchmark</w:t>
        </w:r>
      </w:hyperlink>
      <w:r>
        <w:t xml:space="preserve">.</w:t>
      </w:r>
    </w:p>
    <w:bookmarkEnd w:id="247"/>
    <w:bookmarkStart w:id="249"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48">
        <w:r>
          <w:rPr>
            <w:rStyle w:val="Hyperlink"/>
          </w:rPr>
          <w:t xml:space="preserve">https://huggingface.co/datasets/UNDP/sdgi-corpus</w:t>
        </w:r>
      </w:hyperlink>
      <w:r>
        <w:t xml:space="preserve">.</w:t>
      </w:r>
    </w:p>
    <w:bookmarkEnd w:id="249"/>
    <w:bookmarkStart w:id="250"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250"/>
    <w:bookmarkStart w:id="251"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251"/>
    <w:bookmarkStart w:id="253"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52">
        <w:r>
          <w:rPr>
            <w:rStyle w:val="Hyperlink"/>
          </w:rPr>
          <w:t xml:space="preserve">10.1002/sd.2706</w:t>
        </w:r>
      </w:hyperlink>
      <w:r>
        <w:t xml:space="preserve">.</w:t>
      </w:r>
    </w:p>
    <w:bookmarkEnd w:id="253"/>
    <w:bookmarkStart w:id="255"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54">
        <w:r>
          <w:rPr>
            <w:rStyle w:val="Hyperlink"/>
          </w:rPr>
          <w:t xml:space="preserve">10.1007/s00146-025-02181-5</w:t>
        </w:r>
      </w:hyperlink>
      <w:r>
        <w:t xml:space="preserve">.</w:t>
      </w:r>
    </w:p>
    <w:bookmarkEnd w:id="255"/>
    <w:bookmarkStart w:id="257"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56">
        <w:r>
          <w:rPr>
            <w:rStyle w:val="Hyperlink"/>
          </w:rPr>
          <w:t xml:space="preserve">10.48550/arXiv.2505.00174</w:t>
        </w:r>
      </w:hyperlink>
      <w:r>
        <w:t xml:space="preserve">.</w:t>
      </w:r>
    </w:p>
    <w:bookmarkEnd w:id="257"/>
    <w:bookmarkStart w:id="259"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58">
        <w:r>
          <w:rPr>
            <w:rStyle w:val="Hyperlink"/>
          </w:rPr>
          <w:t xml:space="preserve">10.1145/3630106.3659035</w:t>
        </w:r>
      </w:hyperlink>
      <w:r>
        <w:t xml:space="preserve">.</w:t>
      </w:r>
    </w:p>
    <w:bookmarkEnd w:id="259"/>
    <w:bookmarkStart w:id="261"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60">
        <w:r>
          <w:rPr>
            <w:rStyle w:val="Hyperlink"/>
          </w:rPr>
          <w:t xml:space="preserve">10.5281/zenodo.3798385</w:t>
        </w:r>
      </w:hyperlink>
      <w:r>
        <w:t xml:space="preserve">.</w:t>
      </w:r>
    </w:p>
    <w:bookmarkEnd w:id="261"/>
    <w:bookmarkStart w:id="263"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62">
        <w:r>
          <w:rPr>
            <w:rStyle w:val="Hyperlink"/>
          </w:rPr>
          <w:t xml:space="preserve">10.1038/s41467-019-14108-y</w:t>
        </w:r>
      </w:hyperlink>
      <w:r>
        <w:t xml:space="preserve">.</w:t>
      </w:r>
    </w:p>
    <w:bookmarkEnd w:id="263"/>
    <w:bookmarkStart w:id="265" w:name="ref-Wang2020"/>
    <w:p>
      <w:pPr>
        <w:pStyle w:val="Bibliography"/>
      </w:pPr>
      <w:r>
        <w:t xml:space="preserve">Wang, K., Shen, Z., Huang, C., et al. (2020) Microsoft academic graph: When experts are not enough.</w:t>
      </w:r>
      <w:r>
        <w:t xml:space="preserve"> </w:t>
      </w:r>
      <w:r>
        <w:rPr>
          <w:iCs/>
          <w:i/>
        </w:rPr>
        <w:t xml:space="preserve">Quantitative Science Studies</w:t>
      </w:r>
      <w:r>
        <w:t xml:space="preserve">, 1 (1): 396–413. doi:</w:t>
      </w:r>
      <w:hyperlink r:id="rId264">
        <w:r>
          <w:rPr>
            <w:rStyle w:val="Hyperlink"/>
          </w:rPr>
          <w:t xml:space="preserve">10.1162/qss_a_00021</w:t>
        </w:r>
      </w:hyperlink>
      <w:r>
        <w:t xml:space="preserve">.</w:t>
      </w:r>
    </w:p>
    <w:bookmarkEnd w:id="265"/>
    <w:bookmarkStart w:id="267"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66">
        <w:r>
          <w:rPr>
            <w:rStyle w:val="Hyperlink"/>
          </w:rPr>
          <w:t xml:space="preserve">10.5281/zenodo.7523032</w:t>
        </w:r>
      </w:hyperlink>
      <w:r>
        <w:t xml:space="preserve">.</w:t>
      </w:r>
    </w:p>
    <w:bookmarkEnd w:id="267"/>
    <w:bookmarkStart w:id="269"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68">
        <w:r>
          <w:rPr>
            <w:rStyle w:val="Hyperlink"/>
          </w:rPr>
          <w:t xml:space="preserve">10.1016/j.array.2025.100419</w:t>
        </w:r>
      </w:hyperlink>
      <w:r>
        <w:t xml:space="preserve">.</w:t>
      </w:r>
    </w:p>
    <w:bookmarkEnd w:id="269"/>
    <w:bookmarkEnd w:id="270"/>
    <w:bookmarkEnd w:id="271"/>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3">
    <w:p>
      <w:pPr>
        <w:pStyle w:val="FootnoteText"/>
      </w:pPr>
      <w:r>
        <w:rPr>
          <w:rStyle w:val="FootnoteReference"/>
        </w:rPr>
        <w:footnoteRef/>
      </w:r>
      <w:r>
        <w:t xml:space="preserve"> </w:t>
      </w:r>
      <w:r>
        <w:t xml:space="preserve">The three metrics are: (1) mean SD of SDG coverage shares, how much the topic balance moves across repeated samples; (2) mean semantic gap, how different research and policy language are within the same SDG; (3) policy–research score gap, how much the scoring instrument favours policy text over research text regardless of content.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91" Target="media/rId9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8" Target="https://doi.org/10.1002/csr.2202" TargetMode="External" /><Relationship Type="http://schemas.openxmlformats.org/officeDocument/2006/relationships/hyperlink" Id="rId220" Target="https://doi.org/10.1002/sd.1582" TargetMode="External" /><Relationship Type="http://schemas.openxmlformats.org/officeDocument/2006/relationships/hyperlink" Id="rId210" Target="https://doi.org/10.1002/sd.1947" TargetMode="External" /><Relationship Type="http://schemas.openxmlformats.org/officeDocument/2006/relationships/hyperlink" Id="rId252" Target="https://doi.org/10.1002/sd.2706" TargetMode="External" /><Relationship Type="http://schemas.openxmlformats.org/officeDocument/2006/relationships/hyperlink" Id="rId203" Target="https://doi.org/10.1007/978-0-387-84858-7" TargetMode="External" /><Relationship Type="http://schemas.openxmlformats.org/officeDocument/2006/relationships/hyperlink" Id="rId254"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5" Target="https://doi.org/10.1007/s43681-023-00259-8" TargetMode="External" /><Relationship Type="http://schemas.openxmlformats.org/officeDocument/2006/relationships/hyperlink" Id="rId268" Target="https://doi.org/10.1016/j.array.2025.100419" TargetMode="External" /><Relationship Type="http://schemas.openxmlformats.org/officeDocument/2006/relationships/hyperlink" Id="rId224" Target="https://doi.org/10.1016/j.ecoinf.2026.103669" TargetMode="External" /><Relationship Type="http://schemas.openxmlformats.org/officeDocument/2006/relationships/hyperlink" Id="rId242" Target="https://doi.org/10.1017/S0003055422001228" TargetMode="External" /><Relationship Type="http://schemas.openxmlformats.org/officeDocument/2006/relationships/hyperlink" Id="rId199" Target="https://doi.org/10.1017/S0020818300001442" TargetMode="External" /><Relationship Type="http://schemas.openxmlformats.org/officeDocument/2006/relationships/hyperlink" Id="rId182" Target="https://doi.org/10.1017/S0260210512000034" TargetMode="External" /><Relationship Type="http://schemas.openxmlformats.org/officeDocument/2006/relationships/hyperlink" Id="rId228" Target="https://doi.org/10.1038/534320a" TargetMode="External" /><Relationship Type="http://schemas.openxmlformats.org/officeDocument/2006/relationships/hyperlink" Id="rId262" Target="https://doi.org/10.1038/s41467-019-14108-y" TargetMode="External" /><Relationship Type="http://schemas.openxmlformats.org/officeDocument/2006/relationships/hyperlink" Id="rId191"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201"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6" Target="https://doi.org/10.1080/13552074.2016.1145895" TargetMode="External" /><Relationship Type="http://schemas.openxmlformats.org/officeDocument/2006/relationships/hyperlink" Id="rId226" Target="https://doi.org/10.1109/ACCESS.2024.3516500" TargetMode="External" /><Relationship Type="http://schemas.openxmlformats.org/officeDocument/2006/relationships/hyperlink" Id="rId189"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8" Target="https://doi.org/10.1145/3630106.3659035" TargetMode="External" /><Relationship Type="http://schemas.openxmlformats.org/officeDocument/2006/relationships/hyperlink" Id="rId264" Target="https://doi.org/10.1162/qss_a_00021" TargetMode="External" /><Relationship Type="http://schemas.openxmlformats.org/officeDocument/2006/relationships/hyperlink" Id="rId154" Target="https://doi.org/10.1162/qss_a_00071" TargetMode="External" /><Relationship Type="http://schemas.openxmlformats.org/officeDocument/2006/relationships/hyperlink" Id="rId216"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4" Target="https://doi.org/10.1177/00223433241275335" TargetMode="External" /><Relationship Type="http://schemas.openxmlformats.org/officeDocument/2006/relationships/hyperlink" Id="rId197" Target="https://doi.org/10.1177/016224390102600401" TargetMode="External" /><Relationship Type="http://schemas.openxmlformats.org/officeDocument/2006/relationships/hyperlink" Id="rId238" Target="https://doi.org/10.18653/v1/2020.acl-main.647" TargetMode="External" /><Relationship Type="http://schemas.openxmlformats.org/officeDocument/2006/relationships/hyperlink" Id="rId240"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30"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5"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3"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34" Target="https://doi.org/10.48550/arXiv.2205.01833" TargetMode="External" /><Relationship Type="http://schemas.openxmlformats.org/officeDocument/2006/relationships/hyperlink" Id="rId236" Target="https://doi.org/10.48550/arXiv.2211.11252" TargetMode="External" /><Relationship Type="http://schemas.openxmlformats.org/officeDocument/2006/relationships/hyperlink" Id="rId256" Target="https://doi.org/10.48550/arXiv.2505.00174" TargetMode="External" /><Relationship Type="http://schemas.openxmlformats.org/officeDocument/2006/relationships/hyperlink" Id="rId244" Target="https://doi.org/10.51593/20230" TargetMode="External" /><Relationship Type="http://schemas.openxmlformats.org/officeDocument/2006/relationships/hyperlink" Id="rId260" Target="https://doi.org/10.5281/zenodo.3798385" TargetMode="External" /><Relationship Type="http://schemas.openxmlformats.org/officeDocument/2006/relationships/hyperlink" Id="rId266" Target="https://doi.org/10.5281/zenodo.7523032" TargetMode="External" /><Relationship Type="http://schemas.openxmlformats.org/officeDocument/2006/relationships/hyperlink" Id="rId184" Target="https://eur-lex.europa.eu/legal-content/EN/TXT/?uri=CELEX:32024R1689" TargetMode="External" /><Relationship Type="http://schemas.openxmlformats.org/officeDocument/2006/relationships/hyperlink" Id="rId246"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8" Target="https://huggingface.co/datasets/UNDP/sdgi-corpus" TargetMode="External" /><Relationship Type="http://schemas.openxmlformats.org/officeDocument/2006/relationships/hyperlink" Id="rId222" Target="https://nlp.stanford.edu/IR-book/" TargetMode="External" /><Relationship Type="http://schemas.openxmlformats.org/officeDocument/2006/relationships/hyperlink" Id="rId232" Target="https://oecd.ai/en/partner-data-methodological-note" TargetMode="External" /><Relationship Type="http://schemas.openxmlformats.org/officeDocument/2006/relationships/hyperlink" Id="rId218" Target="https://proceedings.neurips.cc/paper_files/paper/2012/file/c399862d3b9d6b76c8436e924a68c45b-Paper.pdf" TargetMode="External" /><Relationship Type="http://schemas.openxmlformats.org/officeDocument/2006/relationships/hyperlink" Id="rId212"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8" Target="https://doi.org/10.1002/csr.2202" TargetMode="External" /><Relationship Type="http://schemas.openxmlformats.org/officeDocument/2006/relationships/hyperlink" Id="rId220" Target="https://doi.org/10.1002/sd.1582" TargetMode="External" /><Relationship Type="http://schemas.openxmlformats.org/officeDocument/2006/relationships/hyperlink" Id="rId210" Target="https://doi.org/10.1002/sd.1947" TargetMode="External" /><Relationship Type="http://schemas.openxmlformats.org/officeDocument/2006/relationships/hyperlink" Id="rId252" Target="https://doi.org/10.1002/sd.2706" TargetMode="External" /><Relationship Type="http://schemas.openxmlformats.org/officeDocument/2006/relationships/hyperlink" Id="rId203" Target="https://doi.org/10.1007/978-0-387-84858-7" TargetMode="External" /><Relationship Type="http://schemas.openxmlformats.org/officeDocument/2006/relationships/hyperlink" Id="rId254"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5" Target="https://doi.org/10.1007/s43681-023-00259-8" TargetMode="External" /><Relationship Type="http://schemas.openxmlformats.org/officeDocument/2006/relationships/hyperlink" Id="rId268" Target="https://doi.org/10.1016/j.array.2025.100419" TargetMode="External" /><Relationship Type="http://schemas.openxmlformats.org/officeDocument/2006/relationships/hyperlink" Id="rId224" Target="https://doi.org/10.1016/j.ecoinf.2026.103669" TargetMode="External" /><Relationship Type="http://schemas.openxmlformats.org/officeDocument/2006/relationships/hyperlink" Id="rId242" Target="https://doi.org/10.1017/S0003055422001228" TargetMode="External" /><Relationship Type="http://schemas.openxmlformats.org/officeDocument/2006/relationships/hyperlink" Id="rId199" Target="https://doi.org/10.1017/S0020818300001442" TargetMode="External" /><Relationship Type="http://schemas.openxmlformats.org/officeDocument/2006/relationships/hyperlink" Id="rId182" Target="https://doi.org/10.1017/S0260210512000034" TargetMode="External" /><Relationship Type="http://schemas.openxmlformats.org/officeDocument/2006/relationships/hyperlink" Id="rId228" Target="https://doi.org/10.1038/534320a" TargetMode="External" /><Relationship Type="http://schemas.openxmlformats.org/officeDocument/2006/relationships/hyperlink" Id="rId262" Target="https://doi.org/10.1038/s41467-019-14108-y" TargetMode="External" /><Relationship Type="http://schemas.openxmlformats.org/officeDocument/2006/relationships/hyperlink" Id="rId191"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201"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6" Target="https://doi.org/10.1080/13552074.2016.1145895" TargetMode="External" /><Relationship Type="http://schemas.openxmlformats.org/officeDocument/2006/relationships/hyperlink" Id="rId226" Target="https://doi.org/10.1109/ACCESS.2024.3516500" TargetMode="External" /><Relationship Type="http://schemas.openxmlformats.org/officeDocument/2006/relationships/hyperlink" Id="rId189"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8" Target="https://doi.org/10.1145/3630106.3659035" TargetMode="External" /><Relationship Type="http://schemas.openxmlformats.org/officeDocument/2006/relationships/hyperlink" Id="rId264" Target="https://doi.org/10.1162/qss_a_00021" TargetMode="External" /><Relationship Type="http://schemas.openxmlformats.org/officeDocument/2006/relationships/hyperlink" Id="rId154" Target="https://doi.org/10.1162/qss_a_00071" TargetMode="External" /><Relationship Type="http://schemas.openxmlformats.org/officeDocument/2006/relationships/hyperlink" Id="rId216"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4" Target="https://doi.org/10.1177/00223433241275335" TargetMode="External" /><Relationship Type="http://schemas.openxmlformats.org/officeDocument/2006/relationships/hyperlink" Id="rId197" Target="https://doi.org/10.1177/016224390102600401" TargetMode="External" /><Relationship Type="http://schemas.openxmlformats.org/officeDocument/2006/relationships/hyperlink" Id="rId238" Target="https://doi.org/10.18653/v1/2020.acl-main.647" TargetMode="External" /><Relationship Type="http://schemas.openxmlformats.org/officeDocument/2006/relationships/hyperlink" Id="rId240"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30"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5"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3"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34" Target="https://doi.org/10.48550/arXiv.2205.01833" TargetMode="External" /><Relationship Type="http://schemas.openxmlformats.org/officeDocument/2006/relationships/hyperlink" Id="rId236" Target="https://doi.org/10.48550/arXiv.2211.11252" TargetMode="External" /><Relationship Type="http://schemas.openxmlformats.org/officeDocument/2006/relationships/hyperlink" Id="rId256" Target="https://doi.org/10.48550/arXiv.2505.00174" TargetMode="External" /><Relationship Type="http://schemas.openxmlformats.org/officeDocument/2006/relationships/hyperlink" Id="rId244" Target="https://doi.org/10.51593/20230" TargetMode="External" /><Relationship Type="http://schemas.openxmlformats.org/officeDocument/2006/relationships/hyperlink" Id="rId260" Target="https://doi.org/10.5281/zenodo.3798385" TargetMode="External" /><Relationship Type="http://schemas.openxmlformats.org/officeDocument/2006/relationships/hyperlink" Id="rId266" Target="https://doi.org/10.5281/zenodo.7523032" TargetMode="External" /><Relationship Type="http://schemas.openxmlformats.org/officeDocument/2006/relationships/hyperlink" Id="rId184" Target="https://eur-lex.europa.eu/legal-content/EN/TXT/?uri=CELEX:32024R1689" TargetMode="External" /><Relationship Type="http://schemas.openxmlformats.org/officeDocument/2006/relationships/hyperlink" Id="rId246"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8" Target="https://huggingface.co/datasets/UNDP/sdgi-corpus" TargetMode="External" /><Relationship Type="http://schemas.openxmlformats.org/officeDocument/2006/relationships/hyperlink" Id="rId222" Target="https://nlp.stanford.edu/IR-book/" TargetMode="External" /><Relationship Type="http://schemas.openxmlformats.org/officeDocument/2006/relationships/hyperlink" Id="rId232" Target="https://oecd.ai/en/partner-data-methodological-note" TargetMode="External" /><Relationship Type="http://schemas.openxmlformats.org/officeDocument/2006/relationships/hyperlink" Id="rId218" Target="https://proceedings.neurips.cc/paper_files/paper/2012/file/c399862d3b9d6b76c8436e924a68c45b-Paper.pdf" TargetMode="External" /><Relationship Type="http://schemas.openxmlformats.org/officeDocument/2006/relationships/hyperlink" Id="rId212"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Don’t Mean Shared Framing — Embedding-Based Register-Topic Decomposition of Research-Policy Divergence Across the SDGs</dc:title>
  <dc:creator/>
  <cp:keywords/>
  <dcterms:created xsi:type="dcterms:W3CDTF">2026-08-27T00:26:42Z</dcterms:created>
  <dcterms:modified xsi:type="dcterms:W3CDTF">2026-08-27T00:26:42Z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