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50.png" ContentType="image/png"/>
  <Override PartName="/word/media/rId54.png" ContentType="image/png"/>
  <Override PartName="/word/media/rId57.png" ContentType="image/png"/>
  <Override PartName="/word/media/rId42.png" ContentType="image/png"/>
  <Override PartName="/word/media/rId91.png" ContentType="image/png"/>
  <Override PartName="/word/media/rId63.png" ContentType="image/png"/>
  <Override PartName="/word/media/rId66.png" ContentType="image/png"/>
  <Override PartName="/word/media/rId69.png" ContentType="image/png"/>
  <Override PartName="/word/media/rId7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Cs/>
          <w:b/>
        </w:rPr>
        <w:t xml:space="preserve">Shared</w:t>
      </w:r>
      <w:r>
        <w:rPr>
          <w:bCs/>
          <w:b/>
        </w:rPr>
        <w:t xml:space="preserve"> </w:t>
      </w:r>
      <w:r>
        <w:rPr>
          <w:bCs/>
          <w:b/>
        </w:rPr>
        <w:t xml:space="preserve">SDG</w:t>
      </w:r>
      <w:r>
        <w:rPr>
          <w:bCs/>
          <w:b/>
        </w:rPr>
        <w:t xml:space="preserve"> </w:t>
      </w:r>
      <w:r>
        <w:rPr>
          <w:bCs/>
          <w:b/>
        </w:rPr>
        <w:t xml:space="preserve">Labels</w:t>
      </w:r>
      <w:r>
        <w:rPr>
          <w:bCs/>
          <w:b/>
        </w:rPr>
        <w:t xml:space="preserve"> </w:t>
      </w:r>
      <w:r>
        <w:rPr>
          <w:bCs/>
          <w:b/>
        </w:rPr>
        <w:t xml:space="preserve">Do</w:t>
      </w:r>
      <w:r>
        <w:rPr>
          <w:bCs/>
          <w:b/>
        </w:rPr>
        <w:t xml:space="preserve"> </w:t>
      </w:r>
      <w:r>
        <w:rPr>
          <w:bCs/>
          <w:b/>
        </w:rPr>
        <w:t xml:space="preserve">Not</w:t>
      </w:r>
      <w:r>
        <w:rPr>
          <w:bCs/>
          <w:b/>
        </w:rPr>
        <w:t xml:space="preserve"> </w:t>
      </w:r>
      <w:r>
        <w:rPr>
          <w:bCs/>
          <w:b/>
        </w:rPr>
        <w:t xml:space="preserve">Imply</w:t>
      </w:r>
      <w:r>
        <w:rPr>
          <w:bCs/>
          <w:b/>
        </w:rPr>
        <w:t xml:space="preserve"> </w:t>
      </w:r>
      <w:r>
        <w:rPr>
          <w:bCs/>
          <w:b/>
        </w:rPr>
        <w:t xml:space="preserve">Shared</w:t>
      </w:r>
      <w:r>
        <w:rPr>
          <w:bCs/>
          <w:b/>
        </w:rPr>
        <w:t xml:space="preserve"> </w:t>
      </w:r>
      <w:r>
        <w:rPr>
          <w:bCs/>
          <w:b/>
        </w:rPr>
        <w:t xml:space="preserve">Framing</w:t>
      </w:r>
      <w:r>
        <w:rPr>
          <w:bCs/>
          <w:b/>
        </w:rPr>
        <w:t xml:space="preserve"> </w:t>
      </w:r>
      <w:r>
        <w:rPr>
          <w:bCs/>
          <w:b/>
        </w:rPr>
        <w:t xml:space="preserve">—</w:t>
      </w:r>
      <w:r>
        <w:rPr>
          <w:bCs/>
          <w:b/>
        </w:rPr>
        <w:t xml:space="preserve"> </w:t>
      </w:r>
      <w:r>
        <w:rPr>
          <w:bCs/>
          <w:b/>
        </w:rPr>
        <w:t xml:space="preserve">Embedding-Based</w:t>
      </w:r>
      <w:r>
        <w:rPr>
          <w:bCs/>
          <w:b/>
        </w:rPr>
        <w:t xml:space="preserve"> </w:t>
      </w:r>
      <w:r>
        <w:rPr>
          <w:bCs/>
          <w:b/>
        </w:rPr>
        <w:t xml:space="preserve">Register-Topic</w:t>
      </w:r>
      <w:r>
        <w:rPr>
          <w:bCs/>
          <w:b/>
        </w:rPr>
        <w:t xml:space="preserve"> </w:t>
      </w:r>
      <w:r>
        <w:rPr>
          <w:bCs/>
          <w:b/>
        </w:rPr>
        <w:t xml:space="preserve">Decomposition</w:t>
      </w:r>
      <w:r>
        <w:rPr>
          <w:bCs/>
          <w:b/>
        </w:rPr>
        <w:t xml:space="preserve"> </w:t>
      </w:r>
      <w:r>
        <w:rPr>
          <w:bCs/>
          <w:b/>
        </w:rPr>
        <w:t xml:space="preserve">of</w:t>
      </w:r>
      <w:r>
        <w:rPr>
          <w:bCs/>
          <w:b/>
        </w:rPr>
        <w:t xml:space="preserve"> </w:t>
      </w:r>
      <w:r>
        <w:rPr>
          <w:bCs/>
          <w:b/>
        </w:rPr>
        <w:t xml:space="preserve">Research-Policy</w:t>
      </w:r>
      <w:r>
        <w:rPr>
          <w:bCs/>
          <w:b/>
        </w:rPr>
        <w:t xml:space="preserve"> </w:t>
      </w:r>
      <w:r>
        <w:rPr>
          <w:bCs/>
          <w:b/>
        </w:rPr>
        <w:t xml:space="preserve">Divergence</w:t>
      </w:r>
      <w:r>
        <w:rPr>
          <w:bCs/>
          <w:b/>
        </w:rPr>
        <w:t xml:space="preserve"> </w:t>
      </w:r>
      <w:r>
        <w:rPr>
          <w:bCs/>
          <w:b/>
        </w:rPr>
        <w:t xml:space="preserve">Across</w:t>
      </w:r>
      <w:r>
        <w:rPr>
          <w:bCs/>
          <w:b/>
        </w:rPr>
        <w:t xml:space="preserve"> </w:t>
      </w:r>
      <w:r>
        <w:rPr>
          <w:bCs/>
          <w:b/>
        </w:rPr>
        <w:t xml:space="preserve">the</w:t>
      </w:r>
      <w:r>
        <w:rPr>
          <w:bCs/>
          <w:b/>
        </w:rPr>
        <w:t xml:space="preserve"> </w:t>
      </w:r>
      <w:r>
        <w:rPr>
          <w:bCs/>
          <w:b/>
        </w:rPr>
        <w:t xml:space="preserve">SDGs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Cs/>
          <w:b/>
        </w:rPr>
        <w:t xml:space="preserve">Abstract</w:t>
      </w:r>
    </w:p>
    <w:p>
      <w:pPr>
        <w:pStyle w:val="BodyText"/>
      </w:pPr>
      <w:r>
        <w:t xml:space="preserve">Shared SDG labels do not mean research and policy</w:t>
      </w:r>
      <w:r>
        <w:t xml:space="preserve"> </w:t>
      </w:r>
      <w:r>
        <w:rPr>
          <w:iCs/>
          <w:i/>
        </w:rPr>
        <w:t xml:space="preserve">frame</w:t>
      </w:r>
      <w:r>
        <w:t xml:space="preserve"> </w:t>
      </w:r>
      <w:r>
        <w:t xml:space="preserve">a goal similarly. This paper contributes a measurement framework that separates research-policy divergence into two dimensions: coverage (which SDGs each corpus prioritises) and within-SDG semantic framing (how differently the same SDG is discussed). Framing is composed of topic (substantive content) and register (communicative conventions).</w:t>
      </w:r>
    </w:p>
    <w:p>
      <w:pPr>
        <w:pStyle w:val="BodyText"/>
      </w:pPr>
      <w:r>
        <w:t xml:space="preserve">The paper embeds 62</w:t>
      </w:r>
      <w:r>
        <w:t xml:space="preserve">,</w:t>
      </w:r>
      <w:r>
        <w:t xml:space="preserve">173 labelled reference texts, 3</w:t>
      </w:r>
      <w:r>
        <w:t xml:space="preserve">,</w:t>
      </w:r>
      <w:r>
        <w:t xml:space="preserve">105</w:t>
      </w:r>
      <w:r>
        <w:t xml:space="preserve">,</w:t>
      </w:r>
      <w:r>
        <w:t xml:space="preserve">144 research segments, and 40</w:t>
      </w:r>
      <w:r>
        <w:t xml:space="preserve">,</w:t>
      </w:r>
      <w:r>
        <w:t xml:space="preserve">597 policy segments with a frozen Sentence-BERT encoder. Labelled segments are used to train a single-label logistic regression classifier to score research and policy text segments. The study then trains an SDG-stratified research-policy LR classifier to subtract the linear directions that separate research and policy from the original semantic space using Iterative Nullspace Projection (INLP,</w:t>
      </w:r>
      <w:r>
        <w:t xml:space="preserve"> </w:t>
      </w:r>
      <w:r>
        <w:t xml:space="preserve">Ravfogel et al. (2020)</w:t>
      </w:r>
      <w:r>
        <w:t xml:space="preserve">). What remains is called the adjusted semantic space, interpreted as containing the substantive topic (Appendix </w:t>
      </w:r>
      <w:hyperlink w:anchor="app:register-validation">
        <w:r>
          <w:rPr>
            <w:rStyle w:val="Hyperlink"/>
          </w:rPr>
          <w:t xml:space="preserve">13.2</w:t>
        </w:r>
      </w:hyperlink>
      <w:r>
        <w:t xml:space="preserve">). Texts are re-scored in this adjusted space. The difference between the raw and adjusted embeddings is called the register component.</w:t>
      </w:r>
    </w:p>
    <w:p>
      <w:pPr>
        <w:pStyle w:val="BodyText"/>
      </w:pPr>
      <w:r>
        <w:t xml:space="preserve">For each SDG in each corpus, coverage is its share within the corpus and semantic centroid is the mean value of the embeddings labelled that SDG. For each SDG, coverage gap is the coverage difference between the two corpora and raw semantic gap is the cosine distance between research and policy centroids. Adjusted semantic gaps are computed analogously on the projected embeddings, and the register component is the difference between the raw and adjusted gaps. Correlation tests between H1a) absolute coverage gap, H1b) signed dominance, H1c) research coverage, H1d) policy coverage and within-SDG semantic gaps (raw, adjusted, register) are calculated with two-sided Monte Carlo permutation p-values (100,000 resamples).</w:t>
      </w:r>
    </w:p>
    <w:p>
      <w:pPr>
        <w:pStyle w:val="BodyText"/>
      </w:pPr>
      <w:r>
        <w:t xml:space="preserve">The SDG classifier achieves macro-F1 = 0.816 on a held-out test set and reproduces the high research coverage of SDGs 3, 4, and 16 reported in prior inventories; SDG 9’s second place is plausibly an artefact of the AI-focused retrieval. The policy-side ranking (top SDGs: 16, 17, and 13) is reported here. The raw coverage-semantic correlation is null (</w:t>
      </w:r>
      <m:oMath>
        <m:r>
          <m:t>ρ</m:t>
        </m:r>
        <m:r>
          <m:rPr>
            <m:sty m:val="p"/>
          </m:rPr>
          <m:t>=</m:t>
        </m:r>
        <m:r>
          <m:rPr>
            <m:sty m:val="p"/>
          </m:rPr>
          <m:t>−</m:t>
        </m:r>
        <m:r>
          <m:t>0.012</m:t>
        </m:r>
      </m:oMath>
      <w:r>
        <w:t xml:space="preserve">, p = 0.959). However, the adjusted semantic gap is positively associated with coverage (</w:t>
      </w:r>
      <m:oMath>
        <m:r>
          <m:t>ρ</m:t>
        </m:r>
        <m:r>
          <m:rPr>
            <m:sty m:val="p"/>
          </m:rPr>
          <m:t>=</m:t>
        </m:r>
        <m:r>
          <m:t>0.544</m:t>
        </m:r>
      </m:oMath>
      <w:r>
        <w:t xml:space="preserve">, p = 0.025), whereas the register component has a negative, non-significant association (</w:t>
      </w:r>
      <m:oMath>
        <m:r>
          <m:t>ρ</m:t>
        </m:r>
        <m:r>
          <m:rPr>
            <m:sty m:val="p"/>
          </m:rPr>
          <m:t>=</m:t>
        </m:r>
        <m:r>
          <m:rPr>
            <m:sty m:val="p"/>
          </m:rPr>
          <m:t>−</m:t>
        </m:r>
        <m:r>
          <m:t>0.390</m:t>
        </m:r>
      </m:oMath>
      <w:r>
        <w:t xml:space="preserve">, p = 0.120). Policy coverage is the strongest directional predictor of the adjusted semantic gap (</w:t>
      </w:r>
      <m:oMath>
        <m:r>
          <m:t>ρ</m:t>
        </m:r>
        <m:r>
          <m:rPr>
            <m:sty m:val="p"/>
          </m:rPr>
          <m:t>=</m:t>
        </m:r>
        <m:r>
          <m:rPr>
            <m:sty m:val="p"/>
          </m:rPr>
          <m:t>+</m:t>
        </m:r>
        <m:r>
          <m:t>0.589</m:t>
        </m:r>
      </m:oMath>
      <w:r>
        <w:t xml:space="preserve">, p = 0.015), while research coverage shows no consistent signal (</w:t>
      </w:r>
      <m:oMath>
        <m:r>
          <m:t>ρ</m:t>
        </m:r>
        <m:r>
          <m:rPr>
            <m:sty m:val="p"/>
          </m:rPr>
          <m:t>=</m:t>
        </m:r>
        <m:r>
          <m:rPr>
            <m:sty m:val="p"/>
          </m:rPr>
          <m:t>+</m:t>
        </m:r>
        <m:r>
          <m:t>0.267</m:t>
        </m:r>
      </m:oMath>
      <w:r>
        <w:t xml:space="preserve">, p = 0.295).</w:t>
      </w:r>
    </w:p>
    <w:p>
      <w:pPr>
        <w:pStyle w:val="BodyText"/>
      </w:pPr>
      <w:r>
        <w:t xml:space="preserve">These results are stable across encoders, classifier family, retrieval strategy, segment cap, and policy-source family (source families agree on the raw-gap pattern; Section </w:t>
      </w:r>
      <w:hyperlink w:anchor="sec:interaction">
        <w:r>
          <w:rPr>
            <w:rStyle w:val="Hyperlink"/>
          </w:rPr>
          <w:t xml:space="preserve">4.4</w:t>
        </w:r>
      </w:hyperlink>
      <w:r>
        <w:t xml:space="preserve">), apart from one sign flip in the concept-retrieved track (Section </w:t>
      </w:r>
      <w:hyperlink w:anchor="sec:limitations">
        <w:r>
          <w:rPr>
            <w:rStyle w:val="Hyperlink"/>
          </w:rPr>
          <w:t xml:space="preserve">5.5</w:t>
        </w:r>
      </w:hyperlink>
      <w:r>
        <w:t xml:space="preserve">). To conclude, coverage and framing should be measured and reported as separate axes of divergence. Shared labels are insufficient evidence of shared framing.</w:t>
      </w:r>
    </w:p>
    <w:p>
      <w:pPr>
        <w:pStyle w:val="BodyText"/>
      </w:pPr>
      <w:r>
        <w:rPr>
          <w:bCs/>
          <w:b/>
        </w:rPr>
        <w:t xml:space="preserve">Keywords:</w:t>
      </w:r>
      <w:r>
        <w:t xml:space="preserve"> </w:t>
      </w:r>
      <w:r>
        <w:t xml:space="preserve">research-policy alignment; Sustainable Development Goals; semantic similarity; transformer embeddings; measurement protocol; bibliometrics.</w:t>
      </w:r>
    </w:p>
    <w:p>
      <w:pPr>
        <w:pStyle w:val="BodyText"/>
      </w:pPr>
      <w:r>
        <w:rPr>
          <w:bCs/>
          <w:b/>
        </w:rPr>
        <w:t xml:space="preserve">Data and code availability:</w:t>
      </w:r>
      <w:r>
        <w:t xml:space="preserve"> </w:t>
      </w:r>
      <w:r>
        <w:t xml:space="preserve">The analysis code and the frozen, processed outputs are version-controlled at</w:t>
      </w:r>
      <w:r>
        <w:t xml:space="preserve"> </w:t>
      </w:r>
      <w:hyperlink r:id="rId20">
        <w:r>
          <w:rPr>
            <w:rStyle w:val="Hyperlink"/>
          </w:rPr>
          <w:t xml:space="preserve">https://github.com/qmanhbeo/dissertation-bham</w:t>
        </w:r>
      </w:hyperlink>
      <w:r>
        <w:t xml:space="preserve">.</w:t>
      </w:r>
    </w:p>
    <w:bookmarkStart w:id="21" w:name="sec:intro"/>
    <w:p>
      <w:pPr>
        <w:pStyle w:val="Heading1"/>
      </w:pPr>
      <w:r>
        <w:t xml:space="preserve">Introduction</w:t>
      </w:r>
    </w:p>
    <w:p>
      <w:pPr>
        <w:pStyle w:val="FirstParagraph"/>
      </w:pPr>
      <w:r>
        <w:t xml:space="preserve">Research-policy alignment is often inferred from whether scientific and policy texts address the same topics</w:t>
      </w:r>
      <w:r>
        <w:t xml:space="preserve"> </w:t>
      </w:r>
      <w:r>
        <w:t xml:space="preserve">(Bornmann et al., 2016)</w:t>
      </w:r>
      <w:r>
        <w:t xml:space="preserve">, but shared coverage does not mean comparable framing. Research and policy rarely even co-occur on a topic to begin with: only 1.2% of 191,276 climate-change publications carry at least one policy-document mention</w:t>
      </w:r>
      <w:r>
        <w:t xml:space="preserve"> </w:t>
      </w:r>
      <w:r>
        <w:t xml:space="preserve">(Bornmann et al., 2016)</w:t>
      </w:r>
      <w:r>
        <w:t xml:space="preserve">, and even where research and policy communities share terminology, they diverge in term salience and focal concerns</w:t>
      </w:r>
      <w:r>
        <w:t xml:space="preserve"> </w:t>
      </w:r>
      <w:r>
        <w:t xml:space="preserve">(Toney-Wails et al., 2024)</w:t>
      </w:r>
      <w:r>
        <w:t xml:space="preserve">. A paper and a policy document can both be labelled the same SDG while emphasising different problems, actors, and interventions. Legislative agendas, ESG disclosures, and funding decisions increasingly treat SDG tags as evidence of alignment</w:t>
      </w:r>
      <w:r>
        <w:t xml:space="preserve"> </w:t>
      </w:r>
      <w:r>
        <w:t xml:space="preserve">(Heilinger et al., 2024; Heras-Saizarbitoria et al., 2022)</w:t>
      </w:r>
      <w:r>
        <w:t xml:space="preserve"> </w:t>
      </w:r>
      <w:r>
        <w:t xml:space="preserve">while this assumption is rarely tested directly.</w:t>
      </w:r>
    </w:p>
    <w:p>
      <w:pPr>
        <w:pStyle w:val="BodyText"/>
      </w:pPr>
      <w:r>
        <w:t xml:space="preserve">Existing methods for mapping research to the Sustainable Development Goals (SDGs) operate mainly at the level of lexical or bibliometric correspondence: keyword dictionaries, Boolean queries, or citation and mention counts</w:t>
      </w:r>
      <w:r>
        <w:t xml:space="preserve"> </w:t>
      </w:r>
      <w:r>
        <w:t xml:space="preserve">(Armitage et al., 2020; Kashnitsky et al., 2024)</w:t>
      </w:r>
      <w:r>
        <w:t xml:space="preserve">. Broader AI-SDG assessments compound this, resting on expert opinion or publication counts rather than on the texts themselves</w:t>
      </w:r>
      <w:r>
        <w:t xml:space="preserve"> </w:t>
      </w:r>
      <w:r>
        <w:t xml:space="preserve">(Vinuesa et al., 2020)</w:t>
      </w:r>
      <w:r>
        <w:t xml:space="preserve">. They measure whether a text is about a SDG instead of how it frames it.</w:t>
      </w:r>
    </w:p>
    <w:p>
      <w:pPr>
        <w:pStyle w:val="BodyText"/>
      </w:pPr>
      <w:r>
        <w:t xml:space="preserve">Coverage gaps like this are not AI-specific: in conservation science, 59% of policy-prioritised topics appear in fewer than 15 papers</w:t>
      </w:r>
      <w:r>
        <w:t xml:space="preserve"> </w:t>
      </w:r>
      <w:r>
        <w:t xml:space="preserve">(McCarthy et al., 2026)</w:t>
      </w:r>
      <w:r>
        <w:t xml:space="preserve">. Framing gaps are not AI-specific either: corporate AI research concentrates on pre-deployment problems, leaving the deployment-impact space policy must address</w:t>
      </w:r>
      <w:r>
        <w:t xml:space="preserve"> </w:t>
      </w:r>
      <w:r>
        <w:t xml:space="preserve">(Strauss et al., 2025)</w:t>
      </w:r>
      <w:r>
        <w:t xml:space="preserve">, and global AI metrics emphasise technical/economic performance where policy stresses ethical/social dimensions</w:t>
      </w:r>
      <w:r>
        <w:t xml:space="preserve"> </w:t>
      </w:r>
      <w:r>
        <w:t xml:space="preserve">(Sioumalas-Christodoulou and Tympas, 2025)</w:t>
      </w:r>
      <w:r>
        <w:t xml:space="preserve">.</w:t>
      </w:r>
    </w:p>
    <w:p>
      <w:pPr>
        <w:pStyle w:val="BodyText"/>
      </w:pPr>
      <w:r>
        <w:t xml:space="preserve">This paper proposes that research-policy alignment has at least two separable dimensions: coverage divergence (which SDGs each corpus prioritises) and semantic framing divergence (how differently they discuss the same SDG). Its contribution is a measurement framework. Applied to the AI-SDG scientific and policy literature, this framework advances such mapping from Level 1 (lexical correspondence) to Level 2 (observed textual-semantic proximity in embedding space; Section </w:t>
      </w:r>
      <w:hyperlink w:anchor="sec:alignment-framework">
        <w:r>
          <w:rPr>
            <w:rStyle w:val="Hyperlink"/>
          </w:rPr>
          <w:t xml:space="preserve">2.3</w:t>
        </w:r>
      </w:hyperlink>
      <w:r>
        <w:t xml:space="preserve">). A novel SDG-stratified INLP adaptation separates register from topic.</w:t>
      </w:r>
    </w:p>
    <w:p>
      <w:pPr>
        <w:pStyle w:val="BodyText"/>
      </w:pPr>
      <w:r>
        <w:t xml:space="preserve">The central research question is: To what extent do academic AI-for-sustainability research and policy discourse differ in SDG coverage and semantic framing across the 17 SDGs, and how are these two dimensions related?</w:t>
      </w:r>
    </w:p>
    <w:bookmarkEnd w:id="21"/>
    <w:bookmarkStart w:id="30" w:name="sec:litreview"/>
    <w:p>
      <w:pPr>
        <w:pStyle w:val="Heading1"/>
      </w:pPr>
      <w:r>
        <w:t xml:space="preserve">Literature Review</w:t>
      </w:r>
    </w:p>
    <w:bookmarkStart w:id="22" w:name="sec:prev-biblio"/>
    <w:p>
      <w:pPr>
        <w:pStyle w:val="Heading2"/>
      </w:pPr>
      <w:r>
        <w:t xml:space="preserve">Previous AI-SDG Bibliometrics</w:t>
      </w:r>
    </w:p>
    <w:p>
      <w:pPr>
        <w:pStyle w:val="FirstParagraph"/>
      </w:pPr>
      <w:r>
        <w:t xml:space="preserve">Existing assessments of AI and the SDGs rest on expert views or publication counts rather than on the texts themselves</w:t>
      </w:r>
      <w:r>
        <w:t xml:space="preserve"> </w:t>
      </w:r>
      <w:r>
        <w:t xml:space="preserve">(Vinuesa et al., 2020)</w:t>
      </w:r>
      <w:r>
        <w:t xml:space="preserve">. Broader SDG scientometrics and the AI-specific inventories converge on one robust finding: SDG 3 (Good Health) and SDG 7 (Affordable and Clean Energy) are the most addressed goals in the AI-specific studies, followed by SDG 4 (Quality Education), SDG 13 (Climate Action), SDG 11 (Sustainable Cities and Communities), and SDG 16 (Peace, Justice and Strong Institutions). The evidence base spans several inventories, including a citation-based corpus of roughly 25,000 publications on the Millennium and Sustainable Development Goals</w:t>
      </w:r>
      <w:r>
        <w:t xml:space="preserve"> </w:t>
      </w:r>
      <w:r>
        <w:t xml:space="preserve">(Bautista-Puig et al., 2021)</w:t>
      </w:r>
      <w:r>
        <w:t xml:space="preserve"> </w:t>
      </w:r>
      <w:r>
        <w:t xml:space="preserve">and 792 AI-and-SDG research articles</w:t>
      </w:r>
      <w:r>
        <w:t xml:space="preserve"> </w:t>
      </w:r>
      <w:r>
        <w:t xml:space="preserve">(Gohr et al., 2025)</w:t>
      </w:r>
      <w:r>
        <w:t xml:space="preserve">. Still, none of these studies measures within-SDG semantic framing.</w:t>
      </w:r>
    </w:p>
    <w:p>
      <w:pPr>
        <w:pStyle w:val="BodyText"/>
      </w:pPr>
      <w:r>
        <w:t xml:space="preserve">SDG publication mapping depends on the methods used.</w:t>
      </w:r>
      <w:r>
        <w:t xml:space="preserve"> </w:t>
      </w:r>
      <w:r>
        <w:t xml:space="preserve">Armitage et al. (2020)</w:t>
      </w:r>
      <w:r>
        <w:t xml:space="preserve"> </w:t>
      </w:r>
      <w:r>
        <w:t xml:space="preserve">shows that what counts as SDG-relevant depends on interpretive choices about queries, labels, and databases.</w:t>
      </w:r>
      <w:r>
        <w:t xml:space="preserve"> </w:t>
      </w:r>
      <w:r>
        <w:t xml:space="preserve">Kashnitsky et al. (2024)</w:t>
      </w:r>
      <w:r>
        <w:t xml:space="preserve"> </w:t>
      </w:r>
      <w:r>
        <w:t xml:space="preserve">reach the same caution from a broader comparison of Boolean, machine-learning, and hybrid mapping systems, finding no single best approach and no single</w:t>
      </w:r>
      <w:r>
        <w:t xml:space="preserve"> </w:t>
      </w:r>
      <w:r>
        <w:t xml:space="preserve">“</w:t>
      </w:r>
      <w:r>
        <w:t xml:space="preserve">golden</w:t>
      </w:r>
      <w:r>
        <w:t xml:space="preserve">”</w:t>
      </w:r>
      <w:r>
        <w:t xml:space="preserve"> </w:t>
      </w:r>
      <w:r>
        <w:t xml:space="preserve">validation set. The dependence persists in AI-based mapping: keyword baselines still omit publications that never state an SDG keyword explicitly, so the reported corpus boundary remains query-dependent</w:t>
      </w:r>
      <w:r>
        <w:t xml:space="preserve"> </w:t>
      </w:r>
      <w:r>
        <w:t xml:space="preserve">(Yin et al., 2025)</w:t>
      </w:r>
      <w:r>
        <w:t xml:space="preserve">. The embedding-based approach used in this paper reduces some vocabulary-level brittleness of keyword dictionaries, but its results are still conditional on corpus construction, which centroids are used, and model choice.</w:t>
      </w:r>
    </w:p>
    <w:p>
      <w:pPr>
        <w:pStyle w:val="BodyText"/>
      </w:pPr>
      <w:r>
        <w:t xml:space="preserve">The SDGs themselves are interdependent by design, yet no operational framework specifies how to manage these interdependencies</w:t>
      </w:r>
      <w:r>
        <w:t xml:space="preserve"> </w:t>
      </w:r>
      <w:r>
        <w:t xml:space="preserve">(Nilsson et al., 2016)</w:t>
      </w:r>
      <w:r>
        <w:t xml:space="preserve">; SDG 17 is the partial exception.</w:t>
      </w:r>
      <w:r>
        <w:t xml:space="preserve"> </w:t>
      </w:r>
      <w:r>
        <w:t xml:space="preserve">Le Blanc (2015)</w:t>
      </w:r>
      <w:r>
        <w:t xml:space="preserve">, in a network analysis of the proposed SDGs, treats SDG 17 (Partnerships for the Goals) as the dedicated goal for cross-cutting means of implementation (finance, trade, technology transfer, capacity building) and excludes these from cross-goal mapping to focus on links between thematic areas. Unlike every other SDG, whose discourse more likely centres on a shared substantive topic, SDG 17 policy discourse concerns coordinating and resourcing implementation itself, a conceptual space that AI research rarely addresses. Single-SDG assignment used in this paper is therefore a simplifying assumption.</w:t>
      </w:r>
    </w:p>
    <w:bookmarkEnd w:id="22"/>
    <w:bookmarkStart w:id="23" w:name="sec:rp-alignment"/>
    <w:p>
      <w:pPr>
        <w:pStyle w:val="Heading2"/>
      </w:pPr>
      <w:r>
        <w:t xml:space="preserve">Research-Policy Alignment in AI and Sustainability</w:t>
      </w:r>
    </w:p>
    <w:p>
      <w:pPr>
        <w:pStyle w:val="FirstParagraph"/>
      </w:pPr>
      <w:r>
        <w:t xml:space="preserve">A growing literature documents structural tensions between what AI research produces and what sustainability policy requires. Corporate AI research concentrates on pre-deployment technical problems, creating a gap between research priorities and the deployment impacts governance must address</w:t>
      </w:r>
      <w:r>
        <w:t xml:space="preserve"> </w:t>
      </w:r>
      <w:r>
        <w:t xml:space="preserve">(Strauss et al., 2025)</w:t>
      </w:r>
      <w:r>
        <w:t xml:space="preserve">. Global AI metrics emphasise technical and economic performance when policy discourse stresses ethical and social dimensions aligned with SDG concerns</w:t>
      </w:r>
      <w:r>
        <w:t xml:space="preserve"> </w:t>
      </w:r>
      <w:r>
        <w:t xml:space="preserve">(Sioumalas-Christodoulou and Tympas, 2025)</w:t>
      </w:r>
      <w:r>
        <w:t xml:space="preserve">. Research and policy communities can share trustworthy-AI terminology while differing in term salience and focal concerns</w:t>
      </w:r>
      <w:r>
        <w:t xml:space="preserve"> </w:t>
      </w:r>
      <w:r>
        <w:t xml:space="preserve">(Toney-Wails et al., 2024)</w:t>
      </w:r>
      <w:r>
        <w:t xml:space="preserve">. The pattern extends beyond AI: in conservation science, 59% of policy-prioritised research topics appear in fewer than 15 papers</w:t>
      </w:r>
      <w:r>
        <w:t xml:space="preserve"> </w:t>
      </w:r>
      <w:r>
        <w:t xml:space="preserve">(McCarthy et al., 2026)</w:t>
      </w:r>
      <w:r>
        <w:t xml:space="preserve">.</w:t>
      </w:r>
    </w:p>
    <w:p>
      <w:pPr>
        <w:pStyle w:val="BodyText"/>
      </w:pPr>
      <w:r>
        <w:t xml:space="preserve">Adjacent scientometric work measures research-policy connection through policy-document mentions rather than semantic framing and still finds only 1.2% of 191,276 climate-change publications have at least one policy mention</w:t>
      </w:r>
      <w:r>
        <w:t xml:space="preserve"> </w:t>
      </w:r>
      <w:r>
        <w:t xml:space="preserve">(Bornmann et al., 2016)</w:t>
      </w:r>
      <w:r>
        <w:t xml:space="preserve">.</w:t>
      </w:r>
    </w:p>
    <w:p>
      <w:pPr>
        <w:pStyle w:val="BodyText"/>
      </w:pPr>
      <w:r>
        <w:t xml:space="preserve">Theory explains why such divergence is the default rather than a failure. Knowledge systems support action when they produce information that is simultaneously salient, credible, and legitimate</w:t>
      </w:r>
      <w:r>
        <w:t xml:space="preserve"> </w:t>
      </w:r>
      <w:r>
        <w:t xml:space="preserve">(Cash et al., 2003)</w:t>
      </w:r>
      <w:r>
        <w:t xml:space="preserve">. Because these are properties of how information is framed and packaged rather than of which topics it covers, they motivate measuring framing alongside coverage instead of only topical presence. The epistemic-communities framework explains why shared framing matters for policy coordination under uncertainty: expert communities influence policy by articulating cause effect relationships and framing issues for collective debate</w:t>
      </w:r>
      <w:r>
        <w:t xml:space="preserve"> </w:t>
      </w:r>
      <w:r>
        <w:t xml:space="preserve">(Haas, 1992)</w:t>
      </w:r>
      <w:r>
        <w:t xml:space="preserve">. Haas’s concept is broader than semantic proximity, involving shared normative and causal beliefs, validity criteria, and a common policy enterprise; the present study therefore measures only the weaker condition of observed semantic proximity, not an operationalised epistemic community.</w:t>
      </w:r>
    </w:p>
    <w:p>
      <w:pPr>
        <w:pStyle w:val="BodyText"/>
      </w:pPr>
      <w:r>
        <w:t xml:space="preserve">The benchmark itself is not neutral. The SDG framework is a politically negotiated instrument with documented limitations: goals can create incentives to over-focus on target achievement</w:t>
      </w:r>
      <w:r>
        <w:t xml:space="preserve"> </w:t>
      </w:r>
      <w:r>
        <w:t xml:space="preserve">(Fukuda-Parr, 2016)</w:t>
      </w:r>
      <w:r>
        <w:t xml:space="preserve">, summit documents remain state-centric and avoid causal responsibility</w:t>
      </w:r>
      <w:r>
        <w:t xml:space="preserve"> </w:t>
      </w:r>
      <w:r>
        <w:t xml:space="preserve">(Bexell and Jönsson, 2017)</w:t>
      </w:r>
      <w:r>
        <w:t xml:space="preserve">. Reported SDG engagement is frequently superficial, so reported alignment should not be conflated with substantive commitment</w:t>
      </w:r>
      <w:r>
        <w:t xml:space="preserve"> </w:t>
      </w:r>
      <w:r>
        <w:t xml:space="preserve">(Heilinger et al., 2024; Heras-Saizarbitoria et al., 2022)</w:t>
      </w:r>
      <w:r>
        <w:t xml:space="preserve">. To the extent that research follows Mode 1 knowledge production (problems set within academic disciplines) rather than Mode 2 (problems arising in contexts of application)</w:t>
      </w:r>
      <w:r>
        <w:t xml:space="preserve"> </w:t>
      </w:r>
      <w:r>
        <w:t xml:space="preserve">(Gibbons et al., 1994)</w:t>
      </w:r>
      <w:r>
        <w:t xml:space="preserve">, divergence is not uniformly problematic: where research explores possibilities that policy discourse has not yet absorbed, distance may reflect productive exploration rather than failure of alignment.</w:t>
      </w:r>
    </w:p>
    <w:bookmarkEnd w:id="23"/>
    <w:bookmarkStart w:id="27" w:name="sec:alignment-framework"/>
    <w:p>
      <w:pPr>
        <w:pStyle w:val="Heading2"/>
      </w:pPr>
      <w:r>
        <w:t xml:space="preserve">A Three-Level Framework of Research-Policy Alignment</w:t>
      </w:r>
    </w:p>
    <w:p>
      <w:pPr>
        <w:pStyle w:val="FirstParagraph"/>
      </w:pPr>
      <w:r>
        <w:t xml:space="preserve">This paper proposes that research-policy alignment be understood as a three-level construct rather than a binary property of shared labels:</w:t>
      </w:r>
    </w:p>
    <w:p>
      <w:pPr>
        <w:pStyle w:val="BodyText"/>
      </w:pPr>
      <w:r>
        <w:rPr>
          <w:bCs/>
          <w:b/>
        </w:rPr>
        <w:t xml:space="preserve">Level 1: lexical or bibliometric correspondence.</w:t>
      </w:r>
      <w:r>
        <w:t xml:space="preserve"> </w:t>
      </w:r>
      <w:r>
        <w:t xml:space="preserve">The dominant mode of existing SDG-mapping work: assigning texts to goals through keyword dictionaries, Boolean queries, or citation and mention counts</w:t>
      </w:r>
      <w:r>
        <w:t xml:space="preserve"> </w:t>
      </w:r>
      <w:r>
        <w:t xml:space="preserve">(Armitage et al., 2020; Kashnitsky et al., 2024)</w:t>
      </w:r>
      <w:r>
        <w:t xml:space="preserve">. This level is criticised: shared vocabulary does not guarantee shared meaning</w:t>
      </w:r>
      <w:r>
        <w:t xml:space="preserve"> </w:t>
      </w:r>
      <w:r>
        <w:t xml:space="preserve">(Bornmann et al., 2016)</w:t>
      </w:r>
      <w:r>
        <w:t xml:space="preserve">, and keyword methods are brittle to vocabulary and database choices</w:t>
      </w:r>
      <w:r>
        <w:t xml:space="preserve"> </w:t>
      </w:r>
      <w:r>
        <w:t xml:space="preserve">(Armitage et al., 2020)</w:t>
      </w:r>
      <w:r>
        <w:t xml:space="preserve">.</w:t>
      </w:r>
    </w:p>
    <w:p>
      <w:pPr>
        <w:pStyle w:val="BodyText"/>
      </w:pPr>
      <w:r>
        <w:rPr>
          <w:bCs/>
          <w:b/>
        </w:rPr>
        <w:t xml:space="preserve">Level 2: observed textual-semantic proximity in embedding space.</w:t>
      </w:r>
      <w:r>
        <w:t xml:space="preserve"> </w:t>
      </w:r>
      <w:r>
        <w:t xml:space="preserve">Sentence embeddings locate texts in a shared semantic space where proximity reflects distributional patterns of co-occurrence</w:t>
      </w:r>
      <w:r>
        <w:t xml:space="preserve"> </w:t>
      </w:r>
      <w:r>
        <w:t xml:space="preserve">(Harris, 1954; Reimers and Gurevych, 2019)</w:t>
      </w:r>
      <w:r>
        <w:t xml:space="preserve">, and encoder-based SDG association has been benchmarked as a strong baseline</w:t>
      </w:r>
      <w:r>
        <w:t xml:space="preserve"> </w:t>
      </w:r>
      <w:r>
        <w:t xml:space="preserve">(Gjorgjevikj et al., 2025)</w:t>
      </w:r>
      <w:r>
        <w:t xml:space="preserve">. This level detects divergence that keyword methods miss. It also makes divergence structurally visible: observed proximity decomposes into separable components (coverage versus framing, and topic versus register within framing), and because the decomposition operates on the texts themselves, its findings can be reproduced and tested rather than merely judged (Section </w:t>
      </w:r>
      <w:hyperlink w:anchor="sec:register-adjustment-inlp">
        <w:r>
          <w:rPr>
            <w:rStyle w:val="Hyperlink"/>
          </w:rPr>
          <w:t xml:space="preserve">3.8</w:t>
        </w:r>
      </w:hyperlink>
      <w:r>
        <w:t xml:space="preserve">). The present study is positioned at this level, and the limits of that measurement are developed in Section </w:t>
      </w:r>
      <w:hyperlink w:anchor="sec:semantic-methods">
        <w:r>
          <w:rPr>
            <w:rStyle w:val="Hyperlink"/>
          </w:rPr>
          <w:t xml:space="preserve">2.4</w:t>
        </w:r>
      </w:hyperlink>
      <w:r>
        <w:t xml:space="preserve"> </w:t>
      </w:r>
      <w:r>
        <w:t xml:space="preserve">below.</w:t>
      </w:r>
    </w:p>
    <w:p>
      <w:pPr>
        <w:pStyle w:val="BodyText"/>
      </w:pPr>
      <w:r>
        <w:rPr>
          <w:bCs/>
          <w:b/>
        </w:rPr>
        <w:t xml:space="preserve">Level 3: substantive comparison of implied problems, actors, and interventions.</w:t>
      </w:r>
      <w:r>
        <w:t xml:space="preserve"> </w:t>
      </w:r>
      <w:r>
        <w:t xml:space="preserve">Whether the two discourses address the same problems, involve the same actors, and propose the same interventions</w:t>
      </w:r>
      <w:r>
        <w:t xml:space="preserve"> </w:t>
      </w:r>
      <w:r>
        <w:t xml:space="preserve">(Cash et al., 2003; Guston, 2001; Haas, 1992)</w:t>
      </w:r>
      <w:r>
        <w:t xml:space="preserve">. Because this requires interpreting causal beliefs, legitimacy, and institutional mechanism</w:t>
      </w:r>
      <w:r>
        <w:t xml:space="preserve"> </w:t>
      </w:r>
      <w:r>
        <w:t xml:space="preserve">(Caplan, 1979; Haas, 1992)</w:t>
      </w:r>
      <w:r>
        <w:t xml:space="preserve">, it lies beyond unsupervised text analysis and is left to qualitative follow-up.</w:t>
      </w:r>
    </w:p>
    <w:p>
      <w:pPr>
        <w:pStyle w:val="BodyText"/>
      </w:pPr>
      <w:r>
        <w:t xml:space="preserve">Advancing from Level 1 to Level 2 is the study’s main methodological contribution; Level 3 is not addressed. Section </w:t>
      </w:r>
      <w:hyperlink w:anchor="sec:level0">
        <w:r>
          <w:rPr>
            <w:rStyle w:val="Hyperlink"/>
          </w:rPr>
          <w:t xml:space="preserve">5.4</w:t>
        </w:r>
      </w:hyperlink>
      <w:r>
        <w:t xml:space="preserve"> </w:t>
      </w:r>
      <w:r>
        <w:t xml:space="preserve">discusses a reference-relative precondition below these levels. Figure </w:t>
      </w:r>
      <w:hyperlink w:anchor="fig:conceptual-framework">
        <w:r>
          <w:rPr>
            <w:rStyle w:val="Hyperlink"/>
          </w:rPr>
          <w:t xml:space="preserve">1</w:t>
        </w:r>
      </w:hyperlink>
      <w:r>
        <w:t xml:space="preserve"> </w:t>
      </w:r>
      <w:r>
        <w:t xml:space="preserve">illustrates this decomposition.</w:t>
      </w:r>
    </w:p>
    <w:p>
      <w:pPr>
        <w:pStyle w:val="CaptionedFigure"/>
      </w:pPr>
      <w:r>
        <w:drawing>
          <wp:inline>
            <wp:extent cx="4000500" cy="2535296"/>
            <wp:effectExtent b="0" l="0" r="0" t="0"/>
            <wp:docPr descr="" title="" id="25" name="Picture"/>
            <a:graphic>
              <a:graphicData uri="http://schemas.openxmlformats.org/drawingml/2006/picture">
                <pic:pic>
                  <pic:nvPicPr>
                    <pic:cNvPr descr="fig1_conceptual_framework.png" id="26" name="Picture"/>
                    <pic:cNvPicPr>
                      <a:picLocks noChangeArrowheads="1" noChangeAspect="1"/>
                    </pic:cNvPicPr>
                  </pic:nvPicPr>
                  <pic:blipFill>
                    <a:blip r:embed="rId24"/>
                    <a:stretch>
                      <a:fillRect/>
                    </a:stretch>
                  </pic:blipFill>
                  <pic:spPr bwMode="auto">
                    <a:xfrm>
                      <a:off x="0" y="0"/>
                      <a:ext cx="4000500" cy="2535296"/>
                    </a:xfrm>
                    <a:prstGeom prst="rect">
                      <a:avLst/>
                    </a:prstGeom>
                    <a:noFill/>
                    <a:ln w="9525">
                      <a:noFill/>
                      <a:headEnd/>
                      <a:tailEnd/>
                    </a:ln>
                  </pic:spPr>
                </pic:pic>
              </a:graphicData>
            </a:graphic>
          </wp:inline>
        </w:drawing>
      </w:r>
    </w:p>
    <w:p>
      <w:pPr>
        <w:pStyle w:val="ImageCaption"/>
      </w:pPr>
      <w:r>
        <w:t xml:space="preserve">Conceptual framework: research–policy divergence separated into coverage and semantic framing dimensions, positioned within the three-level alignment construct.</w:t>
      </w:r>
    </w:p>
    <w:bookmarkEnd w:id="27"/>
    <w:bookmarkStart w:id="28" w:name="sec:semantic-methods"/>
    <w:p>
      <w:pPr>
        <w:pStyle w:val="Heading2"/>
      </w:pPr>
      <w:r>
        <w:t xml:space="preserve">Semantic Methods: Rationale and Cautions</w:t>
      </w:r>
    </w:p>
    <w:p>
      <w:pPr>
        <w:pStyle w:val="FirstParagraph"/>
      </w:pPr>
      <w:r>
        <w:t xml:space="preserve">The distributional hypothesis, that meaning can be described through patterns of linguistic co-occurrence</w:t>
      </w:r>
      <w:r>
        <w:t xml:space="preserve"> </w:t>
      </w:r>
      <w:r>
        <w:t xml:space="preserve">(Harris, 1954)</w:t>
      </w:r>
      <w:r>
        <w:t xml:space="preserve">, motivates the use of Sentence-BERT</w:t>
      </w:r>
      <w:r>
        <w:t xml:space="preserve"> </w:t>
      </w:r>
      <w:r>
        <w:t xml:space="preserve">(Reimers and Gurevych, 2019)</w:t>
      </w:r>
      <w:r>
        <w:t xml:space="preserve"> </w:t>
      </w:r>
      <w:r>
        <w:t xml:space="preserve">and related transformer encoders for large-scale semantic comparison. However, using them to compare research abstracts and policy documents is new and not yet directly benchmarked. The distance is descriptive rather than causal.</w:t>
      </w:r>
    </w:p>
    <w:p>
      <w:pPr>
        <w:pStyle w:val="BodyText"/>
      </w:pPr>
      <w:r>
        <w:t xml:space="preserve">Gjorgjevikj et al. (2025)</w:t>
      </w:r>
      <w:r>
        <w:t xml:space="preserve"> </w:t>
      </w:r>
      <w:r>
        <w:t xml:space="preserve">benchmarked sentence encoders specifically for SDG association tasks, finding that general-purpose models from the sentence-transformers family perform among the strongest as baselines, and that domain-specific fine-tuning further improves predictive performance while reducing sensitivity to description length.</w:t>
      </w:r>
      <w:r>
        <w:t xml:space="preserve"> </w:t>
      </w:r>
      <w:r>
        <w:t xml:space="preserve">Rodriguez et al. (2023)</w:t>
      </w:r>
      <w:r>
        <w:t xml:space="preserve">’s conText framework provides a computational-social-science precedent for comparing meaning across contexts, adopting a narrow, structuralist view of meaning as distributional co-occurrence and making no causal claims about human understanding. This study follows that same descriptive premise: semantic proximity is a distributional measurement rather than evidence of substantive framing alignment. Because encoders also encode register and style</w:t>
      </w:r>
      <w:r>
        <w:t xml:space="preserve"> </w:t>
      </w:r>
      <w:r>
        <w:t xml:space="preserve">(Grieve et al., 2025; Niu and Carpuat, 2017)</w:t>
      </w:r>
      <w:r>
        <w:t xml:space="preserve">, embedding distance mixes topic, register, and convention into one number; this motivates the decomposition (Section </w:t>
      </w:r>
      <w:hyperlink w:anchor="sec:register-adjustment-inlp">
        <w:r>
          <w:rPr>
            <w:rStyle w:val="Hyperlink"/>
          </w:rPr>
          <w:t xml:space="preserve">3.8</w:t>
        </w:r>
      </w:hyperlink>
      <w:r>
        <w:t xml:space="preserve">).</w:t>
      </w:r>
    </w:p>
    <w:p>
      <w:pPr>
        <w:pStyle w:val="BodyText"/>
      </w:pPr>
      <w:r>
        <w:t xml:space="preserve">McCarthy et al. (2026)</w:t>
      </w:r>
      <w:r>
        <w:t xml:space="preserve"> </w:t>
      </w:r>
      <w:r>
        <w:t xml:space="preserve">supply a closer empirical precedent, showing with a multi-target SciBERT classifier that research-policy coverage gaps are measurable with transformer encoders outside the AI-SDG setting. This study extends that logic from a single conservation domain to all 17 SDGs, and from coverage to within-SDG semantic framing.</w:t>
      </w:r>
    </w:p>
    <w:p>
      <w:pPr>
        <w:pStyle w:val="BodyText"/>
      </w:pPr>
      <w:r>
        <w:t xml:space="preserve">An older corpus-linguistic tradition adds a further caution. Biber’s multidimensional (MD) analysis identifies six co-varying dimensions of linguistic variation across 23 spoken and written genres, derived from factor analysis of 67 linguistic features</w:t>
      </w:r>
      <w:r>
        <w:t xml:space="preserve"> </w:t>
      </w:r>
      <w:r>
        <w:t xml:space="preserve">(Biber, 1988)</w:t>
      </w:r>
      <w:r>
        <w:t xml:space="preserve">. Each dimension captures a continuum of co-occurring linguistic features rather than a binary speech/writing split</w:t>
      </w:r>
      <w:r>
        <w:t xml:space="preserve"> </w:t>
      </w:r>
      <w:r>
        <w:t xml:space="preserve">(Biber, 1988; Biber and Conrad, 2009)</w:t>
      </w:r>
      <w:r>
        <w:t xml:space="preserve">. Register is therefore a multi-layered property. INLP removes a linear slice isolating the largest direction of writing-style difference, and is not claimed to capture every aspect of register. For the present study this matters because research abstracts and policy documents may differ not only in substantive topic, but also in abstraction, modality, institutional stance, and rhetorical function. Embedding distance is therefore treated as observed textual-semantic proximity rather than a clean measure of topic alone.</w:t>
      </w:r>
    </w:p>
    <w:bookmarkEnd w:id="28"/>
    <w:bookmarkStart w:id="29" w:name="sec:hypotheses"/>
    <w:p>
      <w:pPr>
        <w:pStyle w:val="Heading2"/>
      </w:pPr>
      <w:r>
        <w:t xml:space="preserve">Research Gap and Hypotheses</w:t>
      </w:r>
    </w:p>
    <w:p>
      <w:pPr>
        <w:pStyle w:val="FirstParagraph"/>
      </w:pPr>
      <w:r>
        <w:t xml:space="preserve">The literature reviewed above has not produced (i) a systematic comparison of how academic AI-for-sustainability research and policy discourse differ in SDG coverage and within-SDG semantic framing — existing work measures research coverage, citation patterns, or policy-document uptake, but does not compare the two corpora directly on these dimensions — or (ii) an examination of how coverage gaps and semantic gaps are related. This framework is diagnostic. It maps where observed divergence is, without classifying whether any given gap reflects productive or problematic disconnection. The latter would require qualitative follow-up beyond the scope of embedding analysis.</w:t>
      </w:r>
    </w:p>
    <w:p>
      <w:pPr>
        <w:pStyle w:val="BodyText"/>
      </w:pPr>
      <w:r>
        <w:t xml:space="preserve">The research question is operationalised by four sub-hypotheses, each correlating a distinct coverage predictor with the within-SDG semantic gap across the 17 SDGs:</w:t>
      </w:r>
    </w:p>
    <w:p>
      <w:pPr>
        <w:numPr>
          <w:ilvl w:val="0"/>
          <w:numId w:val="1001"/>
        </w:numPr>
      </w:pPr>
      <w:r>
        <w:rPr>
          <w:bCs/>
          <w:b/>
        </w:rPr>
        <w:t xml:space="preserve">H1a</w:t>
      </w:r>
      <w:r>
        <w:t xml:space="preserve"> </w:t>
      </w:r>
      <w:r>
        <w:t xml:space="preserve">(motivating hypothesis): the coverage gap is positively associated with the semantic gap;</w:t>
      </w:r>
    </w:p>
    <w:p>
      <w:pPr>
        <w:numPr>
          <w:ilvl w:val="0"/>
          <w:numId w:val="1001"/>
        </w:numPr>
      </w:pPr>
      <w:r>
        <w:rPr>
          <w:bCs/>
          <w:b/>
        </w:rPr>
        <w:t xml:space="preserve">H1b</w:t>
      </w:r>
      <w:r>
        <w:t xml:space="preserve">: signed dominance (research share</w:t>
      </w:r>
      <w:r>
        <w:t xml:space="preserve"> </w:t>
      </w:r>
      <m:oMath>
        <m:r>
          <m:rPr>
            <m:sty m:val="p"/>
          </m:rPr>
          <m:t>−</m:t>
        </m:r>
      </m:oMath>
      <w:r>
        <w:t xml:space="preserve"> </w:t>
      </w:r>
      <w:r>
        <w:t xml:space="preserve">policy share)</w:t>
      </w:r>
      <w:r>
        <w:t xml:space="preserve"> </w:t>
      </w:r>
      <m:oMath>
        <m:r>
          <m:rPr>
            <m:sty m:val="p"/>
          </m:rPr>
          <m:t>↔</m:t>
        </m:r>
      </m:oMath>
      <w:r>
        <w:t xml:space="preserve"> </w:t>
      </w:r>
      <w:r>
        <w:t xml:space="preserve">semantic gap;</w:t>
      </w:r>
    </w:p>
    <w:p>
      <w:pPr>
        <w:numPr>
          <w:ilvl w:val="0"/>
          <w:numId w:val="1001"/>
        </w:numPr>
      </w:pPr>
      <w:r>
        <w:rPr>
          <w:bCs/>
          <w:b/>
        </w:rPr>
        <w:t xml:space="preserve">H1c</w:t>
      </w:r>
      <w:r>
        <w:t xml:space="preserve">: research coverage</w:t>
      </w:r>
      <w:r>
        <w:t xml:space="preserve"> </w:t>
      </w:r>
      <m:oMath>
        <m:r>
          <m:rPr>
            <m:sty m:val="p"/>
          </m:rPr>
          <m:t>↔</m:t>
        </m:r>
      </m:oMath>
      <w:r>
        <w:t xml:space="preserve"> </w:t>
      </w:r>
      <w:r>
        <w:t xml:space="preserve">semantic gap;</w:t>
      </w:r>
    </w:p>
    <w:p>
      <w:pPr>
        <w:numPr>
          <w:ilvl w:val="0"/>
          <w:numId w:val="1001"/>
        </w:numPr>
      </w:pPr>
      <w:r>
        <w:rPr>
          <w:bCs/>
          <w:b/>
        </w:rPr>
        <w:t xml:space="preserve">H1d</w:t>
      </w:r>
      <w:r>
        <w:t xml:space="preserve">: policy coverage</w:t>
      </w:r>
      <w:r>
        <w:t xml:space="preserve"> </w:t>
      </w:r>
      <m:oMath>
        <m:r>
          <m:rPr>
            <m:sty m:val="p"/>
          </m:rPr>
          <m:t>↔</m:t>
        </m:r>
      </m:oMath>
      <w:r>
        <w:t xml:space="preserve"> </w:t>
      </w:r>
      <w:r>
        <w:t xml:space="preserve">semantic gap.</w:t>
      </w:r>
    </w:p>
    <w:p>
      <w:pPr>
        <w:pStyle w:val="FirstParagraph"/>
      </w:pPr>
      <w:r>
        <w:t xml:space="preserve">H1b–H1d are signed tests of directional components: with dominance defined as research share minus policy share, the sign of each association locates which community’s framing norms drive the linkage, per the epistemic-communities direction-of-dominance argument. The operationalisation of these tests, Pearson</w:t>
      </w:r>
      <w:r>
        <w:t xml:space="preserve"> </w:t>
      </w:r>
      <m:oMath>
        <m:r>
          <m:t>r</m:t>
        </m:r>
      </m:oMath>
      <w:r>
        <w:t xml:space="preserve"> </w:t>
      </w:r>
      <w:r>
        <w:t xml:space="preserve">and Spearman</w:t>
      </w:r>
      <w:r>
        <w:t xml:space="preserve"> </w:t>
      </w:r>
      <m:oMath>
        <m:r>
          <m:t>ρ</m:t>
        </m:r>
      </m:oMath>
      <w:r>
        <w:t xml:space="preserve"> </w:t>
      </w:r>
      <w:r>
        <w:t xml:space="preserve">between each predictor and semantic-gap scores including the</w:t>
      </w:r>
      <w:r>
        <w:t xml:space="preserve"> </w:t>
      </w:r>
      <m:oMath>
        <m:r>
          <m:t>n</m:t>
        </m:r>
        <m:r>
          <m:rPr>
            <m:sty m:val="p"/>
          </m:rPr>
          <m:t>=</m:t>
        </m:r>
        <m:r>
          <m:t>17</m:t>
        </m:r>
      </m:oMath>
      <w:r>
        <w:t xml:space="preserve"> </w:t>
      </w:r>
      <w:r>
        <w:t xml:space="preserve">scope conditions, is described in Section </w:t>
      </w:r>
      <w:hyperlink w:anchor="sec:coverage-semantic-interaction">
        <w:r>
          <w:rPr>
            <w:rStyle w:val="Hyperlink"/>
          </w:rPr>
          <w:t xml:space="preserve">3.9</w:t>
        </w:r>
      </w:hyperlink>
      <w:r>
        <w:t xml:space="preserve">.</w:t>
      </w:r>
    </w:p>
    <w:p>
      <w:pPr>
        <w:pStyle w:val="BodyText"/>
      </w:pPr>
      <w:r>
        <w:t xml:space="preserve">These contributions and hypotheses are motivated by the theoretical frameworks reviewed in Section </w:t>
      </w:r>
      <w:hyperlink w:anchor="sec:rp-alignment">
        <w:r>
          <w:rPr>
            <w:rStyle w:val="Hyperlink"/>
          </w:rPr>
          <w:t xml:space="preserve">2.2</w:t>
        </w:r>
      </w:hyperlink>
      <w:r>
        <w:t xml:space="preserve">. The two-communities theory holds that researchers and policymakers occupy separate worlds with different values, reward systems, and languages</w:t>
      </w:r>
      <w:r>
        <w:t xml:space="preserve"> </w:t>
      </w:r>
      <w:r>
        <w:t xml:space="preserve">(Caplan, 1979)</w:t>
      </w:r>
      <w:r>
        <w:t xml:space="preserve">. If these communities also develop different topical priorities, as the empirical record of research-policy divergence suggests</w:t>
      </w:r>
      <w:r>
        <w:t xml:space="preserve"> </w:t>
      </w:r>
      <w:r>
        <w:t xml:space="preserve">(Strauss et al., 2025; McCarthy et al., 2026)</w:t>
      </w:r>
      <w:r>
        <w:t xml:space="preserve">, then coverage divergence and semantic divergence should co-occur: SDGs where one community dominates attention should also show divergent framing, because the community shaping the discussion brings its own communicative norms. The epistemic-communities framework further distinguishes the direction of dominance: where research prioritises a given SDG, the framing should reflect academic norms of knowledge production; where policy prioritises it, the framing should reflect institutional norms of coordination</w:t>
      </w:r>
      <w:r>
        <w:t xml:space="preserve"> </w:t>
      </w:r>
      <w:r>
        <w:t xml:space="preserve">(Haas, 1992)</w:t>
      </w:r>
      <w:r>
        <w:t xml:space="preserve">. H1a tests for general coverage-semantic relationships. H1b–H1d decompose the coverage-semantic relationship into these directional components.</w:t>
      </w:r>
    </w:p>
    <w:bookmarkEnd w:id="29"/>
    <w:bookmarkEnd w:id="30"/>
    <w:bookmarkStart w:id="46" w:name="sec:method"/>
    <w:p>
      <w:pPr>
        <w:pStyle w:val="Heading1"/>
      </w:pPr>
      <w:r>
        <w:t xml:space="preserve">Methodology</w:t>
      </w:r>
    </w:p>
    <w:p>
      <w:pPr>
        <w:pStyle w:val="FirstParagraph"/>
      </w:pPr>
      <w:r>
        <w:t xml:space="preserve">This study uses publicly available text data and requires no ethical approval.</w:t>
      </w:r>
    </w:p>
    <w:bookmarkStart w:id="31" w:name="sec:segmentation"/>
    <w:p>
      <w:pPr>
        <w:pStyle w:val="Heading2"/>
      </w:pPr>
      <w:r>
        <w:t xml:space="preserve">Token-Aware Segmentation</w:t>
      </w:r>
    </w:p>
    <w:p>
      <w:pPr>
        <w:pStyle w:val="FirstParagraph"/>
      </w:pPr>
      <w:r>
        <w:t xml:space="preserve">All source documents are segmented at sentence boundaries using the embedding model’s (Section </w:t>
      </w:r>
      <w:hyperlink w:anchor="sec:embedding-choice">
        <w:r>
          <w:rPr>
            <w:rStyle w:val="Hyperlink"/>
          </w:rPr>
          <w:t xml:space="preserve">3.2</w:t>
        </w:r>
      </w:hyperlink>
      <w:r>
        <w:t xml:space="preserve">) own tokenizer to enforce a hard token budget. The procedure applies identically to research abstracts, policy documents, and reference corpora: NLTK sentence-boundary detection is followed by greedy accumulation of sentences up to a token budget of</w:t>
      </w:r>
      <w:r>
        <w:t xml:space="preserve"> </w:t>
      </w:r>
      <w:r>
        <w:rPr>
          <w:rStyle w:val="VerbatimChar"/>
        </w:rPr>
        <w:t xml:space="preserve">max_seq_length</w:t>
      </w:r>
      <w:r>
        <w:t xml:space="preserve"> </w:t>
      </w:r>
      <m:oMath>
        <m:r>
          <m:rPr>
            <m:sty m:val="p"/>
          </m:rPr>
          <m:t>−</m:t>
        </m:r>
      </m:oMath>
      <w:r>
        <w:t xml:space="preserve"> </w:t>
      </w:r>
      <w:r>
        <w:t xml:space="preserve">10 (for the canonical MPNet encoder: 384</w:t>
      </w:r>
      <w:r>
        <w:t xml:space="preserve"> </w:t>
      </w:r>
      <m:oMath>
        <m:r>
          <m:rPr>
            <m:sty m:val="p"/>
          </m:rPr>
          <m:t>−</m:t>
        </m:r>
      </m:oMath>
      <w:r>
        <w:t xml:space="preserve"> </w:t>
      </w:r>
      <w:r>
        <w:t xml:space="preserve">10 = 374 tokens). Segments falling below 20 words are discarded.</w:t>
      </w:r>
    </w:p>
    <w:p>
      <w:pPr>
        <w:pStyle w:val="BodyText"/>
      </w:pPr>
      <w:r>
        <w:t xml:space="preserve">For the research–policy comparison this design has two consequences. First, research abstracts (mean</w:t>
      </w:r>
      <w:r>
        <w:t xml:space="preserve"> </w:t>
      </w:r>
      <m:oMath>
        <m:r>
          <m:rPr>
            <m:sty m:val="p"/>
          </m:rPr>
          <m:t>∼</m:t>
        </m:r>
      </m:oMath>
      <w:r>
        <w:t xml:space="preserve">200 words) mostly fit within the 374-token budget, but 17.2% exceed it and split into multiple segments; the research-side text unit is therefore the abstract, whose segments are aggregated to a single document vector before assignment, not the individual segment. Second, policy documents of variable length are split into multiple segments of comparable size to research abstracts, making the two corpora directly comparable in embedding space.</w:t>
      </w:r>
    </w:p>
    <w:bookmarkEnd w:id="31"/>
    <w:bookmarkStart w:id="32" w:name="sec:embedding-choice"/>
    <w:p>
      <w:pPr>
        <w:pStyle w:val="Heading2"/>
      </w:pPr>
      <w:r>
        <w:t xml:space="preserve">Embedding Model and Normalisation</w:t>
      </w:r>
    </w:p>
    <w:p>
      <w:pPr>
        <w:pStyle w:val="FirstParagraph"/>
      </w:pPr>
      <w:r>
        <w:t xml:space="preserve">All texts were encoded with</w:t>
      </w:r>
      <w:r>
        <w:t xml:space="preserve"> </w:t>
      </w:r>
      <w:r>
        <w:rPr>
          <w:rStyle w:val="VerbatimChar"/>
        </w:rPr>
        <w:t xml:space="preserve">all-mpnet-base-v2</w:t>
      </w:r>
      <w:r>
        <w:t xml:space="preserve"> </w:t>
      </w:r>
      <w:r>
        <w:t xml:space="preserve">(Sentence-Transformers, 2021b; Reimers and Gurevych, 2019)</w:t>
      </w:r>
      <w:r>
        <w:t xml:space="preserve"> </w:t>
      </w:r>
      <w:r>
        <w:t xml:space="preserve">from the sentence-transformers library, producing 768-dimensional dense vectors. Embeddings were L2-normalised to unit vectors so that cosine similarity equals their dot product.</w:t>
      </w:r>
    </w:p>
    <w:p>
      <w:pPr>
        <w:pStyle w:val="BodyText"/>
      </w:pPr>
      <w:r>
        <w:t xml:space="preserve">No fine-tuning is used. The embeddings are frozen. A linear classifier on frozen embeddings, well-known as linear probing, is the standard way to test what a representation already captures</w:t>
      </w:r>
      <w:r>
        <w:t xml:space="preserve"> </w:t>
      </w:r>
      <w:r>
        <w:t xml:space="preserve">(Alain and Bengio, 2018; Conneau et al., 2018)</w:t>
      </w:r>
      <w:r>
        <w:t xml:space="preserve">. Both the SDG classifier (Section </w:t>
      </w:r>
      <w:hyperlink w:anchor="sec:supervised-classifier">
        <w:r>
          <w:rPr>
            <w:rStyle w:val="Hyperlink"/>
          </w:rPr>
          <w:t xml:space="preserve">3.5</w:t>
        </w:r>
      </w:hyperlink>
      <w:r>
        <w:t xml:space="preserve">) and the INLP step (Section </w:t>
      </w:r>
      <w:hyperlink w:anchor="sec:register-adjustment-inlp">
        <w:r>
          <w:rPr>
            <w:rStyle w:val="Hyperlink"/>
          </w:rPr>
          <w:t xml:space="preserve">3.8</w:t>
        </w:r>
      </w:hyperlink>
      <w:r>
        <w:t xml:space="preserve">) are linear operations on this fixed space. Freezing also keeps the two corpora in one shared space. Retraining on the SDG data (which skews toward policy words) would distort that space.</w:t>
      </w:r>
    </w:p>
    <w:p>
      <w:pPr>
        <w:pStyle w:val="BodyText"/>
      </w:pPr>
      <w:r>
        <w:t xml:space="preserve">Encoder choice is a primary robustness axis: gap rankings are re-computed under two alternative encoders, all-MiniLM-L6-v2</w:t>
      </w:r>
      <w:r>
        <w:t xml:space="preserve"> </w:t>
      </w:r>
      <w:r>
        <w:t xml:space="preserve">(Sentence-Transformers, 2021a)</w:t>
      </w:r>
      <w:r>
        <w:t xml:space="preserve"> </w:t>
      </w:r>
      <w:r>
        <w:t xml:space="preserve">(384-dimensional) and SciBERT</w:t>
      </w:r>
      <w:r>
        <w:t xml:space="preserve"> </w:t>
      </w:r>
      <w:r>
        <w:t xml:space="preserve">(Beltagy et al., 2019)</w:t>
      </w:r>
      <w:r>
        <w:t xml:space="preserve"> </w:t>
      </w:r>
      <w:r>
        <w:t xml:space="preserve">(768-dimensional). Encoder-robustness checks use the same reference (Section </w:t>
      </w:r>
      <w:hyperlink w:anchor="sec:supervised-classifier">
        <w:r>
          <w:rPr>
            <w:rStyle w:val="Hyperlink"/>
          </w:rPr>
          <w:t xml:space="preserve">3.5</w:t>
        </w:r>
      </w:hyperlink>
      <w:r>
        <w:t xml:space="preserve">) and policy corpora (Section </w:t>
      </w:r>
      <w:hyperlink w:anchor="sec:policy-corpus">
        <w:r>
          <w:rPr>
            <w:rStyle w:val="Hyperlink"/>
          </w:rPr>
          <w:t xml:space="preserve">3.4</w:t>
        </w:r>
      </w:hyperlink>
      <w:r>
        <w:t xml:space="preserve">), but only 100,000 research abstracts drawn once with a fixed seed from the full research-abstract corpus (Section </w:t>
      </w:r>
      <w:hyperlink w:anchor="sec:research-corpus">
        <w:r>
          <w:rPr>
            <w:rStyle w:val="Hyperlink"/>
          </w:rPr>
          <w:t xml:space="preserve">3.3</w:t>
        </w:r>
      </w:hyperlink>
      <w:r>
        <w:t xml:space="preserve">) to save computation. This is motivated by the finding that the semantic gap (Section </w:t>
      </w:r>
      <w:hyperlink w:anchor="sec:semantic-gap-method">
        <w:r>
          <w:rPr>
            <w:rStyle w:val="Hyperlink"/>
          </w:rPr>
          <w:t xml:space="preserve">3.7</w:t>
        </w:r>
      </w:hyperlink>
      <w:r>
        <w:t xml:space="preserve">) becomes stable compared to the full-corpus value within 100 random re-samples at around the size of 50,000 abstracts (Appendix </w:t>
      </w:r>
      <w:hyperlink w:anchor="app:sample-stability">
        <w:r>
          <w:rPr>
            <w:rStyle w:val="Hyperlink"/>
          </w:rPr>
          <w:t xml:space="preserve">11</w:t>
        </w:r>
      </w:hyperlink>
      <w:r>
        <w:t xml:space="preserve">). This sample is larger than the corpora used in prior SDG-classification studies (Section </w:t>
      </w:r>
      <w:hyperlink w:anchor="sec:prev-biblio">
        <w:r>
          <w:rPr>
            <w:rStyle w:val="Hyperlink"/>
          </w:rPr>
          <w:t xml:space="preserve">2.1</w:t>
        </w:r>
      </w:hyperlink>
      <w:r>
        <w:t xml:space="preserve">).</w:t>
      </w:r>
    </w:p>
    <w:bookmarkEnd w:id="32"/>
    <w:bookmarkStart w:id="33" w:name="sec:research-corpus"/>
    <w:p>
      <w:pPr>
        <w:pStyle w:val="Heading2"/>
      </w:pPr>
      <w:r>
        <w:t xml:space="preserve">Research Corpus</w:t>
      </w:r>
    </w:p>
    <w:p>
      <w:pPr>
        <w:pStyle w:val="FirstParagraph"/>
      </w:pPr>
      <w:r>
        <w:t xml:space="preserve">The research corpus consists of 2</w:t>
      </w:r>
      <w:r>
        <w:t xml:space="preserve">,</w:t>
      </w:r>
      <w:r>
        <w:t xml:space="preserve">536</w:t>
      </w:r>
      <w:r>
        <w:t xml:space="preserve">,</w:t>
      </w:r>
      <w:r>
        <w:t xml:space="preserve">771 research abstracts retrieved from the OpenAlex API</w:t>
      </w:r>
      <w:r>
        <w:t xml:space="preserve"> </w:t>
      </w:r>
      <w:r>
        <w:t xml:space="preserve">(Priem et al., 2022)</w:t>
      </w:r>
      <w:r>
        <w:t xml:space="preserve">, covering publications between 2018 and 2025.</w:t>
      </w:r>
    </w:p>
    <w:p>
      <w:pPr>
        <w:pStyle w:val="BodyText"/>
      </w:pPr>
      <w:r>
        <w:t xml:space="preserve">Retrieval combined OpenAlex’s native SDG work filter with four high-precision AI search terms (</w:t>
      </w:r>
      <w:r>
        <w:rPr>
          <w:rStyle w:val="VerbatimChar"/>
        </w:rPr>
        <w:t xml:space="preserve">artificial intelligence</w:t>
      </w:r>
      <w:r>
        <w:t xml:space="preserve">,</w:t>
      </w:r>
      <w:r>
        <w:t xml:space="preserve"> </w:t>
      </w:r>
      <w:r>
        <w:rPr>
          <w:rStyle w:val="VerbatimChar"/>
        </w:rPr>
        <w:t xml:space="preserve">machine learning</w:t>
      </w:r>
      <w:r>
        <w:t xml:space="preserve">,</w:t>
      </w:r>
      <w:r>
        <w:t xml:space="preserve"> </w:t>
      </w:r>
      <w:r>
        <w:rPr>
          <w:rStyle w:val="VerbatimChar"/>
        </w:rPr>
        <w:t xml:space="preserve">deep learning</w:t>
      </w:r>
      <w:r>
        <w:t xml:space="preserve">,</w:t>
      </w:r>
      <w:r>
        <w:t xml:space="preserve"> </w:t>
      </w:r>
      <w:r>
        <w:rPr>
          <w:rStyle w:val="VerbatimChar"/>
        </w:rPr>
        <w:t xml:space="preserve">neural network</w:t>
      </w:r>
      <w:r>
        <w:t xml:space="preserve">), giving 68 queries (17 SDGs</w:t>
      </w:r>
      <w:r>
        <w:t xml:space="preserve"> </w:t>
      </w:r>
      <m:oMath>
        <m:r>
          <m:rPr>
            <m:sty m:val="p"/>
          </m:rPr>
          <m:t>×</m:t>
        </m:r>
      </m:oMath>
      <w:r>
        <w:t xml:space="preserve"> </w:t>
      </w:r>
      <w:r>
        <w:t xml:space="preserve">4 terms). The term set draws on established practice for delimiting AI corpora</w:t>
      </w:r>
      <w:r>
        <w:t xml:space="preserve"> </w:t>
      </w:r>
      <w:r>
        <w:t xml:space="preserve">(Hellwig et al., 2019; OECD, 2024)</w:t>
      </w:r>
      <w:r>
        <w:t xml:space="preserve">, capturing AI-related work without trying to catch every AI term. Because this study measures semantic alignment between research and policy rather than counting publications, the search favours precision over recall: each term must clearly mark AI work, accepting that some papers are missed, to keep non-AI papers out of the embedding space.</w:t>
      </w:r>
      <w:r>
        <w:t xml:space="preserve"> </w:t>
      </w:r>
      <w:r>
        <w:t xml:space="preserve">Schoeberl et al. (2023)</w:t>
      </w:r>
      <w:r>
        <w:t xml:space="preserve"> </w:t>
      </w:r>
      <w:r>
        <w:t xml:space="preserve">reach the same precision-over-recall conclusion for AI-research identification, finding results sensitive to retrieval method and favouring supervised classification. The</w:t>
      </w:r>
      <w:r>
        <w:t xml:space="preserve"> </w:t>
      </w:r>
      <w:r>
        <w:t xml:space="preserve">‘</w:t>
      </w:r>
      <w:r>
        <w:t xml:space="preserve">learning</w:t>
      </w:r>
      <w:r>
        <w:t xml:space="preserve">’</w:t>
      </w:r>
      <w:r>
        <w:t xml:space="preserve"> </w:t>
      </w:r>
      <w:r>
        <w:t xml:space="preserve">terms plausibly inflate the SDG 4 share. This is examined in Appendix </w:t>
      </w:r>
      <w:hyperlink w:anchor="app:sdg4-lexical-audit">
        <w:r>
          <w:rPr>
            <w:rStyle w:val="Hyperlink"/>
          </w:rPr>
          <w:t xml:space="preserve">8.1</w:t>
        </w:r>
      </w:hyperlink>
      <w:r>
        <w:t xml:space="preserve">.</w:t>
      </w:r>
    </w:p>
    <w:p>
      <w:pPr>
        <w:pStyle w:val="BodyText"/>
      </w:pPr>
      <w:r>
        <w:t xml:space="preserve">A direct test re-ran retrieval using field-of-study membership for the same two AI fields/concepts of</w:t>
      </w:r>
      <w:r>
        <w:t xml:space="preserve"> </w:t>
      </w:r>
      <w:r>
        <w:t xml:space="preserve">“</w:t>
      </w:r>
      <w:r>
        <w:t xml:space="preserve">AI</w:t>
      </w:r>
      <w:r>
        <w:t xml:space="preserve">”</w:t>
      </w:r>
      <w:r>
        <w:t xml:space="preserve"> </w:t>
      </w:r>
      <w:r>
        <w:t xml:space="preserve">and</w:t>
      </w:r>
      <w:r>
        <w:t xml:space="preserve"> </w:t>
      </w:r>
      <w:r>
        <w:t xml:space="preserve">“</w:t>
      </w:r>
      <w:r>
        <w:t xml:space="preserve">ML</w:t>
      </w:r>
      <w:r>
        <w:t xml:space="preserve">”</w:t>
      </w:r>
      <w:r>
        <w:t xml:space="preserve"> </w:t>
      </w:r>
      <w:r>
        <w:t xml:space="preserve">(OECD, 2024)</w:t>
      </w:r>
      <w:r>
        <w:t xml:space="preserve"> </w:t>
      </w:r>
      <w:r>
        <w:t xml:space="preserve">and re-scored the resulting 100,000-paper corpus through its own segmentation (Section </w:t>
      </w:r>
      <w:hyperlink w:anchor="sec:segmentation">
        <w:r>
          <w:rPr>
            <w:rStyle w:val="Hyperlink"/>
          </w:rPr>
          <w:t xml:space="preserve">3.1</w:t>
        </w:r>
      </w:hyperlink>
      <w:r>
        <w:t xml:space="preserve">) and classifier (Section </w:t>
      </w:r>
      <w:hyperlink w:anchor="sec:supervised-classifier">
        <w:r>
          <w:rPr>
            <w:rStyle w:val="Hyperlink"/>
          </w:rPr>
          <w:t xml:space="preserve">3.5</w:t>
        </w:r>
      </w:hyperlink>
      <w:r>
        <w:t xml:space="preserve">), but reuses the register-adjusted space from the main research corpus (Section </w:t>
      </w:r>
      <w:hyperlink w:anchor="sec:register-adjustment-inlp">
        <w:r>
          <w:rPr>
            <w:rStyle w:val="Hyperlink"/>
          </w:rPr>
          <w:t xml:space="preserve">3.8</w:t>
        </w:r>
      </w:hyperlink>
      <w:r>
        <w:t xml:space="preserve">), assuming research-policy register directions are unchanged in the same semantic space, regardless of how the corpus was retrieved. Coverage (Section </w:t>
      </w:r>
      <w:hyperlink w:anchor="sec:coverage-gap-method">
        <w:r>
          <w:rPr>
            <w:rStyle w:val="Hyperlink"/>
          </w:rPr>
          <w:t xml:space="preserve">3.6</w:t>
        </w:r>
      </w:hyperlink>
      <w:r>
        <w:t xml:space="preserve">) and semantic-gap (Section </w:t>
      </w:r>
      <w:hyperlink w:anchor="sec:semantic-gap-method">
        <w:r>
          <w:rPr>
            <w:rStyle w:val="Hyperlink"/>
          </w:rPr>
          <w:t xml:space="preserve">3.7</w:t>
        </w:r>
      </w:hyperlink>
      <w:r>
        <w:t xml:space="preserve">) rankings are stable under this alternative strategy. Results are reported mainly in Section </w:t>
      </w:r>
      <w:hyperlink w:anchor="sec:interaction">
        <w:r>
          <w:rPr>
            <w:rStyle w:val="Hyperlink"/>
          </w:rPr>
          <w:t xml:space="preserve">4.4</w:t>
        </w:r>
      </w:hyperlink>
      <w:r>
        <w:t xml:space="preserve">. For diagnostics of detailed differences between the two retrieval strategies, see Appendix </w:t>
      </w:r>
      <w:hyperlink w:anchor="app:concept-retrieval-sensitivity">
        <w:r>
          <w:rPr>
            <w:rStyle w:val="Hyperlink"/>
          </w:rPr>
          <w:t xml:space="preserve">7</w:t>
        </w:r>
      </w:hyperlink>
      <w:r>
        <w:t xml:space="preserve">.</w:t>
      </w:r>
    </w:p>
    <w:p>
      <w:pPr>
        <w:pStyle w:val="BodyText"/>
      </w:pPr>
      <w:r>
        <w:t xml:space="preserve">Importantly, the robustness check applies no SDG filter at retrieval time and is therefore a pure AI/ML corpus with SDG labels assigned post hoc by the classifier, not a corpus independently verified as SDG-relevant (Section </w:t>
      </w:r>
      <w:hyperlink w:anchor="sec:limitations">
        <w:r>
          <w:rPr>
            <w:rStyle w:val="Hyperlink"/>
          </w:rPr>
          <w:t xml:space="preserve">5.5</w:t>
        </w:r>
      </w:hyperlink>
      <w:r>
        <w:t xml:space="preserve">).</w:t>
      </w:r>
    </w:p>
    <w:p>
      <w:pPr>
        <w:pStyle w:val="BodyText"/>
      </w:pPr>
      <w:r>
        <w:t xml:space="preserve">After deduplication and removal of records lacking usable abstracts and the 20-word minimum, the research corpus survives as 2</w:t>
      </w:r>
      <w:r>
        <w:t xml:space="preserve">,</w:t>
      </w:r>
      <w:r>
        <w:t xml:space="preserve">536</w:t>
      </w:r>
      <w:r>
        <w:t xml:space="preserve">,</w:t>
      </w:r>
      <w:r>
        <w:t xml:space="preserve">771 abstracts, tokenised into segments for embedding (record and segment counts in Table </w:t>
      </w:r>
      <w:hyperlink w:anchor="tab:corpus-provenance">
        <w:r>
          <w:rPr>
            <w:rStyle w:val="Hyperlink"/>
          </w:rPr>
          <w:t xml:space="preserve">1</w:t>
        </w:r>
      </w:hyperlink>
      <w:r>
        <w:t xml:space="preserve">). The corpus is predominantly English (99.5%) but no hard language filter is applied. The main results reproduce under subsampling from 50,000 papers (Appendix </w:t>
      </w:r>
      <w:hyperlink w:anchor="app:sample-stability">
        <w:r>
          <w:rPr>
            <w:rStyle w:val="Hyperlink"/>
          </w:rPr>
          <w:t xml:space="preserve">11</w:t>
        </w:r>
      </w:hyperlink>
      <w:r>
        <w:t xml:space="preserve">), two orders of magnitude larger than the non-English share. No balancing by SDG or citation count is applied.</w:t>
      </w:r>
    </w:p>
    <w:bookmarkEnd w:id="33"/>
    <w:bookmarkStart w:id="34" w:name="sec:policy-corpus"/>
    <w:p>
      <w:pPr>
        <w:pStyle w:val="Heading2"/>
      </w:pPr>
      <w:r>
        <w:t xml:space="preserve">Policy Corpus</w:t>
      </w:r>
    </w:p>
    <w:p>
      <w:pPr>
        <w:pStyle w:val="FirstParagraph"/>
      </w:pPr>
      <w:r>
        <w:t xml:space="preserve">The policy corpus contains text segments from three collections, representing distinct source documents (segment and document counts per collection in Table </w:t>
      </w:r>
      <w:hyperlink w:anchor="tab:corpus-provenance">
        <w:r>
          <w:rPr>
            <w:rStyle w:val="Hyperlink"/>
          </w:rPr>
          <w:t xml:space="preserve">1</w:t>
        </w:r>
      </w:hyperlink>
      <w:r>
        <w:t xml:space="preserve">). It should be read as mixed international institutional SDG policy discourse rather than every AI-sustainability policy that exists:</w:t>
      </w:r>
    </w:p>
    <w:p>
      <w:pPr>
        <w:numPr>
          <w:ilvl w:val="0"/>
          <w:numId w:val="1002"/>
        </w:numPr>
      </w:pPr>
      <w:r>
        <w:rPr>
          <w:bCs/>
          <w:b/>
        </w:rPr>
        <w:t xml:space="preserve">Curated AI and SDG policy documents</w:t>
      </w:r>
      <w:r>
        <w:t xml:space="preserve">: UN, OECD, EU, UK, and AU AI governance frameworks; IPCC assessment reports; SDSN sustainable development reports; and national AI strategies.</w:t>
      </w:r>
    </w:p>
    <w:p>
      <w:pPr>
        <w:numPr>
          <w:ilvl w:val="0"/>
          <w:numId w:val="1002"/>
        </w:numPr>
      </w:pPr>
      <w:r>
        <w:rPr>
          <w:bCs/>
          <w:b/>
        </w:rPr>
        <w:t xml:space="preserve">SDGi Voluntary National Review and Voluntary Local Review corpus</w:t>
      </w:r>
      <w:r>
        <w:t xml:space="preserve"> </w:t>
      </w:r>
      <w:r>
        <w:t xml:space="preserve">(SDGi, 2024)</w:t>
      </w:r>
      <w:r>
        <w:t xml:space="preserve">: National and local self-assessments submitted to the UN High-Level Political Forum.</w:t>
      </w:r>
    </w:p>
    <w:p>
      <w:pPr>
        <w:numPr>
          <w:ilvl w:val="0"/>
          <w:numId w:val="1002"/>
        </w:numPr>
      </w:pPr>
      <w:r>
        <w:rPr>
          <w:bCs/>
          <w:b/>
        </w:rPr>
        <w:t xml:space="preserve">UN General Debate Corpus</w:t>
      </w:r>
      <w:r>
        <w:t xml:space="preserve"> </w:t>
      </w:r>
      <w:r>
        <w:t xml:space="preserve">(Jankin et al., 2024)</w:t>
      </w:r>
      <w:r>
        <w:t xml:space="preserve">: SDG-relevant passages from General Debate speeches, sessions 70–80 (2015–2024); paragraph-level keyword filtering precedes segmentation, so only SDG-relevant passages enter the pipeline, which is why its segment count is far fewer than the full corpus of speeches.</w:t>
      </w:r>
    </w:p>
    <w:p>
      <w:pPr>
        <w:pStyle w:val="FirstParagraph"/>
      </w:pPr>
      <w:r>
        <w:t xml:space="preserve">The SDGi VNR/VLR collection is also one of the five supervised reference corpora (Section </w:t>
      </w:r>
      <w:hyperlink w:anchor="sec:supervised-classifier">
        <w:r>
          <w:rPr>
            <w:rStyle w:val="Hyperlink"/>
          </w:rPr>
          <w:t xml:space="preserve">3.5</w:t>
        </w:r>
      </w:hyperlink>
      <w:r>
        <w:t xml:space="preserve">), so its policy segments carry gold SDG labels.</w:t>
      </w:r>
      <w:r>
        <w:t xml:space="preserve"> </w:t>
      </w:r>
      <w:r>
        <w:t xml:space="preserve">An asymmetry follows: the research corpus is an intersection of AI and SDG content while the policy corpus is a broader union covering institutional SDG discourse and AI governance. The curated sub-corpus is the more relevant reference for AI-governance-specific interpretation; Appendix </w:t>
      </w:r>
      <w:hyperlink w:anchor="app:policy-source-data">
        <w:r>
          <w:rPr>
            <w:rStyle w:val="Hyperlink"/>
          </w:rPr>
          <w:t xml:space="preserve">14.7</w:t>
        </w:r>
      </w:hyperlink>
      <w:r>
        <w:t xml:space="preserve"> </w:t>
      </w:r>
      <w:r>
        <w:t xml:space="preserve">reports a source-family sensitivity check.</w:t>
      </w:r>
    </w:p>
    <w:bookmarkEnd w:id="34"/>
    <w:bookmarkStart w:id="36" w:name="sec:supervised-classifier"/>
    <w:p>
      <w:pPr>
        <w:pStyle w:val="Heading2"/>
      </w:pPr>
      <w:r>
        <w:t xml:space="preserve">Supervised Reference Classifier</w:t>
      </w:r>
    </w:p>
    <w:p>
      <w:pPr>
        <w:pStyle w:val="FirstParagraph"/>
      </w:pPr>
      <w:r>
        <w:t xml:space="preserve">The canonical instrument is a supervised classifier trained on pooled single-label reference data from five independent annotated corpora. Corpus sizes at each pipeline stage—raw, preprocessed + de-duplicated, segmented, and single-label—are reported in Table </w:t>
      </w:r>
      <w:hyperlink w:anchor="tab:corpus-provenance">
        <w:r>
          <w:rPr>
            <w:rStyle w:val="Hyperlink"/>
          </w:rPr>
          <w:t xml:space="preserve">1</w:t>
        </w:r>
      </w:hyperlink>
      <w:r>
        <w:t xml:space="preserve">:</w:t>
      </w:r>
    </w:p>
    <w:p>
      <w:pPr>
        <w:numPr>
          <w:ilvl w:val="0"/>
          <w:numId w:val="1003"/>
        </w:numPr>
      </w:pPr>
      <w:r>
        <w:rPr>
          <w:bCs/>
          <w:b/>
        </w:rPr>
        <w:t xml:space="preserve">OSDG Community Dataset</w:t>
      </w:r>
      <w:r>
        <w:t xml:space="preserve"> </w:t>
      </w:r>
      <w:r>
        <w:t xml:space="preserve">(OSDG)</w:t>
      </w:r>
      <w:r>
        <w:t xml:space="preserve"> </w:t>
      </w:r>
      <w:r>
        <w:t xml:space="preserve">(Pukelis et al., 2022)</w:t>
      </w:r>
      <w:r>
        <w:t xml:space="preserve"> </w:t>
      </w:r>
      <w:r>
        <w:t xml:space="preserve">(no SDG 17): crowdsourced excerpts validated by multiple volunteers.</w:t>
      </w:r>
    </w:p>
    <w:p>
      <w:pPr>
        <w:numPr>
          <w:ilvl w:val="0"/>
          <w:numId w:val="1003"/>
        </w:numPr>
      </w:pPr>
      <w:r>
        <w:rPr>
          <w:bCs/>
          <w:b/>
        </w:rPr>
        <w:t xml:space="preserve">SDG Classification Benchmark</w:t>
      </w:r>
      <w:r>
        <w:t xml:space="preserve"> </w:t>
      </w:r>
      <w:r>
        <w:t xml:space="preserve">(SDGCB)</w:t>
      </w:r>
      <w:r>
        <w:t xml:space="preserve"> </w:t>
      </w:r>
      <w:r>
        <w:t xml:space="preserve">(SDG Classification Expert Group, 2025)</w:t>
      </w:r>
      <w:r>
        <w:t xml:space="preserve"> </w:t>
      </w:r>
      <w:r>
        <w:t xml:space="preserve">(expert-verified): expert-annotated snippets with consensus resolution.</w:t>
      </w:r>
    </w:p>
    <w:p>
      <w:pPr>
        <w:numPr>
          <w:ilvl w:val="0"/>
          <w:numId w:val="1003"/>
        </w:numPr>
      </w:pPr>
      <w:r>
        <w:rPr>
          <w:bCs/>
          <w:b/>
        </w:rPr>
        <w:t xml:space="preserve">IISD SDG Knowledge Hub</w:t>
      </w:r>
      <w:r>
        <w:t xml:space="preserve"> </w:t>
      </w:r>
      <w:r>
        <w:t xml:space="preserve">(SDGKH)</w:t>
      </w:r>
      <w:r>
        <w:t xml:space="preserve"> </w:t>
      </w:r>
      <w:r>
        <w:t xml:space="preserve">(Wulff et al., 2023)</w:t>
      </w:r>
      <w:r>
        <w:t xml:space="preserve">: multi-label journalism and policy commentary on 2030 Agenda implementation.</w:t>
      </w:r>
    </w:p>
    <w:p>
      <w:pPr>
        <w:numPr>
          <w:ilvl w:val="0"/>
          <w:numId w:val="1003"/>
        </w:numPr>
      </w:pPr>
      <w:r>
        <w:rPr>
          <w:bCs/>
          <w:b/>
        </w:rPr>
        <w:t xml:space="preserve">SDGi Corpus</w:t>
      </w:r>
      <w:r>
        <w:t xml:space="preserve"> </w:t>
      </w:r>
      <w:r>
        <w:t xml:space="preserve">(SDGi)</w:t>
      </w:r>
      <w:r>
        <w:t xml:space="preserve"> </w:t>
      </w:r>
      <w:r>
        <w:t xml:space="preserve">(SDGi, 2024)</w:t>
      </w:r>
      <w:r>
        <w:t xml:space="preserve">: government Voluntary National and Local Reviews (VNRs/LRs).</w:t>
      </w:r>
    </w:p>
    <w:p>
      <w:pPr>
        <w:numPr>
          <w:ilvl w:val="0"/>
          <w:numId w:val="1003"/>
        </w:numPr>
      </w:pPr>
      <w:r>
        <w:rPr>
          <w:bCs/>
          <w:b/>
        </w:rPr>
        <w:t xml:space="preserve">Aurora dataset</w:t>
      </w:r>
      <w:r>
        <w:t xml:space="preserve"> </w:t>
      </w:r>
      <w:r>
        <w:t xml:space="preserve">(Aurora)</w:t>
      </w:r>
      <w:r>
        <w:t xml:space="preserve"> </w:t>
      </w:r>
      <w:r>
        <w:t xml:space="preserve">(Vanderfeesten et al., 2020)</w:t>
      </w:r>
      <w:r>
        <w:t xml:space="preserve"> </w:t>
      </w:r>
      <w:r>
        <w:t xml:space="preserve">(expert-validated): academic abstracts validated by domain researchers.</w:t>
      </w:r>
    </w:p>
    <w:bookmarkStart w:id="35" w:name="tab:corpus-provenance"/>
    <w:p>
      <w:pPr>
        <w:pStyle w:val="TableCaption"/>
      </w:pPr>
      <w:r>
        <w:t xml:space="preserve">Corpus provenance: record counts at each pipeline stage.</w:t>
      </w:r>
    </w:p>
    <w:tbl>
      <w:tblPr>
        <w:tblStyle w:val="Table"/>
        <w:tblW w:type="auto" w:w="0"/>
        <w:tblLook w:firstRow="1" w:lastRow="0" w:firstColumn="0" w:lastColumn="0" w:noHBand="0" w:noVBand="0" w:val="0020"/>
        <w:jc w:val="start"/>
        <w:tblCaption w:val="Corpus provenance: record counts at each pipeline stage."/>
      </w:tblPr>
      <w:tblGrid>
        <w:gridCol w:w="1584"/>
        <w:gridCol w:w="1584"/>
        <w:gridCol w:w="1584"/>
        <w:gridCol w:w="1584"/>
        <w:gridCol w:w="1584"/>
      </w:tblGrid>
      <w:tr>
        <w:trPr>
          <w:tblHeader w:val="true"/>
        </w:trPr>
        <w:tc>
          <w:tcPr/>
          <w:p>
            <w:pPr>
              <w:pStyle w:val="Compact"/>
              <w:jc w:val="left"/>
            </w:pPr>
            <w:r>
              <w:t xml:space="preserve">Corpus</w:t>
            </w:r>
          </w:p>
        </w:tc>
        <w:tc>
          <w:tcPr/>
          <w:p>
            <w:pPr>
              <w:pStyle w:val="Compact"/>
              <w:jc w:val="right"/>
            </w:pPr>
            <w:r>
              <w:t xml:space="preserve">Raw</w:t>
            </w:r>
          </w:p>
        </w:tc>
        <w:tc>
          <w:tcPr/>
          <w:p>
            <w:pPr>
              <w:pStyle w:val="Compact"/>
              <w:jc w:val="right"/>
            </w:pPr>
            <w:r>
              <w:t xml:space="preserve">Prep</w:t>
            </w:r>
          </w:p>
        </w:tc>
        <w:tc>
          <w:tcPr/>
          <w:p>
            <w:pPr>
              <w:pStyle w:val="Compact"/>
              <w:jc w:val="right"/>
            </w:pPr>
            <w:r>
              <w:t xml:space="preserve">Seg</w:t>
            </w:r>
          </w:p>
        </w:tc>
        <w:tc>
          <w:tcPr/>
          <w:p>
            <w:pPr>
              <w:pStyle w:val="Compact"/>
              <w:jc w:val="right"/>
            </w:pPr>
            <w:r>
              <w:t xml:space="preserve">Lab</w:t>
            </w:r>
          </w:p>
        </w:tc>
      </w:tr>
      <w:tr>
        <w:tc>
          <w:tcPr/>
          <w:p>
            <w:pPr>
              <w:pStyle w:val="Compact"/>
              <w:jc w:val="left"/>
            </w:pPr>
            <w:r>
              <w:t xml:space="preserve">OSDG</w:t>
            </w:r>
          </w:p>
        </w:tc>
        <w:tc>
          <w:tcPr/>
          <w:p>
            <w:pPr>
              <w:pStyle w:val="Compact"/>
              <w:jc w:val="right"/>
            </w:pPr>
            <w:r>
              <w:t xml:space="preserve">43</w:t>
            </w:r>
            <w:r>
              <w:t xml:space="preserve">,</w:t>
            </w:r>
            <w:r>
              <w:t xml:space="preserve">025</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c>
          <w:tcPr/>
          <w:p>
            <w:pPr>
              <w:pStyle w:val="Compact"/>
              <w:jc w:val="right"/>
            </w:pPr>
            <w:r>
              <w:t xml:space="preserve">30</w:t>
            </w:r>
            <w:r>
              <w:t xml:space="preserve">,</w:t>
            </w:r>
            <w:r>
              <w:t xml:space="preserve">532</w:t>
            </w:r>
          </w:p>
        </w:tc>
      </w:tr>
      <w:tr>
        <w:tc>
          <w:tcPr/>
          <w:p>
            <w:pPr>
              <w:pStyle w:val="Compact"/>
              <w:jc w:val="left"/>
            </w:pPr>
            <w:r>
              <w:t xml:space="preserve">SDGCB</w:t>
            </w:r>
          </w:p>
        </w:tc>
        <w:tc>
          <w:tcPr/>
          <w:p>
            <w:pPr>
              <w:pStyle w:val="Compact"/>
              <w:jc w:val="right"/>
            </w:pPr>
            <w:r>
              <w:t xml:space="preserve">1</w:t>
            </w:r>
            <w:r>
              <w:t xml:space="preserve">,</w:t>
            </w:r>
            <w:r>
              <w:t xml:space="preserve">251</w:t>
            </w:r>
          </w:p>
        </w:tc>
        <w:tc>
          <w:tcPr/>
          <w:p>
            <w:pPr>
              <w:pStyle w:val="Compact"/>
              <w:jc w:val="right"/>
            </w:pPr>
            <w:r>
              <w:t xml:space="preserve">281</w:t>
            </w:r>
          </w:p>
        </w:tc>
        <w:tc>
          <w:tcPr/>
          <w:p>
            <w:pPr>
              <w:pStyle w:val="Compact"/>
              <w:jc w:val="right"/>
            </w:pPr>
            <w:r>
              <w:t xml:space="preserve">281</w:t>
            </w:r>
          </w:p>
        </w:tc>
        <w:tc>
          <w:tcPr/>
          <w:p>
            <w:pPr>
              <w:pStyle w:val="Compact"/>
              <w:jc w:val="right"/>
            </w:pPr>
            <w:r>
              <w:t xml:space="preserve">281</w:t>
            </w:r>
          </w:p>
        </w:tc>
      </w:tr>
      <w:tr>
        <w:tc>
          <w:tcPr/>
          <w:p>
            <w:pPr>
              <w:pStyle w:val="Compact"/>
              <w:jc w:val="left"/>
            </w:pPr>
            <w:r>
              <w:t xml:space="preserve">SDGKH</w:t>
            </w:r>
          </w:p>
        </w:tc>
        <w:tc>
          <w:tcPr/>
          <w:p>
            <w:pPr>
              <w:pStyle w:val="Compact"/>
              <w:jc w:val="right"/>
            </w:pPr>
            <w:r>
              <w:t xml:space="preserve">9</w:t>
            </w:r>
            <w:r>
              <w:t xml:space="preserve">,</w:t>
            </w:r>
            <w:r>
              <w:t xml:space="preserve">172</w:t>
            </w:r>
          </w:p>
        </w:tc>
        <w:tc>
          <w:tcPr/>
          <w:p>
            <w:pPr>
              <w:pStyle w:val="Compact"/>
              <w:jc w:val="right"/>
            </w:pPr>
            <w:r>
              <w:t xml:space="preserve">9</w:t>
            </w:r>
            <w:r>
              <w:t xml:space="preserve">,</w:t>
            </w:r>
            <w:r>
              <w:t xml:space="preserve">171</w:t>
            </w:r>
          </w:p>
        </w:tc>
        <w:tc>
          <w:tcPr/>
          <w:p>
            <w:pPr>
              <w:pStyle w:val="Compact"/>
              <w:jc w:val="right"/>
            </w:pPr>
            <w:r>
              <w:t xml:space="preserve">26</w:t>
            </w:r>
            <w:r>
              <w:t xml:space="preserve">,</w:t>
            </w:r>
            <w:r>
              <w:t xml:space="preserve">959</w:t>
            </w:r>
          </w:p>
        </w:tc>
        <w:tc>
          <w:tcPr/>
          <w:p>
            <w:pPr>
              <w:pStyle w:val="Compact"/>
              <w:jc w:val="right"/>
            </w:pPr>
            <w:r>
              <w:t xml:space="preserve">6</w:t>
            </w:r>
            <w:r>
              <w:t xml:space="preserve">,</w:t>
            </w:r>
            <w:r>
              <w:t xml:space="preserve">122</w:t>
            </w:r>
          </w:p>
        </w:tc>
      </w:tr>
      <w:tr>
        <w:tc>
          <w:tcPr/>
          <w:p>
            <w:pPr>
              <w:pStyle w:val="Compact"/>
              <w:jc w:val="left"/>
            </w:pPr>
            <w:r>
              <w:t xml:space="preserve">SDGi</w:t>
            </w:r>
          </w:p>
        </w:tc>
        <w:tc>
          <w:tcPr/>
          <w:p>
            <w:pPr>
              <w:pStyle w:val="Compact"/>
              <w:jc w:val="right"/>
            </w:pPr>
            <w:r>
              <w:t xml:space="preserve">5</w:t>
            </w:r>
            <w:r>
              <w:t xml:space="preserve">,</w:t>
            </w:r>
            <w:r>
              <w:t xml:space="preserve">880</w:t>
            </w:r>
          </w:p>
        </w:tc>
        <w:tc>
          <w:tcPr/>
          <w:p>
            <w:pPr>
              <w:pStyle w:val="Compact"/>
              <w:jc w:val="right"/>
            </w:pPr>
            <w:r>
              <w:t xml:space="preserve">4</w:t>
            </w:r>
            <w:r>
              <w:t xml:space="preserve">,</w:t>
            </w:r>
            <w:r>
              <w:t xml:space="preserve">225</w:t>
            </w:r>
          </w:p>
        </w:tc>
        <w:tc>
          <w:tcPr/>
          <w:p>
            <w:pPr>
              <w:pStyle w:val="Compact"/>
              <w:jc w:val="right"/>
            </w:pPr>
            <w:r>
              <w:t xml:space="preserve">21</w:t>
            </w:r>
            <w:r>
              <w:t xml:space="preserve">,</w:t>
            </w:r>
            <w:r>
              <w:t xml:space="preserve">346</w:t>
            </w:r>
          </w:p>
        </w:tc>
        <w:tc>
          <w:tcPr/>
          <w:p>
            <w:pPr>
              <w:pStyle w:val="Compact"/>
              <w:jc w:val="right"/>
            </w:pPr>
            <w:r>
              <w:t xml:space="preserve">20</w:t>
            </w:r>
            <w:r>
              <w:t xml:space="preserve">,</w:t>
            </w:r>
            <w:r>
              <w:t xml:space="preserve">267</w:t>
            </w:r>
          </w:p>
        </w:tc>
      </w:tr>
      <w:tr>
        <w:tc>
          <w:tcPr/>
          <w:p>
            <w:pPr>
              <w:pStyle w:val="Compact"/>
              <w:jc w:val="left"/>
            </w:pPr>
            <w:r>
              <w:t xml:space="preserve">Aurora</w:t>
            </w:r>
          </w:p>
        </w:tc>
        <w:tc>
          <w:tcPr/>
          <w:p>
            <w:pPr>
              <w:pStyle w:val="Compact"/>
              <w:jc w:val="right"/>
            </w:pPr>
            <w:r>
              <w:t xml:space="preserve">5</w:t>
            </w:r>
            <w:r>
              <w:t xml:space="preserve">,</w:t>
            </w:r>
            <w:r>
              <w:t xml:space="preserve">619</w:t>
            </w:r>
          </w:p>
        </w:tc>
        <w:tc>
          <w:tcPr/>
          <w:p>
            <w:pPr>
              <w:pStyle w:val="Compact"/>
              <w:jc w:val="right"/>
            </w:pPr>
            <w:r>
              <w:t xml:space="preserve">4</w:t>
            </w:r>
            <w:r>
              <w:t xml:space="preserve">,</w:t>
            </w:r>
            <w:r>
              <w:t xml:space="preserve">022</w:t>
            </w:r>
          </w:p>
        </w:tc>
        <w:tc>
          <w:tcPr/>
          <w:p>
            <w:pPr>
              <w:pStyle w:val="Compact"/>
              <w:jc w:val="right"/>
            </w:pPr>
            <w:r>
              <w:t xml:space="preserve">4</w:t>
            </w:r>
            <w:r>
              <w:t xml:space="preserve">,</w:t>
            </w:r>
            <w:r>
              <w:t xml:space="preserve">975</w:t>
            </w:r>
          </w:p>
        </w:tc>
        <w:tc>
          <w:tcPr/>
          <w:p>
            <w:pPr>
              <w:pStyle w:val="Compact"/>
              <w:jc w:val="right"/>
            </w:pPr>
            <w:r>
              <w:t xml:space="preserve">4</w:t>
            </w:r>
            <w:r>
              <w:t xml:space="preserve">,</w:t>
            </w:r>
            <w:r>
              <w:t xml:space="preserve">971</w:t>
            </w:r>
          </w:p>
        </w:tc>
      </w:tr>
      <w:tr>
        <w:tc>
          <w:tcPr/>
          <w:p>
            <w:pPr>
              <w:pStyle w:val="Compact"/>
              <w:jc w:val="left"/>
            </w:pPr>
            <w:r>
              <w:t xml:space="preserve">Research (OpenAlex)</w:t>
            </w:r>
          </w:p>
        </w:tc>
        <w:tc>
          <w:tcPr/>
          <w:p>
            <w:pPr>
              <w:pStyle w:val="Compact"/>
              <w:jc w:val="right"/>
            </w:pPr>
            <w:r>
              <w:t xml:space="preserve">2</w:t>
            </w:r>
            <w:r>
              <w:t xml:space="preserve">,</w:t>
            </w:r>
            <w:r>
              <w:t xml:space="preserve">763</w:t>
            </w:r>
            <w:r>
              <w:t xml:space="preserve">,</w:t>
            </w:r>
            <w:r>
              <w:t xml:space="preserve">579</w:t>
            </w:r>
          </w:p>
        </w:tc>
        <w:tc>
          <w:tcPr/>
          <w:p>
            <w:pPr>
              <w:pStyle w:val="Compact"/>
              <w:jc w:val="right"/>
            </w:pPr>
            <w:r>
              <w:t xml:space="preserve">2</w:t>
            </w:r>
            <w:r>
              <w:t xml:space="preserve">,</w:t>
            </w:r>
            <w:r>
              <w:t xml:space="preserve">536</w:t>
            </w:r>
            <w:r>
              <w:t xml:space="preserve">,</w:t>
            </w:r>
            <w:r>
              <w:t xml:space="preserve">771</w:t>
            </w:r>
          </w:p>
        </w:tc>
        <w:tc>
          <w:tcPr/>
          <w:p>
            <w:pPr>
              <w:pStyle w:val="Compact"/>
              <w:jc w:val="right"/>
            </w:pPr>
            <w:r>
              <w:t xml:space="preserve">3</w:t>
            </w:r>
            <w:r>
              <w:t xml:space="preserve">,</w:t>
            </w:r>
            <w:r>
              <w:t xml:space="preserve">105</w:t>
            </w:r>
            <w:r>
              <w:t xml:space="preserve">,</w:t>
            </w:r>
            <w:r>
              <w:t xml:space="preserve">144</w:t>
            </w:r>
          </w:p>
        </w:tc>
        <w:tc>
          <w:tcPr/>
          <w:p>
            <w:pPr>
              <w:pStyle w:val="Compact"/>
              <w:jc w:val="right"/>
            </w:pPr>
            <w:r>
              <w:t xml:space="preserve">—</w:t>
            </w:r>
          </w:p>
        </w:tc>
      </w:tr>
      <w:tr>
        <w:tc>
          <w:tcPr/>
          <w:p>
            <w:pPr>
              <w:pStyle w:val="Compact"/>
              <w:jc w:val="left"/>
            </w:pPr>
            <w:r>
              <w:t xml:space="preserve">Policy (3 Collections)</w:t>
            </w:r>
          </w:p>
        </w:tc>
        <w:tc>
          <w:tcPr/>
          <w:p>
            <w:pPr>
              <w:pStyle w:val="Compact"/>
              <w:jc w:val="right"/>
            </w:pPr>
            <w:r>
              <w:t xml:space="preserve">6</w:t>
            </w:r>
            <w:r>
              <w:t xml:space="preserve">,</w:t>
            </w:r>
            <w:r>
              <w:t xml:space="preserve">368</w:t>
            </w:r>
          </w:p>
        </w:tc>
        <w:tc>
          <w:tcPr/>
          <w:p>
            <w:pPr>
              <w:pStyle w:val="Compact"/>
              <w:jc w:val="right"/>
            </w:pPr>
            <w:r>
              <w:t xml:space="preserve">6</w:t>
            </w:r>
            <w:r>
              <w:t xml:space="preserve">,</w:t>
            </w:r>
            <w:r>
              <w:t xml:space="preserve">367</w:t>
            </w:r>
          </w:p>
        </w:tc>
        <w:tc>
          <w:tcPr/>
          <w:p>
            <w:pPr>
              <w:pStyle w:val="Compact"/>
              <w:jc w:val="right"/>
            </w:pPr>
            <w:r>
              <w:t xml:space="preserve">40</w:t>
            </w:r>
            <w:r>
              <w:t xml:space="preserve">,</w:t>
            </w:r>
            <w:r>
              <w:t xml:space="preserve">597</w:t>
            </w:r>
          </w:p>
        </w:tc>
        <w:tc>
          <w:tcPr/>
          <w:p>
            <w:pPr>
              <w:pStyle w:val="Compact"/>
              <w:jc w:val="right"/>
            </w:pPr>
            <w:r>
              <w:t xml:space="preserve">—</w:t>
            </w:r>
          </w:p>
        </w:tc>
      </w:tr>
    </w:tbl>
    <w:bookmarkEnd w:id="35"/>
    <w:p>
      <w:pPr>
        <w:pStyle w:val="BodyText"/>
      </w:pPr>
      <w:r>
        <w:rPr>
          <w:bCs/>
          <w:b/>
        </w:rPr>
        <w:t xml:space="preserve">Column definitions:</w:t>
      </w:r>
      <w:r>
        <w:t xml:space="preserve"> </w:t>
      </w:r>
      <w:r>
        <w:t xml:space="preserve">Raw: original source size before any pipeline processing. Prep (Preprocessed + Deduped): cleaned, de-duplicated records that survive the 20-word minimum and proceed to embedding; equivalently, the number of documents (abstracts for research, records for reference and policy) that yield at least one segment. Seg (Segments): post-segmentation segment count. Lab (Single-label): count that feeds the classifier; not applicable (—) for the unlabelled research and policy corpora. OSDG and SDGCB bypass segmentation, so Seg = Lab.</w:t>
      </w:r>
    </w:p>
    <w:p>
      <w:pPr>
        <w:pStyle w:val="BodyText"/>
      </w:pPr>
      <w:r>
        <w:t xml:space="preserve">OSDG alone contributes about 49% of labelled texts and draws on UN-adjacent documents, so the reference data remain weighted toward policy vocabulary. OSDG and SDGCB bypass segmentation due to having short texts. SDGKH, SDGi, and Aurora are segmented before pooling.</w:t>
      </w:r>
    </w:p>
    <w:p>
      <w:pPr>
        <w:pStyle w:val="BodyText"/>
      </w:pPr>
      <w:r>
        <w:t xml:space="preserve">The pooled reference data were split into training and held-out test sets by stratified document-grouped splitting (pool size and split are reported in Table </w:t>
      </w:r>
      <w:hyperlink w:anchor="tab:corpus-provenance">
        <w:r>
          <w:rPr>
            <w:rStyle w:val="Hyperlink"/>
          </w:rPr>
          <w:t xml:space="preserve">1</w:t>
        </w:r>
      </w:hyperlink>
      <w:r>
        <w:t xml:space="preserve">), keeping all texts from the same source document in one fold to enforce strict separation between training and evaluation. The champion LR (</w:t>
      </w:r>
      <m:oMath>
        <m:r>
          <m:t>C</m:t>
        </m:r>
        <m:r>
          <m:rPr>
            <m:sty m:val="p"/>
          </m:rPr>
          <m:t>=</m:t>
        </m:r>
        <m:r>
          <m:t>3.0</m:t>
        </m:r>
      </m:oMath>
      <w:r>
        <w:t xml:space="preserve">, L2 penalty,</w:t>
      </w:r>
      <w:r>
        <w:t xml:space="preserve"> </w:t>
      </w:r>
      <w:r>
        <w:rPr>
          <w:rStyle w:val="VerbatimChar"/>
        </w:rPr>
        <w:t xml:space="preserve">class_weight=None</w:t>
      </w:r>
      <w:r>
        <w:t xml:space="preserve">, solver</w:t>
      </w:r>
      <w:r>
        <w:t xml:space="preserve"> </w:t>
      </w:r>
      <w:r>
        <w:rPr>
          <w:rStyle w:val="VerbatimChar"/>
        </w:rPr>
        <w:t xml:space="preserve">lbfgs</w:t>
      </w:r>
      <w:r>
        <w:t xml:space="preserve">) was selected by 5-fold GroupKFold cross-validation</w:t>
      </w:r>
      <w:r>
        <w:t xml:space="preserve"> </w:t>
      </w:r>
      <w:r>
        <w:t xml:space="preserve">(Hastie et al., 2009)</w:t>
      </w:r>
      <w:r>
        <w:t xml:space="preserve"> </w:t>
      </w:r>
      <w:r>
        <w:t xml:space="preserve">on the training pool; the grid-search protocol and hyperparameter rationale are given in Section </w:t>
      </w:r>
      <w:hyperlink w:anchor="sec:supervised-classifier">
        <w:r>
          <w:rPr>
            <w:rStyle w:val="Hyperlink"/>
          </w:rPr>
          <w:t xml:space="preserve">3.5</w:t>
        </w:r>
      </w:hyperlink>
      <w:r>
        <w:t xml:space="preserve">, and the MLP robustness comparison in Appendix </w:t>
      </w:r>
      <w:hyperlink w:anchor="app:model-selection">
        <w:r>
          <w:rPr>
            <w:rStyle w:val="Hyperlink"/>
          </w:rPr>
          <w:t xml:space="preserve">12</w:t>
        </w:r>
      </w:hyperlink>
      <w:r>
        <w:t xml:space="preserve">.</w:t>
      </w:r>
    </w:p>
    <w:p>
      <w:pPr>
        <w:pStyle w:val="BodyText"/>
      </w:pPr>
      <w:r>
        <w:t xml:space="preserve">The validation task does not evaluate a rejection option for non-SDG texts. This is acceptable for the primary corpus, which is restricted to an OpenAlex AI-and-SDG universe so the classifier answers a relative question among the 17 SDGs; the concept-retrieved robustness corpus lifts that restriction (Section </w:t>
      </w:r>
      <w:hyperlink w:anchor="sec:limitations">
        <w:r>
          <w:rPr>
            <w:rStyle w:val="Hyperlink"/>
          </w:rPr>
          <w:t xml:space="preserve">5.5</w:t>
        </w:r>
      </w:hyperlink>
      <w:r>
        <w:t xml:space="preserve">).</w:t>
      </w:r>
    </w:p>
    <w:p>
      <w:pPr>
        <w:pStyle w:val="BodyText"/>
      </w:pPr>
      <w:r>
        <w:t xml:space="preserve">Each text is assigned to its highest-probability SDG (argmax), traceable to 768 signed coefficients per class with no hidden layers, no dropout, and no random-seed sensitivity. Macro-F1, the unweighted mean of per-SDG scores, is the primary validation metric (See results in Section </w:t>
      </w:r>
      <w:hyperlink w:anchor="sec:validation">
        <w:r>
          <w:rPr>
            <w:rStyle w:val="Hyperlink"/>
          </w:rPr>
          <w:t xml:space="preserve">4.1</w:t>
        </w:r>
      </w:hyperlink>
      <w:r>
        <w:t xml:space="preserve">).</w:t>
      </w:r>
    </w:p>
    <w:p>
      <w:pPr>
        <w:pStyle w:val="BodyText"/>
      </w:pPr>
      <w:r>
        <w:t xml:space="preserve">Because the classifier is trained on pooled reference data that are themselves policy-adjacent, the scoring instrument behaves differently on the two corpora. Policy segments receive systematically higher LR predicted probabilities than research abstracts (mean 0.749 vs 0.627). The gap has two causes the data cannot separate: a genre artefact (the reference data skew toward policy vocabulary) or a substantive difference (policy texts address SDG implementation more directly). Either way, hard argmax assignment depends only on each text’s within-corpus probability ranking across the 17 SDGs, not on absolute probability levels. As a result, the asymmetry threatens the findings only if it shifts SDGs unevenly within a corpus rather than uniformly.</w:t>
      </w:r>
    </w:p>
    <w:p>
      <w:pPr>
        <w:pStyle w:val="BodyText"/>
      </w:pPr>
      <w:r>
        <w:t xml:space="preserve">Two supervised model families were compared: logistic regression, which exposes interpretable per-dimension coefficients, and a multi-layer perceptron (MLP). Random forests and gradient boosting were excluded because the embedding space is already a learned representation, so bagged trees add ensemble complexity without a mechanism for improvement or per-dimension interpretability.</w:t>
      </w:r>
    </w:p>
    <w:p>
      <w:pPr>
        <w:pStyle w:val="BodyText"/>
      </w:pPr>
      <w:r>
        <w:t xml:space="preserve">The LR grid searched</w:t>
      </w:r>
      <w:r>
        <w:t xml:space="preserve"> </w:t>
      </w:r>
      <m:oMath>
        <m:r>
          <m:t>C</m:t>
        </m:r>
        <m:r>
          <m:rPr>
            <m:sty m:val="p"/>
          </m:rPr>
          <m:t>∈</m:t>
        </m:r>
        <m:r>
          <m:rPr>
            <m:sty m:val="p"/>
          </m:rPr>
          <m:t>{</m:t>
        </m:r>
        <m:r>
          <m:t>0.1</m:t>
        </m:r>
        <m:r>
          <m:rPr>
            <m:sty m:val="p"/>
          </m:rPr>
          <m:t>,</m:t>
        </m:r>
        <m:r>
          <m:t>1</m:t>
        </m:r>
        <m:r>
          <m:rPr>
            <m:sty m:val="p"/>
          </m:rPr>
          <m:t>,</m:t>
        </m:r>
        <m:r>
          <m:t>2</m:t>
        </m:r>
        <m:r>
          <m:rPr>
            <m:sty m:val="p"/>
          </m:rPr>
          <m:t>,</m:t>
        </m:r>
        <m:r>
          <m:t>3</m:t>
        </m:r>
        <m:r>
          <m:rPr>
            <m:sty m:val="p"/>
          </m:rPr>
          <m:t>,</m:t>
        </m:r>
        <m:r>
          <m:t>5</m:t>
        </m:r>
        <m:r>
          <m:rPr>
            <m:sty m:val="p"/>
          </m:rPr>
          <m:t>,</m:t>
        </m:r>
        <m:r>
          <m:t>10</m:t>
        </m:r>
        <m:r>
          <m:rPr>
            <m:sty m:val="p"/>
          </m:rPr>
          <m:t>,</m:t>
        </m:r>
        <m:r>
          <m:t>30</m:t>
        </m:r>
        <m:r>
          <m:rPr>
            <m:sty m:val="p"/>
          </m:rPr>
          <m:t>,</m:t>
        </m:r>
        <m:r>
          <m:t>100</m:t>
        </m:r>
        <m:r>
          <m:rPr>
            <m:sty m:val="p"/>
          </m:rPr>
          <m:t>}</m:t>
        </m:r>
      </m:oMath>
      <w:r>
        <w:t xml:space="preserve"> </w:t>
      </w:r>
      <w:r>
        <w:t xml:space="preserve">with an L2 penalty and</w:t>
      </w:r>
      <w:r>
        <w:t xml:space="preserve"> </w:t>
      </w:r>
      <w:r>
        <w:rPr>
          <w:rStyle w:val="VerbatimChar"/>
        </w:rPr>
        <w:t xml:space="preserve">class_weight</w:t>
      </w:r>
      <w:r>
        <w:t xml:space="preserve"> </w:t>
      </w:r>
      <m:oMath>
        <m:r>
          <m:rPr>
            <m:sty m:val="p"/>
          </m:rPr>
          <m:t>∈</m:t>
        </m:r>
      </m:oMath>
      <w:r>
        <w:t xml:space="preserve"> </w:t>
      </w:r>
      <w:r>
        <w:t xml:space="preserve">{</w:t>
      </w:r>
      <w:r>
        <w:rPr>
          <w:rStyle w:val="VerbatimChar"/>
        </w:rPr>
        <w:t xml:space="preserve">None</w:t>
      </w:r>
      <w:r>
        <w:t xml:space="preserve">,</w:t>
      </w:r>
      <w:r>
        <w:t xml:space="preserve"> </w:t>
      </w:r>
      <w:r>
        <w:rPr>
          <w:rStyle w:val="VerbatimChar"/>
        </w:rPr>
        <w:t xml:space="preserve">balanced</w:t>
      </w:r>
      <w:r>
        <w:t xml:space="preserve">}. The MLP grid swept</w:t>
      </w:r>
      <w:r>
        <w:t xml:space="preserve"> </w:t>
      </w:r>
      <m:oMath>
        <m:sSub>
          <m:e>
            <m:r>
              <m:t>n</m:t>
            </m:r>
          </m:e>
          <m:sub>
            <m:r>
              <m:rPr>
                <m:nor/>
                <m:sty m:val="p"/>
              </m:rPr>
              <m:t>layers</m:t>
            </m:r>
          </m:sub>
        </m:sSub>
        <m:r>
          <m:rPr>
            <m:sty m:val="p"/>
          </m:rPr>
          <m:t>∈</m:t>
        </m:r>
        <m:r>
          <m:rPr>
            <m:sty m:val="p"/>
          </m:rPr>
          <m:t>{</m:t>
        </m:r>
        <m:r>
          <m:t>2</m:t>
        </m:r>
        <m:r>
          <m:rPr>
            <m:sty m:val="p"/>
          </m:rPr>
          <m:t>,</m:t>
        </m:r>
        <m:r>
          <m:t>3</m:t>
        </m:r>
        <m:r>
          <m:rPr>
            <m:sty m:val="p"/>
          </m:rPr>
          <m:t>,</m:t>
        </m:r>
        <m:r>
          <m:t>4</m:t>
        </m:r>
        <m:r>
          <m:rPr>
            <m:sty m:val="p"/>
          </m:rPr>
          <m:t>,</m:t>
        </m:r>
        <m:r>
          <m:t>6</m:t>
        </m:r>
        <m:r>
          <m:rPr>
            <m:sty m:val="p"/>
          </m:rPr>
          <m:t>}</m:t>
        </m:r>
        <m:r>
          <m:rPr>
            <m:sty m:val="p"/>
          </m:rPr>
          <m:t>×</m:t>
        </m:r>
        <m:r>
          <m:rPr>
            <m:nor/>
            <m:sty m:val="p"/>
          </m:rPr>
          <m:t>hidden_size</m:t>
        </m:r>
        <m:r>
          <m:rPr>
            <m:sty m:val="p"/>
          </m:rPr>
          <m:t>∈</m:t>
        </m:r>
        <m:r>
          <m:rPr>
            <m:sty m:val="p"/>
          </m:rPr>
          <m:t>{</m:t>
        </m:r>
        <m:r>
          <m:t>256</m:t>
        </m:r>
        <m:r>
          <m:rPr>
            <m:sty m:val="p"/>
          </m:rPr>
          <m:t>,</m:t>
        </m:r>
        <m:r>
          <m:t>384</m:t>
        </m:r>
        <m:r>
          <m:rPr>
            <m:sty m:val="p"/>
          </m:rPr>
          <m:t>}</m:t>
        </m:r>
        <m:r>
          <m:rPr>
            <m:sty m:val="p"/>
          </m:rPr>
          <m:t>×</m:t>
        </m:r>
        <m:r>
          <m:rPr>
            <m:nor/>
            <m:sty m:val="p"/>
          </m:rPr>
          <m:t>lr</m:t>
        </m:r>
        <m:r>
          <m:rPr>
            <m:sty m:val="p"/>
          </m:rPr>
          <m:t>∈</m:t>
        </m:r>
        <m:r>
          <m:rPr>
            <m:sty m:val="p"/>
          </m:rPr>
          <m:t>{</m:t>
        </m:r>
        <m:r>
          <m:t>3</m:t>
        </m:r>
        <m:r>
          <m:rPr>
            <m:sty m:val="p"/>
          </m:rPr>
          <m:t>e</m:t>
        </m:r>
        <m:r>
          <m:rPr>
            <m:sty m:val="p"/>
          </m:rPr>
          <m:t>−</m:t>
        </m:r>
        <m:r>
          <m:t>4</m:t>
        </m:r>
        <m:r>
          <m:rPr>
            <m:sty m:val="p"/>
          </m:rPr>
          <m:t>,</m:t>
        </m:r>
        <m:r>
          <m:t>1</m:t>
        </m:r>
        <m:r>
          <m:rPr>
            <m:sty m:val="p"/>
          </m:rPr>
          <m:t>e</m:t>
        </m:r>
        <m:r>
          <m:rPr>
            <m:sty m:val="p"/>
          </m:rPr>
          <m:t>−</m:t>
        </m:r>
        <m:r>
          <m:t>3</m:t>
        </m:r>
        <m:r>
          <m:rPr>
            <m:sty m:val="p"/>
          </m:rPr>
          <m:t>}</m:t>
        </m:r>
      </m:oMath>
      <w:r>
        <w:t xml:space="preserve"> </w:t>
      </w:r>
      <w:r>
        <w:t xml:space="preserve">with</w:t>
      </w:r>
      <w:r>
        <w:t xml:space="preserve"> </w:t>
      </w:r>
      <w:r>
        <w:rPr>
          <w:rStyle w:val="VerbatimChar"/>
        </w:rPr>
        <w:t xml:space="preserve">weight_decay</w:t>
      </w:r>
      <w:r>
        <w:t xml:space="preserve">=0,</w:t>
      </w:r>
      <w:r>
        <w:t xml:space="preserve"> </w:t>
      </w:r>
      <w:r>
        <w:rPr>
          <w:rStyle w:val="VerbatimChar"/>
        </w:rPr>
        <w:t xml:space="preserve">dropout</w:t>
      </w:r>
      <w:r>
        <w:t xml:space="preserve">=0.3, AdamW, and early stopping.</w:t>
      </w:r>
    </w:p>
    <w:p>
      <w:pPr>
        <w:pStyle w:val="BodyText"/>
      </w:pPr>
      <w:r>
        <w:t xml:space="preserve">For robustness, a zero-shot nearest centroid assignment method (hereafter ZS) was also considered. This method builds the reference SDG centroids by aggregating the labelled reference texts, and unlabelled texts are assigned to the nearest SDG centroid in the embedding space.</w:t>
      </w:r>
    </w:p>
    <w:p>
      <w:pPr>
        <w:pStyle w:val="BodyText"/>
      </w:pPr>
      <w:r>
        <w:t xml:space="preserve">Finally, the model of choice is LR because the MLP’s performance gain is negligible relative to the interpretability it loses. Grid search and test results are reported in Section </w:t>
      </w:r>
      <w:hyperlink w:anchor="sec:validation">
        <w:r>
          <w:rPr>
            <w:rStyle w:val="Hyperlink"/>
          </w:rPr>
          <w:t xml:space="preserve">4.1</w:t>
        </w:r>
      </w:hyperlink>
      <w:r>
        <w:t xml:space="preserve">.</w:t>
      </w:r>
    </w:p>
    <w:bookmarkEnd w:id="36"/>
    <w:bookmarkStart w:id="37" w:name="sec:coverage-gap-method"/>
    <w:p>
      <w:pPr>
        <w:pStyle w:val="Heading2"/>
      </w:pPr>
      <w:r>
        <w:t xml:space="preserve">Coverage Gap Analysis</w:t>
      </w:r>
    </w:p>
    <w:p>
      <w:pPr>
        <w:pStyle w:val="FirstParagraph"/>
      </w:pPr>
      <w:r>
        <w:t xml:space="preserve">For each corpus item, the predicted SDG is the LR argmax (hard assignment, Section </w:t>
      </w:r>
      <w:hyperlink w:anchor="sec:supervised-classifier">
        <w:r>
          <w:rPr>
            <w:rStyle w:val="Hyperlink"/>
          </w:rPr>
          <w:t xml:space="preserve">3.5</w:t>
        </w:r>
      </w:hyperlink>
      <w:r>
        <w:t xml:space="preserve">); the coverage profile is the proportion of analysis units assigned to each SDG (an abstract for research, a source document for policy).</w:t>
      </w:r>
    </w:p>
    <w:p>
      <w:pPr>
        <w:pStyle w:val="BodyText"/>
      </w:pPr>
      <w:r>
        <w:t xml:space="preserve">The policy corpus comprises 6</w:t>
      </w:r>
      <w:r>
        <w:t xml:space="preserve">,</w:t>
      </w:r>
      <w:r>
        <w:t xml:space="preserve">367 source documents of different lengths (40</w:t>
      </w:r>
      <w:r>
        <w:t xml:space="preserve">,</w:t>
      </w:r>
      <w:r>
        <w:t xml:space="preserve">597 segments in total; Section </w:t>
      </w:r>
      <w:hyperlink w:anchor="sec:policy-corpus">
        <w:r>
          <w:rPr>
            <w:rStyle w:val="Hyperlink"/>
          </w:rPr>
          <w:t xml:space="preserve">3.4</w:t>
        </w:r>
      </w:hyperlink>
      <w:r>
        <w:t xml:space="preserve">). A segment-weighted profile would let a handful of long reports dominate the count, so the analysis instead computes a document-weighted profile in which every source document counts equally regardless of length, following the standard centroid formulation in which each document contributes one length-normalised unit vector</w:t>
      </w:r>
      <w:r>
        <w:t xml:space="preserve"> </w:t>
      </w:r>
      <w:r>
        <w:t xml:space="preserve">(Manning et al., 2008)</w:t>
      </w:r>
      <w:r>
        <w:t xml:space="preserve">. In practice: segment vectors are averaged per document, hard-assigned to the top SDG, and the coverage profile counts documents (not segments) per SDG. The research corpus uses the same logic at the paper level: each of the 2</w:t>
      </w:r>
      <w:r>
        <w:t xml:space="preserve">,</w:t>
      </w:r>
      <w:r>
        <w:t xml:space="preserve">536</w:t>
      </w:r>
      <w:r>
        <w:t xml:space="preserve">,</w:t>
      </w:r>
      <w:r>
        <w:t xml:space="preserve">771 abstracts is represented by the mean of its segments, hard-assigned as a single document unit, so the research-side text unit is the abstract and the two corpora are weighted identically.</w:t>
      </w:r>
    </w:p>
    <w:p>
      <w:pPr>
        <w:pStyle w:val="BodyText"/>
      </w:pPr>
      <w:r>
        <w:t xml:space="preserve">The coverage gap for SDG</w:t>
      </w:r>
      <w:r>
        <w:t xml:space="preserve"> </w:t>
      </w:r>
      <m:oMath>
        <m:r>
          <m:t>j</m:t>
        </m:r>
      </m:oMath>
      <w:r>
        <w:t xml:space="preserve"> </w:t>
      </w:r>
      <w:r>
        <w:t xml:space="preserve">is defined as:</w:t>
      </w:r>
    </w:p>
    <w:p>
      <w:pPr>
        <w:pStyle w:val="BodyText"/>
      </w:pPr>
      <m:oMathPara>
        <m:oMathParaPr>
          <m:jc m:val="center"/>
        </m:oMathParaPr>
        <m:oMath>
          <m:sSub>
            <m:e>
              <m:r>
                <m:rPr>
                  <m:nor/>
                  <m:sty m:val="p"/>
                </m:rPr>
                <m:t>CoverageGap</m:t>
              </m:r>
            </m:e>
            <m:sub>
              <m:r>
                <m:t>j</m:t>
              </m:r>
            </m:sub>
          </m:sSub>
          <m:r>
            <m:rPr>
              <m:sty m:val="p"/>
            </m:rPr>
            <m:t>=</m:t>
          </m:r>
          <m:d>
            <m:dPr>
              <m:begChr m:val="|"/>
              <m:endChr m:val="|"/>
              <m:sepChr m:val=""/>
              <m:grow/>
            </m:dPr>
            <m:e>
              <m:sSub>
                <m:e>
                  <m:r>
                    <m:rPr>
                      <m:nor/>
                      <m:sty m:val="p"/>
                    </m:rPr>
                    <m:t>ResearchCoverage</m:t>
                  </m:r>
                </m:e>
                <m:sub>
                  <m:r>
                    <m:t>j</m:t>
                  </m:r>
                </m:sub>
              </m:sSub>
              <m:r>
                <m:rPr>
                  <m:sty m:val="p"/>
                </m:rPr>
                <m:t>−</m:t>
              </m:r>
              <m:sSub>
                <m:e>
                  <m:r>
                    <m:rPr>
                      <m:nor/>
                      <m:sty m:val="p"/>
                    </m:rPr>
                    <m:t>PolicyCoverage</m:t>
                  </m:r>
                </m:e>
                <m:sub>
                  <m:r>
                    <m:t>j</m:t>
                  </m:r>
                </m:sub>
              </m:sSub>
            </m:e>
          </m:d>
        </m:oMath>
      </m:oMathPara>
    </w:p>
    <w:p>
      <w:pPr>
        <w:pStyle w:val="FirstParagraph"/>
      </w:pPr>
      <w:r>
        <w:t xml:space="preserve">The signed version of the same quantity is:</w:t>
      </w:r>
    </w:p>
    <w:p>
      <w:pPr>
        <w:pStyle w:val="BodyText"/>
      </w:pPr>
      <m:oMathPara>
        <m:oMathParaPr>
          <m:jc m:val="center"/>
        </m:oMathParaPr>
        <m:oMath>
          <m:sSub>
            <m:e>
              <m:r>
                <m:rPr>
                  <m:nor/>
                  <m:sty m:val="p"/>
                </m:rPr>
                <m:t>SignedCoverageGap</m:t>
              </m:r>
            </m:e>
            <m:sub>
              <m:r>
                <m:t>j</m:t>
              </m:r>
            </m:sub>
          </m:sSub>
          <m:r>
            <m:rPr>
              <m:sty m:val="p"/>
            </m:rPr>
            <m:t>=</m:t>
          </m:r>
          <m:sSub>
            <m:e>
              <m:r>
                <m:rPr>
                  <m:nor/>
                  <m:sty m:val="p"/>
                </m:rPr>
                <m:t>ResearchCoverage</m:t>
              </m:r>
            </m:e>
            <m:sub>
              <m:r>
                <m:t>j</m:t>
              </m:r>
            </m:sub>
          </m:sSub>
          <m:r>
            <m:rPr>
              <m:sty m:val="p"/>
            </m:rPr>
            <m:t>−</m:t>
          </m:r>
          <m:sSub>
            <m:e>
              <m:r>
                <m:rPr>
                  <m:nor/>
                  <m:sty m:val="p"/>
                </m:rPr>
                <m:t>PolicyCoverage</m:t>
              </m:r>
            </m:e>
            <m:sub>
              <m:r>
                <m:t>j</m:t>
              </m:r>
            </m:sub>
          </m:sSub>
        </m:oMath>
      </m:oMathPara>
    </w:p>
    <w:p>
      <w:pPr>
        <w:pStyle w:val="FirstParagraph"/>
      </w:pPr>
      <w:r>
        <w:t xml:space="preserve">A positive value means research dominates SDG</w:t>
      </w:r>
      <w:r>
        <w:t xml:space="preserve"> </w:t>
      </w:r>
      <m:oMath>
        <m:r>
          <m:t>j</m:t>
        </m:r>
      </m:oMath>
      <w:r>
        <w:t xml:space="preserve">. A negative value means policy dominates.</w:t>
      </w:r>
    </w:p>
    <w:bookmarkEnd w:id="37"/>
    <w:bookmarkStart w:id="38" w:name="sec:semantic-gap-method"/>
    <w:p>
      <w:pPr>
        <w:pStyle w:val="Heading2"/>
      </w:pPr>
      <w:r>
        <w:t xml:space="preserve">Semantic Gap Analysis</w:t>
      </w:r>
    </w:p>
    <w:p>
      <w:pPr>
        <w:pStyle w:val="FirstParagraph"/>
      </w:pPr>
      <w:r>
        <w:t xml:space="preserve">The semantic gap measures within-SDG divergence: given that both corpora have texts assigned to SDG</w:t>
      </w:r>
      <w:r>
        <w:t xml:space="preserve"> </w:t>
      </w:r>
      <m:oMath>
        <m:r>
          <m:t>j</m:t>
        </m:r>
      </m:oMath>
      <w:r>
        <w:t xml:space="preserve">, how differently do they discuss it?</w:t>
      </w:r>
    </w:p>
    <w:p>
      <w:pPr>
        <w:pStyle w:val="BodyText"/>
      </w:pPr>
      <w:r>
        <w:t xml:space="preserve">For each SDG</w:t>
      </w:r>
      <w:r>
        <w:t xml:space="preserve"> </w:t>
      </w:r>
      <m:oMath>
        <m:r>
          <m:t>j</m:t>
        </m:r>
      </m:oMath>
      <w:r>
        <w:t xml:space="preserve"> </w:t>
      </w:r>
      <w:r>
        <w:t xml:space="preserve">the analysis collects all assigned research papers and all assigned policy segments (capped at 50 per source document to bound single-document influence). The two corpora are aggregated at different text units here by design, unlike the coverage profile (Section </w:t>
      </w:r>
      <w:hyperlink w:anchor="sec:coverage-gap-method">
        <w:r>
          <w:rPr>
            <w:rStyle w:val="Hyperlink"/>
          </w:rPr>
          <w:t xml:space="preserve">3.6</w:t>
        </w:r>
      </w:hyperlink>
      <w:r>
        <w:t xml:space="preserve">), which weights both corpora at the document level. Research abstracts are single-topic by genre convention, so each of the 2</w:t>
      </w:r>
      <w:r>
        <w:t xml:space="preserve">,</w:t>
      </w:r>
      <w:r>
        <w:t xml:space="preserve">536</w:t>
      </w:r>
      <w:r>
        <w:t xml:space="preserve">,</w:t>
      </w:r>
      <w:r>
        <w:t xml:space="preserve">771 abstracts contributes exactly one unit vector, the L2-renormalised mean of its segment embeddings, and a 33-segment abstract and a single-segment abstract carry equal weight: the research centroid</w:t>
      </w:r>
      <w:r>
        <w:t xml:space="preserve"> </w:t>
      </w:r>
      <m:oMath>
        <m:sSubSup>
          <m:e>
            <m:r>
              <m:rPr>
                <m:sty m:val="b"/>
              </m:rPr>
              <m:t>c</m:t>
            </m:r>
          </m:e>
          <m:sub>
            <m:r>
              <m:t>j</m:t>
            </m:r>
          </m:sub>
          <m:sup>
            <m:r>
              <m:rPr>
                <m:nor/>
                <m:sty m:val="p"/>
              </m:rPr>
              <m:t>res</m:t>
            </m:r>
          </m:sup>
        </m:sSubSup>
      </m:oMath>
      <w:r>
        <w:t xml:space="preserve"> </w:t>
      </w:r>
      <w:r>
        <w:t xml:space="preserve">is the L2-normalised mean of these paper-level unit vectors assigned to SDG </w:t>
      </w:r>
      <m:oMath>
        <m:r>
          <m:t>j</m:t>
        </m:r>
      </m:oMath>
      <w:r>
        <w:t xml:space="preserve">. Policy sources, by contrast, are long, deliberately excerpted institutional texts (UNGDC speeches, SDGi VNRs) whose passages are topically distinct and may span several SDGs. Weighting each source document equally would collapse that within-document variation into a single point. The policy centroid</w:t>
      </w:r>
      <w:r>
        <w:t xml:space="preserve"> </w:t>
      </w:r>
      <m:oMath>
        <m:sSubSup>
          <m:e>
            <m:r>
              <m:rPr>
                <m:sty m:val="b"/>
              </m:rPr>
              <m:t>c</m:t>
            </m:r>
          </m:e>
          <m:sub>
            <m:r>
              <m:t>j</m:t>
            </m:r>
          </m:sub>
          <m:sup>
            <m:r>
              <m:rPr>
                <m:nor/>
                <m:sty m:val="p"/>
              </m:rPr>
              <m:t>pol</m:t>
            </m:r>
          </m:sup>
        </m:sSubSup>
      </m:oMath>
      <w:r>
        <w:t xml:space="preserve"> </w:t>
      </w:r>
      <w:r>
        <w:t xml:space="preserve">is therefore the L2-normalised mean of the (capped) segment embeddings assigned to SDG </w:t>
      </w:r>
      <m:oMath>
        <m:r>
          <m:t>j</m:t>
        </m:r>
      </m:oMath>
      <w:r>
        <w:t xml:space="preserve">, sampling the topical content of each passage rather than treating each report as one undifferentiated unit.</w:t>
      </w:r>
    </w:p>
    <w:p>
      <w:pPr>
        <w:pStyle w:val="BodyText"/>
      </w:pPr>
      <w:r>
        <w:t xml:space="preserve">The semantic gap for each SDG is then defined as:</w:t>
      </w:r>
    </w:p>
    <w:p>
      <w:pPr>
        <w:pStyle w:val="BodyText"/>
      </w:pPr>
      <m:oMathPara>
        <m:oMathParaPr>
          <m:jc m:val="center"/>
        </m:oMathParaPr>
        <m:oMath>
          <m:sSub>
            <m:e>
              <m:r>
                <m:rPr>
                  <m:nor/>
                  <m:sty m:val="p"/>
                </m:rPr>
                <m:t>SemanticGap</m:t>
              </m:r>
            </m:e>
            <m:sub>
              <m:r>
                <m:t>j</m:t>
              </m:r>
            </m:sub>
          </m:sSub>
          <m:r>
            <m:rPr>
              <m:sty m:val="p"/>
            </m:rPr>
            <m:t>=</m:t>
          </m:r>
          <m:r>
            <m:t>1</m:t>
          </m:r>
          <m:r>
            <m:rPr>
              <m:sty m:val="p"/>
            </m:rPr>
            <m:t>−</m:t>
          </m:r>
          <m:d>
            <m:dPr>
              <m:begChr m:val="("/>
              <m:endChr m:val=")"/>
              <m:sepChr m:val=""/>
              <m:grow/>
            </m:dPr>
            <m:e>
              <m:sSubSup>
                <m:e>
                  <m:r>
                    <m:rPr>
                      <m:sty m:val="b"/>
                    </m:rPr>
                    <m:t>c</m:t>
                  </m:r>
                </m:e>
                <m:sub>
                  <m:r>
                    <m:t>j</m:t>
                  </m:r>
                </m:sub>
                <m:sup>
                  <m:r>
                    <m:rPr>
                      <m:nor/>
                      <m:sty m:val="p"/>
                    </m:rPr>
                    <m:t>res</m:t>
                  </m:r>
                </m:sup>
              </m:sSubSup>
              <m:r>
                <m:rPr>
                  <m:sty m:val="p"/>
                </m:rPr>
                <m:t>⋅</m:t>
              </m:r>
              <m:sSubSup>
                <m:e>
                  <m:r>
                    <m:rPr>
                      <m:sty m:val="b"/>
                    </m:rPr>
                    <m:t>c</m:t>
                  </m:r>
                </m:e>
                <m:sub>
                  <m:r>
                    <m:t>j</m:t>
                  </m:r>
                </m:sub>
                <m:sup>
                  <m:r>
                    <m:rPr>
                      <m:nor/>
                      <m:sty m:val="p"/>
                    </m:rPr>
                    <m:t>pol</m:t>
                  </m:r>
                </m:sup>
              </m:sSubSup>
            </m:e>
          </m:d>
        </m:oMath>
      </m:oMathPara>
    </w:p>
    <w:p>
      <w:pPr>
        <w:pStyle w:val="FirstParagraph"/>
      </w:pPr>
      <w:r>
        <w:t xml:space="preserve">A gap of 0 indicates perfectly overlapping semantic directions. A gap approaching 1 indicates orthogonal framing. Cosine similarity between centroids is the standard method for document-level semantic comparison in embedding space</w:t>
      </w:r>
      <w:r>
        <w:t xml:space="preserve"> </w:t>
      </w:r>
      <w:r>
        <w:t xml:space="preserve">(Brück and Pouly, 2019; Babićc et al., 2020)</w:t>
      </w:r>
      <w:r>
        <w:t xml:space="preserve">. Centroid cosine distance collapses each embedding cloud to its mean direction.</w:t>
      </w:r>
    </w:p>
    <w:p>
      <w:pPr>
        <w:pStyle w:val="BodyText"/>
      </w:pPr>
      <w:r>
        <w:t xml:space="preserve">Appendix </w:t>
      </w:r>
      <w:hyperlink w:anchor="app:distributional-table">
        <w:r>
          <w:rPr>
            <w:rStyle w:val="Hyperlink"/>
          </w:rPr>
          <w:t xml:space="preserve">10</w:t>
        </w:r>
      </w:hyperlink>
      <w:r>
        <w:t xml:space="preserve"> </w:t>
      </w:r>
      <w:r>
        <w:t xml:space="preserve">shows the adjusted-gap ranking correlates moderately with most full-distribution alternatives (</w:t>
      </w:r>
      <m:oMath>
        <m:r>
          <m:t>ρ</m:t>
        </m:r>
        <m:r>
          <m:rPr>
            <m:sty m:val="p"/>
          </m:rPr>
          <m:t>=</m:t>
        </m:r>
        <m:r>
          <m:t>0.444</m:t>
        </m:r>
      </m:oMath>
      <w:r>
        <w:t xml:space="preserve">–</w:t>
      </w:r>
      <m:oMath>
        <m:r>
          <m:t>0.686</m:t>
        </m:r>
      </m:oMath>
      <w:r>
        <w:t xml:space="preserve">), while Gaussian-2-Wasserstein, squared MMD, Sinkhorn, C2ST, and Grassmann show weak or negative agreement (</w:t>
      </w:r>
      <m:oMath>
        <m:r>
          <m:t>ρ</m:t>
        </m:r>
        <m:r>
          <m:rPr>
            <m:sty m:val="p"/>
          </m:rPr>
          <m:t>≤</m:t>
        </m:r>
        <m:r>
          <m:t>0.260</m:t>
        </m:r>
      </m:oMath>
      <w:r>
        <w:t xml:space="preserve">), confirming the centroid estimate captures a dominant signal while distribution shape also carries signal. An alternative reading is that weak agreement from five independent distribution-aware measures reflects a real limitation of the mean-direction centroid rather than a merely complementary signal; the present study cannot distinguish between these readings and reports both distribution-aware and centroid results (Appendix </w:t>
      </w:r>
      <w:hyperlink w:anchor="app:distributional-table">
        <w:r>
          <w:rPr>
            <w:rStyle w:val="Hyperlink"/>
          </w:rPr>
          <w:t xml:space="preserve">10</w:t>
        </w:r>
      </w:hyperlink>
      <w:r>
        <w:t xml:space="preserve">) so readers can judge for themselves. However, further analysis with those distance measures is left for future work.</w:t>
      </w:r>
    </w:p>
    <w:p>
      <w:pPr>
        <w:pStyle w:val="BodyText"/>
      </w:pPr>
      <w:r>
        <w:t xml:space="preserve">The per-document segment cap of</w:t>
      </w:r>
      <w:r>
        <w:t xml:space="preserve"> </w:t>
      </w:r>
      <m:oMath>
        <m:r>
          <m:t>K</m:t>
        </m:r>
        <m:r>
          <m:rPr>
            <m:sty m:val="p"/>
          </m:rPr>
          <m:t>=</m:t>
        </m:r>
        <m:r>
          <m:t>50</m:t>
        </m:r>
      </m:oMath>
      <w:r>
        <w:t xml:space="preserve"> </w:t>
      </w:r>
      <w:r>
        <w:t xml:space="preserve">(seeded, reproducible) bounds a single document’s contribution to at most 50 segments, mitigating the influence of long reports on the policy centroid; sensitivity at</w:t>
      </w:r>
      <w:r>
        <w:t xml:space="preserve"> </w:t>
      </w:r>
      <m:oMath>
        <m:r>
          <m:t>K</m:t>
        </m:r>
        <m:r>
          <m:rPr>
            <m:sty m:val="p"/>
          </m:rPr>
          <m:t>=</m:t>
        </m:r>
        <m:r>
          <m:t>20</m:t>
        </m:r>
      </m:oMath>
      <w:r>
        <w:t xml:space="preserve"> </w:t>
      </w:r>
      <w:r>
        <w:t xml:space="preserve">and no cap is reported in Table </w:t>
      </w:r>
      <w:hyperlink w:anchor="tab:cross-sensitivity-robustness">
        <w:r>
          <w:rPr>
            <w:rStyle w:val="Hyperlink"/>
          </w:rPr>
          <w:t xml:space="preserve">20</w:t>
        </w:r>
      </w:hyperlink>
      <w:r>
        <w:t xml:space="preserve">, Appendix </w:t>
      </w:r>
      <w:hyperlink w:anchor="app:cross-method-section">
        <w:r>
          <w:rPr>
            <w:rStyle w:val="Hyperlink"/>
          </w:rPr>
          <w:t xml:space="preserve">14</w:t>
        </w:r>
      </w:hyperlink>
      <w:r>
        <w:t xml:space="preserve">.</w:t>
      </w:r>
    </w:p>
    <w:bookmarkEnd w:id="38"/>
    <w:bookmarkStart w:id="41" w:name="sec:register-adjustment-inlp"/>
    <w:p>
      <w:pPr>
        <w:pStyle w:val="Heading2"/>
      </w:pPr>
      <w:r>
        <w:t xml:space="preserve">Register Adjustment via Iterative Nullspace Projection (INLP)</w:t>
      </w:r>
    </w:p>
    <w:p>
      <w:pPr>
        <w:pStyle w:val="FirstParagraph"/>
      </w:pPr>
      <w:r>
        <w:t xml:space="preserve">The semantic gap is not a clean measure of substantive disagreement. Research and policy texts differ in both topic (what they discuss) and register (how they are written – audience, purpose, style). Embedding distance mixes the two. INLP</w:t>
      </w:r>
      <w:r>
        <w:t xml:space="preserve"> </w:t>
      </w:r>
      <w:r>
        <w:t xml:space="preserve">(Ravfogel et al., 2020)</w:t>
      </w:r>
      <w:r>
        <w:t xml:space="preserve"> </w:t>
      </w:r>
      <w:r>
        <w:t xml:space="preserve">is used in this paper to roughly split the gap into an adjusted semantic gap (topic) and a register component (See results in Section </w:t>
      </w:r>
      <w:hyperlink w:anchor="sec:semantic-gap">
        <w:r>
          <w:rPr>
            <w:rStyle w:val="Hyperlink"/>
          </w:rPr>
          <w:t xml:space="preserve">4.3</w:t>
        </w:r>
      </w:hyperlink>
      <w:r>
        <w:t xml:space="preserve">).</w:t>
      </w:r>
    </w:p>
    <w:bookmarkStart w:id="39" w:name="objective."/>
    <w:p>
      <w:pPr>
        <w:pStyle w:val="Heading4"/>
      </w:pPr>
      <w:r>
        <w:t xml:space="preserve">Objective.</w:t>
      </w:r>
    </w:p>
    <w:p>
      <w:pPr>
        <w:pStyle w:val="FirstParagraph"/>
      </w:pPr>
      <w:r>
        <w:t xml:space="preserve">INLP learns directions that, when subtracted from the embeddings, erase the research–policy difference. After</w:t>
      </w:r>
      <w:r>
        <w:t xml:space="preserve"> </w:t>
      </w:r>
      <m:oMath>
        <m:r>
          <m:t>K</m:t>
        </m:r>
      </m:oMath>
      <w:r>
        <w:t xml:space="preserve"> </w:t>
      </w:r>
      <w:r>
        <w:t xml:space="preserve">iterations, held-out corpus-classification accuracy is at chance on the stratified training distribution; a residual corpus signal remains detectable out of sample (Appendix </w:t>
      </w:r>
      <w:hyperlink w:anchor="app:register-validation">
        <w:r>
          <w:rPr>
            <w:rStyle w:val="Hyperlink"/>
          </w:rPr>
          <w:t xml:space="preserve">13.2</w:t>
        </w:r>
      </w:hyperlink>
      <w:r>
        <w:t xml:space="preserve">). Each iteration removes the direction carrying the most remaining corpus signal.</w:t>
      </w:r>
    </w:p>
    <w:bookmarkEnd w:id="39"/>
    <w:bookmarkStart w:id="40" w:name="sdg-stratified-procedure."/>
    <w:p>
      <w:pPr>
        <w:pStyle w:val="Heading4"/>
      </w:pPr>
      <w:r>
        <w:t xml:space="preserve">SDG-stratified procedure.</w:t>
      </w:r>
    </w:p>
    <w:p>
      <w:pPr>
        <w:pStyle w:val="FirstParagraph"/>
      </w:pPr>
      <w:r>
        <w:t xml:space="preserve">Vanilla INLP removes a binary attribute (e.g. gender). The present adaptation must remove register, a corpus-level property confounded with SDG topic in the raw embeddings. The modification is SDG stratification: at each iteration, equal numbers of research and policy embeddings are drawn from each of the 17 SDGs, so the classifier cannot use topic as a stand-in for register. The procedure proceeds as follows at each iteration</w:t>
      </w:r>
      <w:r>
        <w:t xml:space="preserve"> </w:t>
      </w:r>
      <m:oMath>
        <m:r>
          <m:t>k</m:t>
        </m:r>
        <m:r>
          <m:rPr>
            <m:sty m:val="p"/>
          </m:rPr>
          <m:t>=</m:t>
        </m:r>
        <m:r>
          <m:t>1</m:t>
        </m:r>
        <m:r>
          <m:rPr>
            <m:sty m:val="p"/>
          </m:rPr>
          <m:t>,</m:t>
        </m:r>
        <m:r>
          <m:rPr>
            <m:sty m:val="p"/>
          </m:rPr>
          <m:t>…</m:t>
        </m:r>
        <m:r>
          <m:rPr>
            <m:sty m:val="p"/>
          </m:rPr>
          <m:t>,</m:t>
        </m:r>
        <m:r>
          <m:t>K</m:t>
        </m:r>
      </m:oMath>
      <w:r>
        <w:t xml:space="preserve">:</w:t>
      </w:r>
    </w:p>
    <w:p>
      <w:pPr>
        <w:numPr>
          <w:ilvl w:val="0"/>
          <w:numId w:val="1004"/>
        </w:numPr>
      </w:pPr>
      <w:r>
        <w:rPr>
          <w:bCs/>
          <w:b/>
        </w:rPr>
        <w:t xml:space="preserve">Stratified sample:</w:t>
      </w:r>
      <w:r>
        <w:t xml:space="preserve"> </w:t>
      </w:r>
      <w:r>
        <w:t xml:space="preserve">Independently redraw</w:t>
      </w:r>
      <w:r>
        <w:t xml:space="preserve"> </w:t>
      </w:r>
      <m:oMath>
        <m:sSub>
          <m:e>
            <m:r>
              <m:t>n</m:t>
            </m:r>
          </m:e>
          <m:sub>
            <m:r>
              <m:rPr>
                <m:nor/>
                <m:sty m:val="p"/>
              </m:rPr>
              <m:t>target</m:t>
            </m:r>
          </m:sub>
        </m:sSub>
      </m:oMath>
      <w:r>
        <w:t xml:space="preserve"> </w:t>
      </w:r>
      <w:r>
        <w:t xml:space="preserve">texts per SDG per corpus (without replacement from the full pool; global-minimum rule:</w:t>
      </w:r>
      <w:r>
        <w:t xml:space="preserve"> </w:t>
      </w:r>
      <m:oMath>
        <m:sSub>
          <m:e>
            <m:r>
              <m:t>n</m:t>
            </m:r>
          </m:e>
          <m:sub>
            <m:r>
              <m:rPr>
                <m:nor/>
                <m:sty m:val="p"/>
              </m:rPr>
              <m:t>target</m:t>
            </m:r>
          </m:sub>
        </m:sSub>
        <m:r>
          <m:rPr>
            <m:sty m:val="p"/>
          </m:rPr>
          <m:t>=</m:t>
        </m:r>
        <m:sSub>
          <m:e>
            <m:r>
              <m:rPr>
                <m:sty m:val="p"/>
              </m:rPr>
              <m:t>min</m:t>
            </m:r>
          </m:e>
          <m:sub>
            <m:r>
              <m:t>j</m:t>
            </m:r>
          </m:sub>
        </m:sSub>
        <m:r>
          <m:rPr>
            <m:sty m:val="p"/>
          </m:rPr>
          <m:t>min</m:t>
        </m:r>
        <m:d>
          <m:dPr>
            <m:begChr m:val="("/>
            <m:endChr m:val=")"/>
            <m:sepChr m:val=""/>
            <m:grow/>
          </m:dPr>
          <m:e>
            <m:d>
              <m:dPr>
                <m:begChr m:val="|"/>
                <m:endChr m:val="|"/>
                <m:sepChr m:val=""/>
                <m:grow/>
              </m:dPr>
              <m:e>
                <m:sSubSup>
                  <m:e>
                    <m:r>
                      <m:t>X</m:t>
                    </m:r>
                  </m:e>
                  <m:sub>
                    <m:r>
                      <m:t>j</m:t>
                    </m:r>
                  </m:sub>
                  <m:sup>
                    <m:r>
                      <m:rPr>
                        <m:nor/>
                        <m:sty m:val="p"/>
                      </m:rPr>
                      <m:t>res</m:t>
                    </m:r>
                  </m:sup>
                </m:sSubSup>
              </m:e>
            </m:d>
            <m:r>
              <m:rPr>
                <m:sty m:val="p"/>
              </m:rPr>
              <m:t>,</m:t>
            </m:r>
            <m:d>
              <m:dPr>
                <m:begChr m:val="|"/>
                <m:endChr m:val="|"/>
                <m:sepChr m:val=""/>
                <m:grow/>
              </m:dPr>
              <m:e>
                <m:sSubSup>
                  <m:e>
                    <m:r>
                      <m:t>X</m:t>
                    </m:r>
                  </m:e>
                  <m:sub>
                    <m:r>
                      <m:t>j</m:t>
                    </m:r>
                  </m:sub>
                  <m:sup>
                    <m:r>
                      <m:rPr>
                        <m:nor/>
                        <m:sty m:val="p"/>
                      </m:rPr>
                      <m:t>pol</m:t>
                    </m:r>
                  </m:sup>
                </m:sSubSup>
              </m:e>
            </m:d>
          </m:e>
        </m:d>
      </m:oMath>
      <w:r>
        <w:t xml:space="preserve">; under the frozen snapshot,</w:t>
      </w:r>
      <w:r>
        <w:t xml:space="preserve"> </w:t>
      </w:r>
      <m:oMath>
        <m:sSub>
          <m:e>
            <m:r>
              <m:t>n</m:t>
            </m:r>
          </m:e>
          <m:sub>
            <m:r>
              <m:rPr>
                <m:nor/>
                <m:sty m:val="p"/>
              </m:rPr>
              <m:t>target</m:t>
            </m:r>
          </m:sub>
        </m:sSub>
        <m:r>
          <m:rPr>
            <m:sty m:val="p"/>
          </m:rPr>
          <m:t>=</m:t>
        </m:r>
        <m:r>
          <m:t>1123</m:t>
        </m:r>
        <m:r>
          <m:t>​</m:t>
        </m:r>
      </m:oMath>
      <w:r>
        <w:t xml:space="preserve"> </w:t>
      </w:r>
      <w:r>
        <w:t xml:space="preserve">for MPNet). Form the 34-class stratification key</w:t>
      </w:r>
      <w:r>
        <w:t xml:space="preserve"> </w:t>
      </w:r>
      <m:oMath>
        <m:sSub>
          <m:e>
            <m:r>
              <m:t>z</m:t>
            </m:r>
          </m:e>
          <m:sub>
            <m:r>
              <m:rPr>
                <m:nor/>
                <m:sty m:val="p"/>
              </m:rPr>
              <m:t>strat</m:t>
            </m:r>
          </m:sub>
        </m:sSub>
        <m:r>
          <m:rPr>
            <m:sty m:val="p"/>
          </m:rPr>
          <m:t>=</m:t>
        </m:r>
        <m:r>
          <m:t>2</m:t>
        </m:r>
        <m:r>
          <m:rPr>
            <m:sty m:val="p"/>
          </m:rPr>
          <m:t>×</m:t>
        </m:r>
        <m:r>
          <m:rPr>
            <m:nor/>
            <m:sty m:val="p"/>
          </m:rPr>
          <m:t>sdg_labels</m:t>
        </m:r>
        <m:r>
          <m:rPr>
            <m:sty m:val="p"/>
          </m:rPr>
          <m:t>+</m:t>
        </m:r>
        <m:r>
          <m:t>y</m:t>
        </m:r>
      </m:oMath>
      <w:r>
        <w:t xml:space="preserve">, ensuring balanced corpus</w:t>
      </w:r>
      <w:r>
        <w:t xml:space="preserve"> </w:t>
      </w:r>
      <m:oMath>
        <m:r>
          <m:rPr>
            <m:sty m:val="p"/>
          </m:rPr>
          <m:t>×</m:t>
        </m:r>
      </m:oMath>
      <w:r>
        <w:t xml:space="preserve"> </w:t>
      </w:r>
      <w:r>
        <w:t xml:space="preserve">topic combinations.</w:t>
      </w:r>
    </w:p>
    <w:p>
      <w:pPr>
        <w:numPr>
          <w:ilvl w:val="0"/>
          <w:numId w:val="1004"/>
        </w:numPr>
      </w:pPr>
      <w:r>
        <w:rPr>
          <w:bCs/>
          <w:b/>
        </w:rPr>
        <w:t xml:space="preserve">Project existing directions:</w:t>
      </w:r>
      <w:r>
        <w:t xml:space="preserve"> </w:t>
      </w:r>
      <w:r>
        <w:t xml:space="preserve">Subtract from each sample embedding the components along all previously learned directions:</w:t>
      </w:r>
      <w:r>
        <w:t xml:space="preserve"> </w:t>
      </w:r>
      <m:oMath>
        <m:acc>
          <m:accPr>
            <m:chr m:val="̃"/>
          </m:accPr>
          <m:e>
            <m:r>
              <m:rPr>
                <m:sty m:val="b"/>
              </m:rPr>
              <m:t>x</m:t>
            </m:r>
          </m:e>
        </m:acc>
        <m:r>
          <m:rPr>
            <m:sty m:val="p"/>
          </m:rPr>
          <m:t>=</m:t>
        </m:r>
        <m:r>
          <m:rPr>
            <m:sty m:val="b"/>
          </m:rPr>
          <m:t>x</m:t>
        </m:r>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j</m:t>
                    </m:r>
                  </m:sub>
                </m:sSub>
                <m:r>
                  <m:rPr>
                    <m:sty m:val="p"/>
                  </m:rPr>
                  <m:t>⋅</m:t>
                </m:r>
                <m:r>
                  <m:rPr>
                    <m:sty m:val="b"/>
                  </m:rPr>
                  <m:t>x</m:t>
                </m:r>
              </m:e>
            </m:d>
          </m:e>
        </m:nary>
        <m:r>
          <m:t> </m:t>
        </m:r>
        <m:sSub>
          <m:e>
            <m:r>
              <m:rPr>
                <m:sty m:val="b"/>
              </m:rPr>
              <m:t>g</m:t>
            </m:r>
          </m:e>
          <m:sub>
            <m:r>
              <m:t>j</m:t>
            </m:r>
          </m:sub>
        </m:sSub>
      </m:oMath>
      <w:r>
        <w:t xml:space="preserve">.</w:t>
      </w:r>
    </w:p>
    <w:p>
      <w:pPr>
        <w:numPr>
          <w:ilvl w:val="0"/>
          <w:numId w:val="1004"/>
        </w:numPr>
      </w:pPr>
      <w:r>
        <w:rPr>
          <w:bCs/>
          <w:b/>
        </w:rPr>
        <w:t xml:space="preserve">Train classifier:</w:t>
      </w:r>
      <w:r>
        <w:t xml:space="preserve"> </w:t>
      </w:r>
      <w:r>
        <w:t xml:space="preserve">Fit L2-regularised logistic regression to predict corpus identity</w:t>
      </w:r>
      <w:r>
        <w:t xml:space="preserve"> </w:t>
      </w:r>
      <m:oMath>
        <m:r>
          <m:t>y</m:t>
        </m:r>
      </m:oMath>
      <w:r>
        <w:t xml:space="preserve"> </w:t>
      </w:r>
      <w:r>
        <w:t xml:space="preserve">from the projected embeddings</w:t>
      </w:r>
      <w:r>
        <w:t xml:space="preserve"> </w:t>
      </w:r>
      <m:oMath>
        <m:acc>
          <m:accPr>
            <m:chr m:val="̃"/>
          </m:accPr>
          <m:e>
            <m:r>
              <m:rPr>
                <m:sty m:val="b"/>
              </m:rPr>
              <m:t>x</m:t>
            </m:r>
          </m:e>
        </m:acc>
      </m:oMath>
      <w:r>
        <w:t xml:space="preserve">. The hyperparameters are fixed defaults because the objective is to recover a decodable direction, not to maximise classification accuracy. This means the quality of any single iteration’s direction is not individually verified; only the aggregate stopping criterion (held-out accuracy</w:t>
      </w:r>
      <w:r>
        <w:t xml:space="preserve"> </w:t>
      </w:r>
      <m:oMath>
        <m:r>
          <m:rPr>
            <m:sty m:val="p"/>
          </m:rPr>
          <m:t>≤</m:t>
        </m:r>
        <m:r>
          <m:t>0.5</m:t>
        </m:r>
      </m:oMath>
      <w:r>
        <w:t xml:space="preserve"> </w:t>
      </w:r>
      <w:r>
        <w:t xml:space="preserve">across all</w:t>
      </w:r>
      <w:r>
        <w:t xml:space="preserve"> </w:t>
      </w:r>
      <m:oMath>
        <m:r>
          <m:t>K</m:t>
        </m:r>
      </m:oMath>
      <w:r>
        <w:t xml:space="preserve"> </w:t>
      </w:r>
      <w:r>
        <w:t xml:space="preserve">iterations) guards against a degenerate or noisy direction being retained. A per-iteration validation pass is not performed and is left for future refinement. Split 15% held-out, stratified by</w:t>
      </w:r>
      <w:r>
        <w:t xml:space="preserve"> </w:t>
      </w:r>
      <m:oMath>
        <m:sSub>
          <m:e>
            <m:r>
              <m:t>z</m:t>
            </m:r>
          </m:e>
          <m:sub>
            <m:r>
              <m:rPr>
                <m:nor/>
                <m:sty m:val="p"/>
              </m:rPr>
              <m:t>strat</m:t>
            </m:r>
          </m:sub>
        </m:sSub>
      </m:oMath>
      <w:r>
        <w:t xml:space="preserve">.</w:t>
      </w:r>
    </w:p>
    <w:p>
      <w:pPr>
        <w:numPr>
          <w:ilvl w:val="0"/>
          <w:numId w:val="1004"/>
        </w:numPr>
      </w:pPr>
      <w:r>
        <w:rPr>
          <w:bCs/>
          <w:b/>
        </w:rPr>
        <w:t xml:space="preserve">Extract direction:</w:t>
      </w:r>
      <w:r>
        <w:t xml:space="preserve"> </w:t>
      </w:r>
      <w:r>
        <w:t xml:space="preserve">Normalise the weight vector:</w:t>
      </w:r>
      <w:r>
        <w:t xml:space="preserve"> </w:t>
      </w:r>
      <m:oMath>
        <m:sSub>
          <m:e>
            <m:r>
              <m:rPr>
                <m:sty m:val="b"/>
              </m:rPr>
              <m:t>g</m:t>
            </m:r>
          </m:e>
          <m:sub>
            <m:r>
              <m:t>k</m:t>
            </m:r>
          </m:sub>
        </m:sSub>
        <m:r>
          <m:rPr>
            <m:sty m:val="p"/>
          </m:rPr>
          <m:t>=</m:t>
        </m:r>
        <m:sSub>
          <m:e>
            <m:r>
              <m:rPr>
                <m:sty m:val="b"/>
              </m:rPr>
              <m:t>w</m:t>
            </m:r>
          </m:e>
          <m:sub>
            <m:r>
              <m:t>k</m:t>
            </m:r>
          </m:sub>
        </m:sSub>
        <m:r>
          <m:rPr>
            <m:sty m:val="p"/>
          </m:rPr>
          <m:t>/</m:t>
        </m:r>
        <m:r>
          <m:rPr>
            <m:sty m:val="p"/>
          </m:rPr>
          <m:t>∥</m:t>
        </m:r>
        <m:sSub>
          <m:e>
            <m:r>
              <m:rPr>
                <m:sty m:val="b"/>
              </m:rPr>
              <m:t>w</m:t>
            </m:r>
          </m:e>
          <m:sub>
            <m:r>
              <m:t>k</m:t>
            </m:r>
          </m:sub>
        </m:sSub>
        <m:r>
          <m:rPr>
            <m:sty m:val="p"/>
          </m:rPr>
          <m:t>∥</m:t>
        </m:r>
      </m:oMath>
      <w:r>
        <w:t xml:space="preserve">. Orthogonalise against all prior directions:</w:t>
      </w:r>
      <w:r>
        <w:t xml:space="preserve"> </w:t>
      </w:r>
      <m:oMath>
        <m:sSub>
          <m:e>
            <m:r>
              <m:rPr>
                <m:sty m:val="b"/>
              </m:rPr>
              <m:t>g</m:t>
            </m:r>
          </m:e>
          <m:sub>
            <m:r>
              <m:t>k</m:t>
            </m:r>
          </m:sub>
        </m:sSub>
        <m:r>
          <m:rPr>
            <m:sty m:val="p"/>
          </m:rPr>
          <m:t>←</m:t>
        </m:r>
        <m:sSub>
          <m:e>
            <m:r>
              <m:rPr>
                <m:sty m:val="b"/>
              </m:rPr>
              <m:t>g</m:t>
            </m:r>
          </m:e>
          <m:sub>
            <m:r>
              <m:t>k</m:t>
            </m:r>
          </m:sub>
        </m:sSub>
        <m:r>
          <m:rPr>
            <m:sty m:val="p"/>
          </m:rPr>
          <m:t>−</m:t>
        </m:r>
        <m:nary>
          <m:naryPr>
            <m:chr m:val="∑"/>
            <m:limLoc m:val="undOvr"/>
            <m:subHide m:val="off"/>
            <m:supHide m:val="on"/>
          </m:naryPr>
          <m:sub>
            <m:r>
              <m:t>j</m:t>
            </m:r>
            <m:r>
              <m:rPr>
                <m:sty m:val="p"/>
              </m:rPr>
              <m:t>&lt;</m:t>
            </m:r>
            <m:r>
              <m:t>k</m:t>
            </m:r>
          </m:sub>
          <m:sup>
            <m:r>
              <m:t>​</m:t>
            </m:r>
          </m:sup>
          <m:e>
            <m:d>
              <m:dPr>
                <m:begChr m:val="("/>
                <m:endChr m:val=")"/>
                <m:sepChr m:val=""/>
                <m:grow/>
              </m:dPr>
              <m:e>
                <m:sSub>
                  <m:e>
                    <m:r>
                      <m:rPr>
                        <m:sty m:val="b"/>
                      </m:rPr>
                      <m:t>g</m:t>
                    </m:r>
                  </m:e>
                  <m:sub>
                    <m:r>
                      <m:t>k</m:t>
                    </m:r>
                  </m:sub>
                </m:sSub>
                <m:r>
                  <m:rPr>
                    <m:sty m:val="p"/>
                  </m:rPr>
                  <m:t>⋅</m:t>
                </m:r>
                <m:sSub>
                  <m:e>
                    <m:r>
                      <m:rPr>
                        <m:sty m:val="b"/>
                      </m:rPr>
                      <m:t>g</m:t>
                    </m:r>
                  </m:e>
                  <m:sub>
                    <m:r>
                      <m:t>j</m:t>
                    </m:r>
                  </m:sub>
                </m:sSub>
              </m:e>
            </m:d>
          </m:e>
        </m:nary>
        <m:r>
          <m:t> </m:t>
        </m:r>
        <m:sSub>
          <m:e>
            <m:r>
              <m:rPr>
                <m:sty m:val="b"/>
              </m:rPr>
              <m:t>g</m:t>
            </m:r>
          </m:e>
          <m:sub>
            <m:r>
              <m:t>j</m:t>
            </m:r>
          </m:sub>
        </m:sSub>
      </m:oMath>
      <w:r>
        <w:t xml:space="preserve">. If</w:t>
      </w:r>
      <w:r>
        <w:t xml:space="preserve"> </w:t>
      </w:r>
      <m:oMath>
        <m:r>
          <m:rPr>
            <m:sty m:val="p"/>
          </m:rPr>
          <m:t>∥</m:t>
        </m:r>
        <m:sSub>
          <m:e>
            <m:r>
              <m:rPr>
                <m:sty m:val="b"/>
              </m:rPr>
              <m:t>g</m:t>
            </m:r>
          </m:e>
          <m:sub>
            <m:r>
              <m:t>k</m:t>
            </m:r>
          </m:sub>
        </m:sSub>
        <m:r>
          <m:rPr>
            <m:sty m:val="p"/>
          </m:rPr>
          <m:t>∥</m:t>
        </m:r>
        <m:r>
          <m:rPr>
            <m:sty m:val="p"/>
          </m:rPr>
          <m:t>&lt;</m:t>
        </m:r>
        <m:sSup>
          <m:e>
            <m:r>
              <m:t>10</m:t>
            </m:r>
          </m:e>
          <m:sup>
            <m:r>
              <m:rPr>
                <m:sty m:val="p"/>
              </m:rPr>
              <m:t>−</m:t>
            </m:r>
            <m:r>
              <m:t>8</m:t>
            </m:r>
          </m:sup>
        </m:sSup>
      </m:oMath>
      <w:r>
        <w:t xml:space="preserve"> </w:t>
      </w:r>
      <w:r>
        <w:t xml:space="preserve">(direction collapse), stop.</w:t>
      </w:r>
    </w:p>
    <w:p>
      <w:pPr>
        <w:numPr>
          <w:ilvl w:val="0"/>
          <w:numId w:val="1004"/>
        </w:numPr>
      </w:pPr>
      <w:r>
        <w:rPr>
          <w:bCs/>
          <w:b/>
        </w:rPr>
        <w:t xml:space="preserve">Stopping criterion:</w:t>
      </w:r>
      <w:r>
        <w:t xml:space="preserve"> </w:t>
      </w:r>
      <w:r>
        <w:t xml:space="preserve">Stop if held-out accuracy</w:t>
      </w:r>
      <w:r>
        <w:t xml:space="preserve"> </w:t>
      </w:r>
      <m:oMath>
        <m:r>
          <m:rPr>
            <m:sty m:val="p"/>
          </m:rPr>
          <m:t>≤</m:t>
        </m:r>
        <m:r>
          <m:t>0.5</m:t>
        </m:r>
      </m:oMath>
      <w:r>
        <w:t xml:space="preserve"> </w:t>
      </w:r>
      <w:r>
        <w:t xml:space="preserve">(the majority-class baseline for balanced binary classification). Otherwise append</w:t>
      </w:r>
      <w:r>
        <w:t xml:space="preserve"> </w:t>
      </w:r>
      <m:oMath>
        <m:sSub>
          <m:e>
            <m:r>
              <m:rPr>
                <m:sty m:val="b"/>
              </m:rPr>
              <m:t>g</m:t>
            </m:r>
          </m:e>
          <m:sub>
            <m:r>
              <m:t>k</m:t>
            </m:r>
          </m:sub>
        </m:sSub>
      </m:oMath>
      <w:r>
        <w:t xml:space="preserve"> </w:t>
      </w:r>
      <w:r>
        <w:t xml:space="preserve">and continue.</w:t>
      </w:r>
    </w:p>
    <w:p>
      <w:pPr>
        <w:pStyle w:val="FirstParagraph"/>
      </w:pPr>
      <w:r>
        <w:t xml:space="preserve">All three encoder tracks converge within 40–79 iterations (Appendix </w:t>
      </w:r>
      <w:hyperlink w:anchor="app:register-robustness">
        <w:r>
          <w:rPr>
            <w:rStyle w:val="Hyperlink"/>
          </w:rPr>
          <w:t xml:space="preserve">13.1</w:t>
        </w:r>
      </w:hyperlink>
      <w:r>
        <w:t xml:space="preserve">). The final adjusted embedding is</w:t>
      </w:r>
      <w:r>
        <w:t xml:space="preserve"> </w:t>
      </w:r>
      <m:oMath>
        <m:r>
          <m:rPr>
            <m:sty m:val="b"/>
          </m:rPr>
          <m:t>x</m:t>
        </m:r>
        <m:r>
          <m:rPr>
            <m:sty m:val="p"/>
          </m:rPr>
          <m:t>′</m:t>
        </m:r>
        <m:r>
          <m:rPr>
            <m:sty m:val="p"/>
          </m:rPr>
          <m:t>=</m:t>
        </m:r>
        <m:r>
          <m:rPr>
            <m:sty m:val="b"/>
          </m:rPr>
          <m:t>x</m:t>
        </m:r>
        <m:r>
          <m:rPr>
            <m:sty m:val="p"/>
          </m:rPr>
          <m:t>−</m:t>
        </m:r>
        <m:nary>
          <m:naryPr>
            <m:chr m:val="∑"/>
            <m:limLoc m:val="undOvr"/>
            <m:subHide m:val="off"/>
            <m:supHide m:val="off"/>
          </m:naryPr>
          <m:sub>
            <m:r>
              <m:t>k</m:t>
            </m:r>
            <m:r>
              <m:rPr>
                <m:sty m:val="p"/>
              </m:rPr>
              <m:t>=</m:t>
            </m:r>
            <m:r>
              <m:t>1</m:t>
            </m:r>
          </m:sub>
          <m:sup>
            <m:r>
              <m:t>K</m:t>
            </m:r>
          </m:sup>
          <m:e>
            <m:d>
              <m:dPr>
                <m:begChr m:val="("/>
                <m:endChr m:val=")"/>
                <m:sepChr m:val=""/>
                <m:grow/>
              </m:dPr>
              <m:e>
                <m:sSub>
                  <m:e>
                    <m:r>
                      <m:rPr>
                        <m:sty m:val="b"/>
                      </m:rPr>
                      <m:t>g</m:t>
                    </m:r>
                  </m:e>
                  <m:sub>
                    <m:r>
                      <m:t>k</m:t>
                    </m:r>
                  </m:sub>
                </m:sSub>
                <m:r>
                  <m:rPr>
                    <m:sty m:val="p"/>
                  </m:rPr>
                  <m:t>⋅</m:t>
                </m:r>
                <m:r>
                  <m:rPr>
                    <m:sty m:val="b"/>
                  </m:rPr>
                  <m:t>x</m:t>
                </m:r>
              </m:e>
            </m:d>
          </m:e>
        </m:nary>
        <m:r>
          <m:t> </m:t>
        </m:r>
        <m:sSub>
          <m:e>
            <m:r>
              <m:rPr>
                <m:sty m:val="b"/>
              </m:rPr>
              <m:t>g</m:t>
            </m:r>
          </m:e>
          <m:sub>
            <m:r>
              <m:t>k</m:t>
            </m:r>
          </m:sub>
        </m:sSub>
      </m:oMath>
      <w:r>
        <w:t xml:space="preserve">, and the adjusted gap uses centroids computed on these projected embeddings.</w:t>
      </w:r>
    </w:p>
    <w:p>
      <w:pPr>
        <w:pStyle w:val="BodyText"/>
      </w:pPr>
      <w:r>
        <w:rPr>
          <w:bCs/>
          <w:b/>
        </w:rPr>
        <w:t xml:space="preserve">Identification argument:</w:t>
      </w:r>
      <w:r>
        <w:t xml:space="preserve"> </w:t>
      </w:r>
      <w:r>
        <w:t xml:space="preserve">The stratification design is the structural precondition: because every iteration trains on equal numbers of research and policy embeddings from each SDG, no linear direction can simultaneously encode SDG topic and corpus identity. What remains linearly decodable is the corpus-level register difference: modality, audience conventions, institutional stance, and structural patterns. The removed subspace is interpreted as register in the sense of</w:t>
      </w:r>
      <w:r>
        <w:t xml:space="preserve"> </w:t>
      </w:r>
      <w:r>
        <w:t xml:space="preserve">Biber and Conrad (2009)</w:t>
      </w:r>
      <w:r>
        <w:t xml:space="preserve">: a variety associated with a particular situation of use, including communicative purpose, audience, and production circumstances. Stratification controls for SDG topic, but not for other differences such as publication period or author background. The removed component is therefore best read as register-like, not as pure register. This interpretation is evaluated against independent linguistic markers in Appendix </w:t>
      </w:r>
      <w:hyperlink w:anchor="app:register-validation">
        <w:r>
          <w:rPr>
            <w:rStyle w:val="Hyperlink"/>
          </w:rPr>
          <w:t xml:space="preserve">13.2</w:t>
        </w:r>
      </w:hyperlink>
      <w:r>
        <w:t xml:space="preserve">.</w:t>
      </w:r>
    </w:p>
    <w:p>
      <w:pPr>
        <w:pStyle w:val="BodyText"/>
      </w:pPr>
      <w:r>
        <w:t xml:space="preserve">With the projector learned, the semantic-gap analysis of Section </w:t>
      </w:r>
      <w:hyperlink w:anchor="sec:semantic-gap-method">
        <w:r>
          <w:rPr>
            <w:rStyle w:val="Hyperlink"/>
          </w:rPr>
          <w:t xml:space="preserve">3.7</w:t>
        </w:r>
      </w:hyperlink>
      <w:r>
        <w:t xml:space="preserve"> </w:t>
      </w:r>
      <w:r>
        <w:t xml:space="preserve">is recomputed on the adjusted embeddings, giving the within-SDG adjusted gap.</w:t>
      </w:r>
    </w:p>
    <w:bookmarkEnd w:id="40"/>
    <w:bookmarkEnd w:id="41"/>
    <w:bookmarkStart w:id="45" w:name="sec:coverage-semantic-interaction"/>
    <w:p>
      <w:pPr>
        <w:pStyle w:val="Heading2"/>
      </w:pPr>
      <w:r>
        <w:t xml:space="preserve">Coverage–Semantic Interaction</w:t>
      </w:r>
    </w:p>
    <w:p>
      <w:pPr>
        <w:pStyle w:val="FirstParagraph"/>
      </w:pPr>
      <w:r>
        <w:t xml:space="preserve">The test works as follows. Pearson</w:t>
      </w:r>
      <w:r>
        <w:t xml:space="preserve"> </w:t>
      </w:r>
      <m:oMath>
        <m:r>
          <m:t>r</m:t>
        </m:r>
      </m:oMath>
      <w:r>
        <w:t xml:space="preserve"> </w:t>
      </w:r>
      <w:r>
        <w:t xml:space="preserve">and Spearman rank correlation</w:t>
      </w:r>
      <w:r>
        <w:t xml:space="preserve"> </w:t>
      </w:r>
      <m:oMath>
        <m:r>
          <m:t>ρ</m:t>
        </m:r>
      </m:oMath>
      <w:r>
        <w:t xml:space="preserve"> </w:t>
      </w:r>
      <w:r>
        <w:t xml:space="preserve">are computed between each coverage predictor (coverage gap, signed dominance, research coverage, policy coverage) and the within-SDG semantic-gap scores across the 17 SDGs; SDG 4 is treated as artefact-affected (Section </w:t>
      </w:r>
      <w:hyperlink w:anchor="sec:research-corpus">
        <w:r>
          <w:rPr>
            <w:rStyle w:val="Hyperlink"/>
          </w:rPr>
          <w:t xml:space="preserve">3.3</w:t>
        </w:r>
      </w:hyperlink>
      <w:r>
        <w:t xml:space="preserve">) and examined separately (Appendix </w:t>
      </w:r>
      <w:hyperlink w:anchor="app:sdg4-lexical-audit">
        <w:r>
          <w:rPr>
            <w:rStyle w:val="Hyperlink"/>
          </w:rPr>
          <w:t xml:space="preserve">8.1</w:t>
        </w:r>
      </w:hyperlink>
      <w:r>
        <w:t xml:space="preserve">).</w:t>
      </w:r>
    </w:p>
    <w:p>
      <w:pPr>
        <w:pStyle w:val="BodyText"/>
      </w:pPr>
      <w:r>
        <w:t xml:space="preserve">A possible criticism is that</w:t>
      </w:r>
      <w:r>
        <w:t xml:space="preserve"> </w:t>
      </w:r>
      <m:oMath>
        <m:r>
          <m:t>n</m:t>
        </m:r>
        <m:r>
          <m:rPr>
            <m:sty m:val="p"/>
          </m:rPr>
          <m:t>=</m:t>
        </m:r>
        <m:r>
          <m:t>17</m:t>
        </m:r>
      </m:oMath>
      <w:r>
        <w:t xml:space="preserve"> </w:t>
      </w:r>
      <w:r>
        <w:t xml:space="preserve">limits statistical power. However, the 17 SDGs are the whole framework, not a sample. Finer-grained units (the framework defines 169 targets) would raise the observation count, but no labelled target-level reference data exist. That is left for future work when data is available.</w:t>
      </w:r>
    </w:p>
    <w:p>
      <w:pPr>
        <w:pStyle w:val="BodyText"/>
      </w:pPr>
      <w:r>
        <w:t xml:space="preserve">The only randomness comes from measurement (classifier, corpus build, embeddings). All</w:t>
      </w:r>
      <w:r>
        <w:t xml:space="preserve"> </w:t>
      </w:r>
      <m:oMath>
        <m:r>
          <m:t>p</m:t>
        </m:r>
      </m:oMath>
      <w:r>
        <w:t xml:space="preserve">-values are two-sided Monte Carlo permutation tests (100,000 resamples, fixed seed). They test the null of no association given the measured values, without relying on asymptotic approximations</w:t>
      </w:r>
      <w:r>
        <w:t xml:space="preserve"> </w:t>
      </w:r>
      <w:r>
        <w:t xml:space="preserve">(Berk et al., 1995; Abadie et al., 2020)</w:t>
      </w:r>
      <w:r>
        <w:t xml:space="preserve">.</w:t>
      </w:r>
    </w:p>
    <w:p>
      <w:pPr>
        <w:pStyle w:val="BodyText"/>
      </w:pPr>
      <w:r>
        <w:t xml:space="preserve">With only 17 units, a single goal can sway the result, so the associations are checked with a leave-one-out analysis (Section </w:t>
      </w:r>
      <w:hyperlink w:anchor="sec:interaction">
        <w:r>
          <w:rPr>
            <w:rStyle w:val="Hyperlink"/>
          </w:rPr>
          <w:t xml:space="preserve">4.4</w:t>
        </w:r>
      </w:hyperlink>
      <w:r>
        <w:t xml:space="preserve">) and across configurations (Section </w:t>
      </w:r>
      <w:hyperlink w:anchor="sec:robustness">
        <w:r>
          <w:rPr>
            <w:rStyle w:val="Hyperlink"/>
          </w:rPr>
          <w:t xml:space="preserve">4.5</w:t>
        </w:r>
      </w:hyperlink>
      <w:r>
        <w:t xml:space="preserve">).</w:t>
      </w:r>
    </w:p>
    <w:p>
      <w:pPr>
        <w:pStyle w:val="BodyText"/>
      </w:pPr>
      <w:r>
        <w:t xml:space="preserve">Raw, adjusted, and register-component correlations come from one decomposition (register = raw</w:t>
      </w:r>
      <w:r>
        <w:t xml:space="preserve"> </w:t>
      </w:r>
      <m:oMath>
        <m:r>
          <m:rPr>
            <m:sty m:val="p"/>
          </m:rPr>
          <m:t>−</m:t>
        </m:r>
      </m:oMath>
      <w:r>
        <w:t xml:space="preserve"> </w:t>
      </w:r>
      <w:r>
        <w:t xml:space="preserve">adjusted). They move together, so the claim is about their combined pattern, not three separate tests. This reasoning covers the raw/adjusted/register triad specifically. It does not extend to the four H1a–H1d hypotheses or the</w:t>
      </w:r>
      <w:r>
        <w:t xml:space="preserve"> </w:t>
      </w:r>
      <m:oMath>
        <m:r>
          <m:rPr>
            <m:sty m:val="p"/>
          </m:rPr>
          <m:t>∼</m:t>
        </m:r>
      </m:oMath>
      <w:r>
        <w:t xml:space="preserve">24 robustness configurations reported elsewhere, which are interpreted collectively for consistency of sign and magnitude rather than treated as a formally corrected multiple-testing family. All three are reported for every configuration. Because the decomposition is fixed in advance and the three numbers inform each other, no multiple-comparison correction is applied.</w:t>
      </w:r>
    </w:p>
    <w:p>
      <w:pPr>
        <w:pStyle w:val="BodyText"/>
      </w:pPr>
      <w:r>
        <w:t xml:space="preserve">A supplementary pooled-regression analysis combines all 24 configurations into a single panel (Appendix </w:t>
      </w:r>
      <w:hyperlink w:anchor="app:regression">
        <w:r>
          <w:rPr>
            <w:rStyle w:val="Hyperlink"/>
          </w:rPr>
          <w:t xml:space="preserve">15</w:t>
        </w:r>
      </w:hyperlink>
      <w:r>
        <w:t xml:space="preserve">).</w:t>
      </w:r>
    </w:p>
    <w:p>
      <w:pPr>
        <w:pStyle w:val="BodyText"/>
      </w:pPr>
      <w:r>
        <w:t xml:space="preserve">Figure </w:t>
      </w:r>
      <w:hyperlink w:anchor="fig:pipeline-flowchart">
        <w:r>
          <w:rPr>
            <w:rStyle w:val="Hyperlink"/>
          </w:rPr>
          <w:t xml:space="preserve">2</w:t>
        </w:r>
      </w:hyperlink>
      <w:r>
        <w:t xml:space="preserve"> </w:t>
      </w:r>
      <w:r>
        <w:t xml:space="preserve">summarises the end-to-end methodology.</w:t>
      </w:r>
    </w:p>
    <w:p>
      <w:pPr>
        <w:pStyle w:val="CaptionedFigure"/>
      </w:pPr>
      <w:r>
        <w:drawing>
          <wp:inline>
            <wp:extent cx="5334000" cy="6571397"/>
            <wp:effectExtent b="0" l="0" r="0" t="0"/>
            <wp:docPr descr="" title="" id="43" name="Picture"/>
            <a:graphic>
              <a:graphicData uri="http://schemas.openxmlformats.org/drawingml/2006/picture">
                <pic:pic>
                  <pic:nvPicPr>
                    <pic:cNvPr descr="fig6_pipeline_flowchart.png" id="44" name="Picture"/>
                    <pic:cNvPicPr>
                      <a:picLocks noChangeArrowheads="1" noChangeAspect="1"/>
                    </pic:cNvPicPr>
                  </pic:nvPicPr>
                  <pic:blipFill>
                    <a:blip r:embed="rId42"/>
                    <a:stretch>
                      <a:fillRect/>
                    </a:stretch>
                  </pic:blipFill>
                  <pic:spPr bwMode="auto">
                    <a:xfrm>
                      <a:off x="0" y="0"/>
                      <a:ext cx="5334000" cy="6571397"/>
                    </a:xfrm>
                    <a:prstGeom prst="rect">
                      <a:avLst/>
                    </a:prstGeom>
                    <a:noFill/>
                    <a:ln w="9525">
                      <a:noFill/>
                      <a:headEnd/>
                      <a:tailEnd/>
                    </a:ln>
                  </pic:spPr>
                </pic:pic>
              </a:graphicData>
            </a:graphic>
          </wp:inline>
        </w:drawing>
      </w:r>
    </w:p>
    <w:p>
      <w:pPr>
        <w:pStyle w:val="ImageCaption"/>
      </w:pPr>
      <w:r>
        <w:t xml:space="preserve">End-to-end methodology pipeline: four parallel corpus-construction tracks (keyword-retrieved research, concept-retrieved research robustness track, policy, and reference) feeding a shared embedding, classification, and register–topic decomposition stage.</w:t>
      </w:r>
    </w:p>
    <w:bookmarkEnd w:id="45"/>
    <w:bookmarkEnd w:id="46"/>
    <w:bookmarkStart w:id="77" w:name="sec:results"/>
    <w:p>
      <w:pPr>
        <w:pStyle w:val="Heading1"/>
      </w:pPr>
      <w:r>
        <w:t xml:space="preserve">Results</w:t>
      </w:r>
    </w:p>
    <w:p>
      <w:pPr>
        <w:pStyle w:val="FirstParagraph"/>
      </w:pPr>
      <w:r>
        <w:t xml:space="preserve">This section reports validation, coverage gaps, semantic gaps, H1 tests, and robustness.</w:t>
      </w:r>
    </w:p>
    <w:bookmarkStart w:id="49" w:name="sec:validation"/>
    <w:p>
      <w:pPr>
        <w:pStyle w:val="Heading2"/>
      </w:pPr>
      <w:r>
        <w:t xml:space="preserve">Supervised Reference Classifier Grid Search and Performance</w:t>
      </w:r>
    </w:p>
    <w:p>
      <w:pPr>
        <w:pStyle w:val="FirstParagraph"/>
      </w:pPr>
      <w:r>
        <w:t xml:space="preserve">Grid search over architecture depth, hidden size, and learning rate showed negligible performance variance across the MLP configurations (CV macro-F1 = 0.815–0.819), and LR is flat within</w:t>
      </w:r>
      <w:r>
        <w:t xml:space="preserve"> </w:t>
      </w:r>
      <m:oMath>
        <m:r>
          <m:rPr>
            <m:sty m:val="p"/>
          </m:rPr>
          <m:t>∼</m:t>
        </m:r>
      </m:oMath>
      <w:r>
        <w:t xml:space="preserve">0.001 for C</w:t>
      </w:r>
      <w:r>
        <w:t xml:space="preserve"> </w:t>
      </w:r>
      <m:oMath>
        <m:r>
          <m:rPr>
            <m:sty m:val="p"/>
          </m:rPr>
          <m:t>∈</m:t>
        </m:r>
        <m:r>
          <m:rPr>
            <m:sty m:val="p"/>
          </m:rPr>
          <m:t>{</m:t>
        </m:r>
        <m:r>
          <m:t>1</m:t>
        </m:r>
        <m:r>
          <m:rPr>
            <m:sty m:val="p"/>
          </m:rPr>
          <m:t>,</m:t>
        </m:r>
        <m:r>
          <m:t>3</m:t>
        </m:r>
        <m:r>
          <m:rPr>
            <m:sty m:val="p"/>
          </m:rPr>
          <m:t>,</m:t>
        </m:r>
        <m:r>
          <m:t>5</m:t>
        </m:r>
        <m:r>
          <m:rPr>
            <m:sty m:val="p"/>
          </m:rPr>
          <m:t>}</m:t>
        </m:r>
      </m:oMath>
      <w:r>
        <w:t xml:space="preserve">, suggesting that LR/MLP choice is not a major binding constraint for the classifier’s power (Table </w:t>
      </w:r>
      <w:hyperlink w:anchor="tab:model-selection-ranking">
        <w:r>
          <w:rPr>
            <w:rStyle w:val="Hyperlink"/>
          </w:rPr>
          <w:t xml:space="preserve">2</w:t>
        </w:r>
      </w:hyperlink>
      <w:r>
        <w:t xml:space="preserve">).</w:t>
      </w:r>
    </w:p>
    <w:bookmarkStart w:id="47" w:name="tab:model-selection-ranking"/>
    <w:p>
      <w:pPr>
        <w:pStyle w:val="TableCaption"/>
      </w:pPr>
      <w:r>
        <w:t xml:space="preserve">Model selection ranking: 5-fold GroupKFold cross-validated macro-F1.</w:t>
      </w:r>
    </w:p>
    <w:tbl>
      <w:tblPr>
        <w:tblStyle w:val="Table"/>
        <w:tblW w:type="auto" w:w="0"/>
        <w:tblLook w:firstRow="1" w:lastRow="0" w:firstColumn="0" w:lastColumn="0" w:noHBand="0" w:noVBand="0" w:val="0020"/>
        <w:jc w:val="start"/>
        <w:tblCaption w:val="Model selection ranking: 5-fold GroupKFold cross-validated macro-F1."/>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4–16</w:t>
            </w:r>
          </w:p>
        </w:tc>
        <w:tc>
          <w:tcPr/>
          <w:p>
            <w:pPr>
              <w:pStyle w:val="Compact"/>
              <w:jc w:val="center"/>
            </w:pPr>
            <w:r>
              <w:t xml:space="preserve">MLP (remaining 13 configurations)</w:t>
            </w:r>
          </w:p>
        </w:tc>
        <w:tc>
          <w:tcPr/>
          <w:p>
            <w:pPr>
              <w:pStyle w:val="Compact"/>
              <w:jc w:val="center"/>
            </w:pPr>
            <w:r>
              <w:t xml:space="preserve">0.8151–0.8183</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20–32</w:t>
            </w:r>
          </w:p>
        </w:tc>
        <w:tc>
          <w:tcPr/>
          <w:p>
            <w:pPr>
              <w:pStyle w:val="Compact"/>
              <w:jc w:val="center"/>
            </w:pPr>
            <w:r>
              <w:t xml:space="preserve">LR (remaining 13 configurations)</w:t>
            </w:r>
          </w:p>
        </w:tc>
        <w:tc>
          <w:tcPr/>
          <w:p>
            <w:pPr>
              <w:pStyle w:val="Compact"/>
              <w:jc w:val="center"/>
            </w:pPr>
            <w:r>
              <w:t xml:space="preserve">0.7904–0.8087</w:t>
            </w:r>
          </w:p>
        </w:tc>
      </w:tr>
    </w:tbl>
    <w:bookmarkEnd w:id="47"/>
    <w:p>
      <w:pPr>
        <w:pStyle w:val="BodyText"/>
      </w:pPr>
      <w:r>
        <w:rPr>
          <w:iCs/>
          <w:i/>
        </w:rPr>
        <w:t xml:space="preserve">Notes:</w:t>
      </w:r>
      <w:r>
        <w:t xml:space="preserve"> </w:t>
      </w:r>
      <w:r>
        <w:t xml:space="preserve">Top three configurations per family are shown individually; the remaining configurations are collapsed to their CV macro-F1 range. LR (C=3.0, L2, class_weight=None) is the chosen champion (rank 17).</w:t>
      </w:r>
    </w:p>
    <w:p>
      <w:pPr>
        <w:pStyle w:val="BodyText"/>
      </w:pPr>
      <w:r>
        <w:t xml:space="preserve">LR (C=3.0, L2, class_weight=None) was chosen over the highest-scoring MLP despite a 0.0091 macro-F1 gap: LR requires one free parameter (C) and no hidden layers, dropout, learning-rate tuning, or early stopping, and it provides 768 signed coefficients per SDG class, each directly attributable to a specific semantic dimension, whereas MLP’s hidden layers diffuse this information across non-linear transformations. For this study’s purpose – building an interpretable supervised reference to compare corpora, not a classifier built to label single documents – LR is chosen for transparency, not superior accuracy.</w:t>
      </w:r>
    </w:p>
    <w:p>
      <w:pPr>
        <w:pStyle w:val="BodyText"/>
      </w:pPr>
      <w:r>
        <w:t xml:space="preserve">The chosen classifier was evaluated on the held-out test set (n=9</w:t>
      </w:r>
      <w:r>
        <w:t xml:space="preserve">,</w:t>
      </w:r>
      <w:r>
        <w:t xml:space="preserve">338, document-grouped to prevent source leakage). It reaches macro-F1 = 0.816 and micro-F1 = 0.8306, far above the 1/17 random baseline (0.059). Per-class F1 values from the test set are reported in Table </w:t>
      </w:r>
      <w:hyperlink w:anchor="tab:validation">
        <w:r>
          <w:rPr>
            <w:rStyle w:val="Hyperlink"/>
          </w:rPr>
          <w:t xml:space="preserve">3</w:t>
        </w:r>
      </w:hyperlink>
      <w:r>
        <w:t xml:space="preserve">.</w:t>
      </w:r>
    </w:p>
    <w:bookmarkStart w:id="48" w:name="tab:validation"/>
    <w:p>
      <w:pPr>
        <w:pStyle w:val="TableCaption"/>
      </w:pPr>
      <w:r>
        <w:t xml:space="preserve">LR, MLP, and zero-shot (nearest-centroid) test-set F1 scores (n=9</w:t>
      </w:r>
      <w:r>
        <w:t xml:space="preserve">,</w:t>
      </w:r>
      <w:r>
        <w:t xml:space="preserve">338).</w:t>
      </w:r>
    </w:p>
    <w:tbl>
      <w:tblPr>
        <w:tblStyle w:val="Table"/>
        <w:tblW w:type="auto" w:w="0"/>
        <w:tblLook w:firstRow="1" w:lastRow="0" w:firstColumn="0" w:lastColumn="0" w:noHBand="0" w:noVBand="0" w:val="0020"/>
        <w:jc w:val="start"/>
        <w:tblCaption w:val="LR, MLP, and zero-shot (nearest-centroid) test-set F1 scores (n=9,338)."/>
      </w:tblPr>
      <w:tblGrid>
        <w:gridCol w:w="1584"/>
        <w:gridCol w:w="1584"/>
        <w:gridCol w:w="1584"/>
        <w:gridCol w:w="1584"/>
        <w:gridCol w:w="1584"/>
      </w:tblGrid>
      <w:tr>
        <w:trPr>
          <w:tblHeader w:val="true"/>
        </w:trPr>
        <w:tc>
          <w:tcPr/>
          <w:p>
            <w:pPr>
              <w:pStyle w:val="Compact"/>
              <w:jc w:val="left"/>
            </w:pPr>
            <w:r>
              <w:t xml:space="preserve">SDG</w:t>
            </w:r>
          </w:p>
        </w:tc>
        <w:tc>
          <w:tcPr/>
          <w:p>
            <w:pPr>
              <w:pStyle w:val="Compact"/>
              <w:jc w:val="center"/>
            </w:pPr>
            <w:r>
              <w:t xml:space="preserve">n (test)</w:t>
            </w:r>
          </w:p>
        </w:tc>
        <w:tc>
          <w:tcPr/>
          <w:p>
            <w:pPr>
              <w:pStyle w:val="Compact"/>
              <w:jc w:val="center"/>
            </w:pPr>
            <w:r>
              <w:t xml:space="preserve">LR test F1</w:t>
            </w:r>
          </w:p>
        </w:tc>
        <w:tc>
          <w:tcPr/>
          <w:p>
            <w:pPr>
              <w:pStyle w:val="Compact"/>
              <w:jc w:val="center"/>
            </w:pPr>
            <w:r>
              <w:t xml:space="preserve">MLP test F1</w:t>
            </w:r>
          </w:p>
        </w:tc>
        <w:tc>
          <w:tcPr/>
          <w:p>
            <w:pPr>
              <w:pStyle w:val="Compact"/>
              <w:jc w:val="center"/>
            </w:pPr>
            <w:r>
              <w:t xml:space="preserve">ZS test F1</w:t>
            </w:r>
          </w:p>
        </w:tc>
      </w:tr>
      <w:tr>
        <w:tc>
          <w:tcPr/>
          <w:p>
            <w:pPr>
              <w:pStyle w:val="Compact"/>
              <w:jc w:val="left"/>
            </w:pPr>
            <w:r>
              <w:t xml:space="preserve">1 (No Poverty)</w:t>
            </w:r>
          </w:p>
        </w:tc>
        <w:tc>
          <w:tcPr/>
          <w:p>
            <w:pPr>
              <w:pStyle w:val="Compact"/>
              <w:jc w:val="center"/>
            </w:pPr>
            <w:r>
              <w:t xml:space="preserve">473</w:t>
            </w:r>
          </w:p>
        </w:tc>
        <w:tc>
          <w:tcPr/>
          <w:p>
            <w:pPr>
              <w:pStyle w:val="Compact"/>
              <w:jc w:val="center"/>
            </w:pPr>
            <w:r>
              <w:t xml:space="preserve">0.737</w:t>
            </w:r>
          </w:p>
        </w:tc>
        <w:tc>
          <w:tcPr/>
          <w:p>
            <w:pPr>
              <w:pStyle w:val="Compact"/>
              <w:jc w:val="center"/>
            </w:pPr>
            <w:r>
              <w:t xml:space="preserve">0.758</w:t>
            </w:r>
          </w:p>
        </w:tc>
        <w:tc>
          <w:tcPr/>
          <w:p>
            <w:pPr>
              <w:pStyle w:val="Compact"/>
              <w:jc w:val="center"/>
            </w:pPr>
            <w:r>
              <w:t xml:space="preserve">0.671</w:t>
            </w:r>
          </w:p>
        </w:tc>
      </w:tr>
      <w:tr>
        <w:tc>
          <w:tcPr/>
          <w:p>
            <w:pPr>
              <w:pStyle w:val="Compact"/>
              <w:jc w:val="left"/>
            </w:pPr>
            <w:r>
              <w:t xml:space="preserve">2 (Zero Hunger)</w:t>
            </w:r>
          </w:p>
        </w:tc>
        <w:tc>
          <w:tcPr/>
          <w:p>
            <w:pPr>
              <w:pStyle w:val="Compact"/>
              <w:jc w:val="center"/>
            </w:pPr>
            <w:r>
              <w:t xml:space="preserve">416</w:t>
            </w:r>
          </w:p>
        </w:tc>
        <w:tc>
          <w:tcPr/>
          <w:p>
            <w:pPr>
              <w:pStyle w:val="Compact"/>
              <w:jc w:val="center"/>
            </w:pPr>
            <w:r>
              <w:t xml:space="preserve">0.830</w:t>
            </w:r>
          </w:p>
        </w:tc>
        <w:tc>
          <w:tcPr/>
          <w:p>
            <w:pPr>
              <w:pStyle w:val="Compact"/>
              <w:jc w:val="center"/>
            </w:pPr>
            <w:r>
              <w:t xml:space="preserve">0.829</w:t>
            </w:r>
          </w:p>
        </w:tc>
        <w:tc>
          <w:tcPr/>
          <w:p>
            <w:pPr>
              <w:pStyle w:val="Compact"/>
              <w:jc w:val="center"/>
            </w:pPr>
            <w:r>
              <w:t xml:space="preserve">0.792</w:t>
            </w:r>
          </w:p>
        </w:tc>
      </w:tr>
      <w:tr>
        <w:tc>
          <w:tcPr/>
          <w:p>
            <w:pPr>
              <w:pStyle w:val="Compact"/>
              <w:jc w:val="left"/>
            </w:pPr>
            <w:r>
              <w:t xml:space="preserve">3 (Good Health)</w:t>
            </w:r>
          </w:p>
        </w:tc>
        <w:tc>
          <w:tcPr/>
          <w:p>
            <w:pPr>
              <w:pStyle w:val="Compact"/>
              <w:jc w:val="center"/>
            </w:pPr>
            <w:r>
              <w:t xml:space="preserve">848</w:t>
            </w:r>
          </w:p>
        </w:tc>
        <w:tc>
          <w:tcPr/>
          <w:p>
            <w:pPr>
              <w:pStyle w:val="Compact"/>
              <w:jc w:val="center"/>
            </w:pPr>
            <w:r>
              <w:t xml:space="preserve">0.903</w:t>
            </w:r>
          </w:p>
        </w:tc>
        <w:tc>
          <w:tcPr/>
          <w:p>
            <w:pPr>
              <w:pStyle w:val="Compact"/>
              <w:jc w:val="center"/>
            </w:pPr>
            <w:r>
              <w:t xml:space="preserve">0.909</w:t>
            </w:r>
          </w:p>
        </w:tc>
        <w:tc>
          <w:tcPr/>
          <w:p>
            <w:pPr>
              <w:pStyle w:val="Compact"/>
              <w:jc w:val="center"/>
            </w:pPr>
            <w:r>
              <w:t xml:space="preserve">0.871</w:t>
            </w:r>
          </w:p>
        </w:tc>
      </w:tr>
      <w:tr>
        <w:tc>
          <w:tcPr/>
          <w:p>
            <w:pPr>
              <w:pStyle w:val="Compact"/>
              <w:jc w:val="left"/>
            </w:pPr>
            <w:r>
              <w:t xml:space="preserve">4 (Education)</w:t>
            </w:r>
          </w:p>
        </w:tc>
        <w:tc>
          <w:tcPr/>
          <w:p>
            <w:pPr>
              <w:pStyle w:val="Compact"/>
              <w:jc w:val="center"/>
            </w:pPr>
            <w:r>
              <w:t xml:space="preserve">734</w:t>
            </w:r>
          </w:p>
        </w:tc>
        <w:tc>
          <w:tcPr/>
          <w:p>
            <w:pPr>
              <w:pStyle w:val="Compact"/>
              <w:jc w:val="center"/>
            </w:pPr>
            <w:r>
              <w:t xml:space="preserve">0.889</w:t>
            </w:r>
          </w:p>
        </w:tc>
        <w:tc>
          <w:tcPr/>
          <w:p>
            <w:pPr>
              <w:pStyle w:val="Compact"/>
              <w:jc w:val="center"/>
            </w:pPr>
            <w:r>
              <w:t xml:space="preserve">0.899</w:t>
            </w:r>
          </w:p>
        </w:tc>
        <w:tc>
          <w:tcPr/>
          <w:p>
            <w:pPr>
              <w:pStyle w:val="Compact"/>
              <w:jc w:val="center"/>
            </w:pPr>
            <w:r>
              <w:t xml:space="preserve">0.878</w:t>
            </w:r>
          </w:p>
        </w:tc>
      </w:tr>
      <w:tr>
        <w:tc>
          <w:tcPr/>
          <w:p>
            <w:pPr>
              <w:pStyle w:val="Compact"/>
              <w:jc w:val="left"/>
            </w:pPr>
            <w:r>
              <w:t xml:space="preserve">5 (Gender Equality)</w:t>
            </w:r>
          </w:p>
        </w:tc>
        <w:tc>
          <w:tcPr/>
          <w:p>
            <w:pPr>
              <w:pStyle w:val="Compact"/>
              <w:jc w:val="center"/>
            </w:pPr>
            <w:r>
              <w:t xml:space="preserve">816</w:t>
            </w:r>
          </w:p>
        </w:tc>
        <w:tc>
          <w:tcPr/>
          <w:p>
            <w:pPr>
              <w:pStyle w:val="Compact"/>
              <w:jc w:val="center"/>
            </w:pPr>
            <w:r>
              <w:t xml:space="preserve">0.881</w:t>
            </w:r>
          </w:p>
        </w:tc>
        <w:tc>
          <w:tcPr/>
          <w:p>
            <w:pPr>
              <w:pStyle w:val="Compact"/>
              <w:jc w:val="center"/>
            </w:pPr>
            <w:r>
              <w:t xml:space="preserve">0.882</w:t>
            </w:r>
          </w:p>
        </w:tc>
        <w:tc>
          <w:tcPr/>
          <w:p>
            <w:pPr>
              <w:pStyle w:val="Compact"/>
              <w:jc w:val="center"/>
            </w:pPr>
            <w:r>
              <w:t xml:space="preserve">0.833</w:t>
            </w:r>
          </w:p>
        </w:tc>
      </w:tr>
      <w:tr>
        <w:tc>
          <w:tcPr/>
          <w:p>
            <w:pPr>
              <w:pStyle w:val="Compact"/>
              <w:jc w:val="left"/>
            </w:pPr>
            <w:r>
              <w:t xml:space="preserve">6 (Clean Water)</w:t>
            </w:r>
          </w:p>
        </w:tc>
        <w:tc>
          <w:tcPr/>
          <w:p>
            <w:pPr>
              <w:pStyle w:val="Compact"/>
              <w:jc w:val="center"/>
            </w:pPr>
            <w:r>
              <w:t xml:space="preserve">552</w:t>
            </w:r>
          </w:p>
        </w:tc>
        <w:tc>
          <w:tcPr/>
          <w:p>
            <w:pPr>
              <w:pStyle w:val="Compact"/>
              <w:jc w:val="center"/>
            </w:pPr>
            <w:r>
              <w:t xml:space="preserve">0.879</w:t>
            </w:r>
          </w:p>
        </w:tc>
        <w:tc>
          <w:tcPr/>
          <w:p>
            <w:pPr>
              <w:pStyle w:val="Compact"/>
              <w:jc w:val="center"/>
            </w:pPr>
            <w:r>
              <w:t xml:space="preserve">0.877</w:t>
            </w:r>
          </w:p>
        </w:tc>
        <w:tc>
          <w:tcPr/>
          <w:p>
            <w:pPr>
              <w:pStyle w:val="Compact"/>
              <w:jc w:val="center"/>
            </w:pPr>
            <w:r>
              <w:t xml:space="preserve">0.849</w:t>
            </w:r>
          </w:p>
        </w:tc>
      </w:tr>
      <w:tr>
        <w:tc>
          <w:tcPr/>
          <w:p>
            <w:pPr>
              <w:pStyle w:val="Compact"/>
              <w:jc w:val="left"/>
            </w:pPr>
            <w:r>
              <w:t xml:space="preserve">7 (Clean Energy)</w:t>
            </w:r>
          </w:p>
        </w:tc>
        <w:tc>
          <w:tcPr/>
          <w:p>
            <w:pPr>
              <w:pStyle w:val="Compact"/>
              <w:jc w:val="center"/>
            </w:pPr>
            <w:r>
              <w:t xml:space="preserve">602</w:t>
            </w:r>
          </w:p>
        </w:tc>
        <w:tc>
          <w:tcPr/>
          <w:p>
            <w:pPr>
              <w:pStyle w:val="Compact"/>
              <w:jc w:val="center"/>
            </w:pPr>
            <w:r>
              <w:t xml:space="preserve">0.861</w:t>
            </w:r>
          </w:p>
        </w:tc>
        <w:tc>
          <w:tcPr/>
          <w:p>
            <w:pPr>
              <w:pStyle w:val="Compact"/>
              <w:jc w:val="center"/>
            </w:pPr>
            <w:r>
              <w:t xml:space="preserve">0.862</w:t>
            </w:r>
          </w:p>
        </w:tc>
        <w:tc>
          <w:tcPr/>
          <w:p>
            <w:pPr>
              <w:pStyle w:val="Compact"/>
              <w:jc w:val="center"/>
            </w:pPr>
            <w:r>
              <w:t xml:space="preserve">0.845</w:t>
            </w:r>
          </w:p>
        </w:tc>
      </w:tr>
      <w:tr>
        <w:tc>
          <w:tcPr/>
          <w:p>
            <w:pPr>
              <w:pStyle w:val="Compact"/>
              <w:jc w:val="left"/>
            </w:pPr>
            <w:r>
              <w:t xml:space="preserve">8 (Decent Work)</w:t>
            </w:r>
          </w:p>
        </w:tc>
        <w:tc>
          <w:tcPr/>
          <w:p>
            <w:pPr>
              <w:pStyle w:val="Compact"/>
              <w:jc w:val="center"/>
            </w:pPr>
            <w:r>
              <w:t xml:space="preserve">398</w:t>
            </w:r>
          </w:p>
        </w:tc>
        <w:tc>
          <w:tcPr/>
          <w:p>
            <w:pPr>
              <w:pStyle w:val="Compact"/>
              <w:jc w:val="center"/>
            </w:pPr>
            <w:r>
              <w:t xml:space="preserve">0.716</w:t>
            </w:r>
          </w:p>
        </w:tc>
        <w:tc>
          <w:tcPr/>
          <w:p>
            <w:pPr>
              <w:pStyle w:val="Compact"/>
              <w:jc w:val="center"/>
            </w:pPr>
            <w:r>
              <w:t xml:space="preserve">0.718</w:t>
            </w:r>
          </w:p>
        </w:tc>
        <w:tc>
          <w:tcPr/>
          <w:p>
            <w:pPr>
              <w:pStyle w:val="Compact"/>
              <w:jc w:val="center"/>
            </w:pPr>
            <w:r>
              <w:t xml:space="preserve">0.631</w:t>
            </w:r>
          </w:p>
        </w:tc>
      </w:tr>
      <w:tr>
        <w:tc>
          <w:tcPr/>
          <w:p>
            <w:pPr>
              <w:pStyle w:val="Compact"/>
              <w:jc w:val="left"/>
            </w:pPr>
            <w:r>
              <w:t xml:space="preserve">9 (Innovation)</w:t>
            </w:r>
          </w:p>
        </w:tc>
        <w:tc>
          <w:tcPr/>
          <w:p>
            <w:pPr>
              <w:pStyle w:val="Compact"/>
              <w:jc w:val="center"/>
            </w:pPr>
            <w:r>
              <w:t xml:space="preserve">526</w:t>
            </w:r>
          </w:p>
        </w:tc>
        <w:tc>
          <w:tcPr/>
          <w:p>
            <w:pPr>
              <w:pStyle w:val="Compact"/>
              <w:jc w:val="center"/>
            </w:pPr>
            <w:r>
              <w:t xml:space="preserve">0.770</w:t>
            </w:r>
          </w:p>
        </w:tc>
        <w:tc>
          <w:tcPr/>
          <w:p>
            <w:pPr>
              <w:pStyle w:val="Compact"/>
              <w:jc w:val="center"/>
            </w:pPr>
            <w:r>
              <w:t xml:space="preserve">0.787</w:t>
            </w:r>
          </w:p>
        </w:tc>
        <w:tc>
          <w:tcPr/>
          <w:p>
            <w:pPr>
              <w:pStyle w:val="Compact"/>
              <w:jc w:val="center"/>
            </w:pPr>
            <w:r>
              <w:t xml:space="preserve">0.694</w:t>
            </w:r>
          </w:p>
        </w:tc>
      </w:tr>
      <w:tr>
        <w:tc>
          <w:tcPr/>
          <w:p>
            <w:pPr>
              <w:pStyle w:val="Compact"/>
              <w:jc w:val="left"/>
            </w:pPr>
            <w:r>
              <w:t xml:space="preserve">10 (Reduced Ineq.)</w:t>
            </w:r>
          </w:p>
        </w:tc>
        <w:tc>
          <w:tcPr/>
          <w:p>
            <w:pPr>
              <w:pStyle w:val="Compact"/>
              <w:jc w:val="center"/>
            </w:pPr>
            <w:r>
              <w:t xml:space="preserve">423</w:t>
            </w:r>
          </w:p>
        </w:tc>
        <w:tc>
          <w:tcPr/>
          <w:p>
            <w:pPr>
              <w:pStyle w:val="Compact"/>
              <w:jc w:val="center"/>
            </w:pPr>
            <w:r>
              <w:t xml:space="preserve">0.610</w:t>
            </w:r>
          </w:p>
        </w:tc>
        <w:tc>
          <w:tcPr/>
          <w:p>
            <w:pPr>
              <w:pStyle w:val="Compact"/>
              <w:jc w:val="center"/>
            </w:pPr>
            <w:r>
              <w:t xml:space="preserve">0.644</w:t>
            </w:r>
          </w:p>
        </w:tc>
        <w:tc>
          <w:tcPr/>
          <w:p>
            <w:pPr>
              <w:pStyle w:val="Compact"/>
              <w:jc w:val="center"/>
            </w:pPr>
            <w:r>
              <w:t xml:space="preserve">0.485</w:t>
            </w:r>
          </w:p>
        </w:tc>
      </w:tr>
      <w:tr>
        <w:tc>
          <w:tcPr/>
          <w:p>
            <w:pPr>
              <w:pStyle w:val="Compact"/>
              <w:jc w:val="left"/>
            </w:pPr>
            <w:r>
              <w:t xml:space="preserve">11 (Sust. Cities)</w:t>
            </w:r>
          </w:p>
        </w:tc>
        <w:tc>
          <w:tcPr/>
          <w:p>
            <w:pPr>
              <w:pStyle w:val="Compact"/>
              <w:jc w:val="center"/>
            </w:pPr>
            <w:r>
              <w:t xml:space="preserve">451</w:t>
            </w:r>
          </w:p>
        </w:tc>
        <w:tc>
          <w:tcPr/>
          <w:p>
            <w:pPr>
              <w:pStyle w:val="Compact"/>
              <w:jc w:val="center"/>
            </w:pPr>
            <w:r>
              <w:t xml:space="preserve">0.762</w:t>
            </w:r>
          </w:p>
        </w:tc>
        <w:tc>
          <w:tcPr/>
          <w:p>
            <w:pPr>
              <w:pStyle w:val="Compact"/>
              <w:jc w:val="center"/>
            </w:pPr>
            <w:r>
              <w:t xml:space="preserve">0.786</w:t>
            </w:r>
          </w:p>
        </w:tc>
        <w:tc>
          <w:tcPr/>
          <w:p>
            <w:pPr>
              <w:pStyle w:val="Compact"/>
              <w:jc w:val="center"/>
            </w:pPr>
            <w:r>
              <w:t xml:space="preserve">0.690</w:t>
            </w:r>
          </w:p>
        </w:tc>
      </w:tr>
      <w:tr>
        <w:tc>
          <w:tcPr/>
          <w:p>
            <w:pPr>
              <w:pStyle w:val="Compact"/>
              <w:jc w:val="left"/>
            </w:pPr>
            <w:r>
              <w:t xml:space="preserve">12 (Consumption)</w:t>
            </w:r>
          </w:p>
        </w:tc>
        <w:tc>
          <w:tcPr/>
          <w:p>
            <w:pPr>
              <w:pStyle w:val="Compact"/>
              <w:jc w:val="center"/>
            </w:pPr>
            <w:r>
              <w:t xml:space="preserve">330</w:t>
            </w:r>
          </w:p>
        </w:tc>
        <w:tc>
          <w:tcPr/>
          <w:p>
            <w:pPr>
              <w:pStyle w:val="Compact"/>
              <w:jc w:val="center"/>
            </w:pPr>
            <w:r>
              <w:t xml:space="preserve">0.783</w:t>
            </w:r>
          </w:p>
        </w:tc>
        <w:tc>
          <w:tcPr/>
          <w:p>
            <w:pPr>
              <w:pStyle w:val="Compact"/>
              <w:jc w:val="center"/>
            </w:pPr>
            <w:r>
              <w:t xml:space="preserve">0.775</w:t>
            </w:r>
          </w:p>
        </w:tc>
        <w:tc>
          <w:tcPr/>
          <w:p>
            <w:pPr>
              <w:pStyle w:val="Compact"/>
              <w:jc w:val="center"/>
            </w:pPr>
            <w:r>
              <w:t xml:space="preserve">0.720</w:t>
            </w:r>
          </w:p>
        </w:tc>
      </w:tr>
      <w:tr>
        <w:tc>
          <w:tcPr/>
          <w:p>
            <w:pPr>
              <w:pStyle w:val="Compact"/>
              <w:jc w:val="left"/>
            </w:pPr>
            <w:r>
              <w:t xml:space="preserve">13 (Climate)</w:t>
            </w:r>
          </w:p>
        </w:tc>
        <w:tc>
          <w:tcPr/>
          <w:p>
            <w:pPr>
              <w:pStyle w:val="Compact"/>
              <w:jc w:val="center"/>
            </w:pPr>
            <w:r>
              <w:t xml:space="preserve">564</w:t>
            </w:r>
          </w:p>
        </w:tc>
        <w:tc>
          <w:tcPr/>
          <w:p>
            <w:pPr>
              <w:pStyle w:val="Compact"/>
              <w:jc w:val="center"/>
            </w:pPr>
            <w:r>
              <w:t xml:space="preserve">0.831</w:t>
            </w:r>
          </w:p>
        </w:tc>
        <w:tc>
          <w:tcPr/>
          <w:p>
            <w:pPr>
              <w:pStyle w:val="Compact"/>
              <w:jc w:val="center"/>
            </w:pPr>
            <w:r>
              <w:t xml:space="preserve">0.845</w:t>
            </w:r>
          </w:p>
        </w:tc>
        <w:tc>
          <w:tcPr/>
          <w:p>
            <w:pPr>
              <w:pStyle w:val="Compact"/>
              <w:jc w:val="center"/>
            </w:pPr>
            <w:r>
              <w:t xml:space="preserve">0.778</w:t>
            </w:r>
          </w:p>
        </w:tc>
      </w:tr>
      <w:tr>
        <w:tc>
          <w:tcPr/>
          <w:p>
            <w:pPr>
              <w:pStyle w:val="Compact"/>
              <w:jc w:val="left"/>
            </w:pPr>
            <w:r>
              <w:t xml:space="preserve">14 (Life Below Water)</w:t>
            </w:r>
          </w:p>
        </w:tc>
        <w:tc>
          <w:tcPr/>
          <w:p>
            <w:pPr>
              <w:pStyle w:val="Compact"/>
              <w:jc w:val="center"/>
            </w:pPr>
            <w:r>
              <w:t xml:space="preserve">327</w:t>
            </w:r>
          </w:p>
        </w:tc>
        <w:tc>
          <w:tcPr/>
          <w:p>
            <w:pPr>
              <w:pStyle w:val="Compact"/>
              <w:jc w:val="center"/>
            </w:pPr>
            <w:r>
              <w:t xml:space="preserve">0.892</w:t>
            </w:r>
          </w:p>
        </w:tc>
        <w:tc>
          <w:tcPr/>
          <w:p>
            <w:pPr>
              <w:pStyle w:val="Compact"/>
              <w:jc w:val="center"/>
            </w:pPr>
            <w:r>
              <w:t xml:space="preserve">0.895</w:t>
            </w:r>
          </w:p>
        </w:tc>
        <w:tc>
          <w:tcPr/>
          <w:p>
            <w:pPr>
              <w:pStyle w:val="Compact"/>
              <w:jc w:val="center"/>
            </w:pPr>
            <w:r>
              <w:t xml:space="preserve">0.864</w:t>
            </w:r>
          </w:p>
        </w:tc>
      </w:tr>
      <w:tr>
        <w:tc>
          <w:tcPr/>
          <w:p>
            <w:pPr>
              <w:pStyle w:val="Compact"/>
              <w:jc w:val="left"/>
            </w:pPr>
            <w:r>
              <w:t xml:space="preserve">15 (Life on Land)</w:t>
            </w:r>
          </w:p>
        </w:tc>
        <w:tc>
          <w:tcPr/>
          <w:p>
            <w:pPr>
              <w:pStyle w:val="Compact"/>
              <w:jc w:val="center"/>
            </w:pPr>
            <w:r>
              <w:t xml:space="preserve">545</w:t>
            </w:r>
          </w:p>
        </w:tc>
        <w:tc>
          <w:tcPr/>
          <w:p>
            <w:pPr>
              <w:pStyle w:val="Compact"/>
              <w:jc w:val="center"/>
            </w:pPr>
            <w:r>
              <w:t xml:space="preserve">0.865</w:t>
            </w:r>
          </w:p>
        </w:tc>
        <w:tc>
          <w:tcPr/>
          <w:p>
            <w:pPr>
              <w:pStyle w:val="Compact"/>
              <w:jc w:val="center"/>
            </w:pPr>
            <w:r>
              <w:t xml:space="preserve">0.864</w:t>
            </w:r>
          </w:p>
        </w:tc>
        <w:tc>
          <w:tcPr/>
          <w:p>
            <w:pPr>
              <w:pStyle w:val="Compact"/>
              <w:jc w:val="center"/>
            </w:pPr>
            <w:r>
              <w:t xml:space="preserve">0.836</w:t>
            </w:r>
          </w:p>
        </w:tc>
      </w:tr>
      <w:tr>
        <w:tc>
          <w:tcPr/>
          <w:p>
            <w:pPr>
              <w:pStyle w:val="Compact"/>
              <w:jc w:val="left"/>
            </w:pPr>
            <w:r>
              <w:t xml:space="preserve">16 (Peace &amp; Justice)</w:t>
            </w:r>
          </w:p>
        </w:tc>
        <w:tc>
          <w:tcPr/>
          <w:p>
            <w:pPr>
              <w:pStyle w:val="Compact"/>
              <w:jc w:val="center"/>
            </w:pPr>
            <w:r>
              <w:t xml:space="preserve">798</w:t>
            </w:r>
          </w:p>
        </w:tc>
        <w:tc>
          <w:tcPr/>
          <w:p>
            <w:pPr>
              <w:pStyle w:val="Compact"/>
              <w:jc w:val="center"/>
            </w:pPr>
            <w:r>
              <w:t xml:space="preserve">0.879</w:t>
            </w:r>
          </w:p>
        </w:tc>
        <w:tc>
          <w:tcPr/>
          <w:p>
            <w:pPr>
              <w:pStyle w:val="Compact"/>
              <w:jc w:val="center"/>
            </w:pPr>
            <w:r>
              <w:t xml:space="preserve">0.896</w:t>
            </w:r>
          </w:p>
        </w:tc>
        <w:tc>
          <w:tcPr/>
          <w:p>
            <w:pPr>
              <w:pStyle w:val="Compact"/>
              <w:jc w:val="center"/>
            </w:pPr>
            <w:r>
              <w:t xml:space="preserve">0.806</w:t>
            </w:r>
          </w:p>
        </w:tc>
      </w:tr>
      <w:tr>
        <w:tc>
          <w:tcPr/>
          <w:p>
            <w:pPr>
              <w:pStyle w:val="Compact"/>
              <w:jc w:val="left"/>
            </w:pPr>
            <w:r>
              <w:t xml:space="preserve">17 (Partnerships)</w:t>
            </w:r>
          </w:p>
        </w:tc>
        <w:tc>
          <w:tcPr/>
          <w:p>
            <w:pPr>
              <w:pStyle w:val="Compact"/>
              <w:jc w:val="center"/>
            </w:pPr>
            <w:r>
              <w:t xml:space="preserve">535</w:t>
            </w:r>
          </w:p>
        </w:tc>
        <w:tc>
          <w:tcPr/>
          <w:p>
            <w:pPr>
              <w:pStyle w:val="Compact"/>
              <w:jc w:val="center"/>
            </w:pPr>
            <w:r>
              <w:t xml:space="preserve">0.788</w:t>
            </w:r>
          </w:p>
        </w:tc>
        <w:tc>
          <w:tcPr/>
          <w:p>
            <w:pPr>
              <w:pStyle w:val="Compact"/>
              <w:jc w:val="center"/>
            </w:pPr>
            <w:r>
              <w:t xml:space="preserve">0.814</w:t>
            </w:r>
          </w:p>
        </w:tc>
        <w:tc>
          <w:tcPr/>
          <w:p>
            <w:pPr>
              <w:pStyle w:val="Compact"/>
              <w:jc w:val="center"/>
            </w:pPr>
            <w:r>
              <w:t xml:space="preserve">0.671</w:t>
            </w:r>
          </w:p>
        </w:tc>
      </w:tr>
      <w:tr>
        <w:tc>
          <w:tcPr/>
          <w:p>
            <w:pPr>
              <w:pStyle w:val="Compact"/>
              <w:jc w:val="left"/>
            </w:pPr>
            <w:r>
              <w:t xml:space="preserve">Macro-F1 (SDGs 1–17)</w:t>
            </w:r>
          </w:p>
        </w:tc>
        <w:tc>
          <w:tcPr/>
          <w:p>
            <w:pPr>
              <w:pStyle w:val="Compact"/>
              <w:jc w:val="center"/>
            </w:pPr>
            <w:r>
              <w:t xml:space="preserve">–</w:t>
            </w:r>
          </w:p>
        </w:tc>
        <w:tc>
          <w:tcPr/>
          <w:p>
            <w:pPr>
              <w:pStyle w:val="Compact"/>
              <w:jc w:val="center"/>
            </w:pPr>
            <w:r>
              <w:t xml:space="preserve">0.816</w:t>
            </w:r>
          </w:p>
        </w:tc>
        <w:tc>
          <w:tcPr/>
          <w:p>
            <w:pPr>
              <w:pStyle w:val="Compact"/>
              <w:jc w:val="center"/>
            </w:pPr>
            <w:r>
              <w:t xml:space="preserve">0.826</w:t>
            </w:r>
          </w:p>
        </w:tc>
        <w:tc>
          <w:tcPr/>
          <w:p>
            <w:pPr>
              <w:pStyle w:val="Compact"/>
              <w:jc w:val="center"/>
            </w:pPr>
            <w:r>
              <w:t xml:space="preserve">0.760</w:t>
            </w:r>
          </w:p>
        </w:tc>
      </w:tr>
      <w:tr>
        <w:tc>
          <w:tcPr/>
          <w:p>
            <w:pPr>
              <w:pStyle w:val="Compact"/>
              <w:jc w:val="left"/>
            </w:pPr>
            <w:r>
              <w:t xml:space="preserve">Micro-F1 (SDGs 1–17)</w:t>
            </w:r>
          </w:p>
        </w:tc>
        <w:tc>
          <w:tcPr/>
          <w:p>
            <w:pPr>
              <w:pStyle w:val="Compact"/>
              <w:jc w:val="center"/>
            </w:pPr>
            <w:r>
              <w:t xml:space="preserve">–</w:t>
            </w:r>
          </w:p>
        </w:tc>
        <w:tc>
          <w:tcPr/>
          <w:p>
            <w:pPr>
              <w:pStyle w:val="Compact"/>
              <w:jc w:val="center"/>
            </w:pPr>
            <w:r>
              <w:t xml:space="preserve">0.831</w:t>
            </w:r>
          </w:p>
        </w:tc>
        <w:tc>
          <w:tcPr/>
          <w:p>
            <w:pPr>
              <w:pStyle w:val="Compact"/>
              <w:jc w:val="center"/>
            </w:pPr>
            <w:r>
              <w:t xml:space="preserve">0.840</w:t>
            </w:r>
          </w:p>
        </w:tc>
        <w:tc>
          <w:tcPr/>
          <w:p>
            <w:pPr>
              <w:pStyle w:val="Compact"/>
              <w:jc w:val="center"/>
            </w:pPr>
            <w:r>
              <w:t xml:space="preserve">0.774</w:t>
            </w:r>
          </w:p>
        </w:tc>
      </w:tr>
    </w:tbl>
    <w:bookmarkEnd w:id="48"/>
    <w:p>
      <w:pPr>
        <w:pStyle w:val="BodyText"/>
      </w:pPr>
      <w:r>
        <w:rPr>
          <w:iCs/>
          <w:i/>
        </w:rPr>
        <w:t xml:space="preserve">Notes:</w:t>
      </w:r>
      <w:r>
        <w:t xml:space="preserve"> </w:t>
      </w:r>
      <w:r>
        <w:t xml:space="preserve">All three methods are evaluated on the same held-out pooled test set (all reference sources, document-grouped). The n (test) column reports the per-SDG gold-label count in the test split (single-label, summing to n=9</w:t>
      </w:r>
      <w:r>
        <w:t xml:space="preserve">,</w:t>
      </w:r>
      <w:r>
        <w:t xml:space="preserve">338), identical for every classifier. LR (C=3.0, L2) is the chosen classifier; MLP (3-layer/256-hidden) and zero-shot (raw nearest-centroid on SDG centroids) F1s are shown for comparison, with commentary deferred to Appendix </w:t>
      </w:r>
      <w:hyperlink w:anchor="app:model-selection">
        <w:r>
          <w:rPr>
            <w:rStyle w:val="Hyperlink"/>
          </w:rPr>
          <w:t xml:space="preserve">12</w:t>
        </w:r>
      </w:hyperlink>
      <w:r>
        <w:t xml:space="preserve">.</w:t>
      </w:r>
    </w:p>
    <w:p>
      <w:pPr>
        <w:pStyle w:val="BodyText"/>
      </w:pPr>
      <w:r>
        <w:t xml:space="preserve">Per-class F1 ranges from 0.610 (SDG 10) to 0.903 (SDG 3); most goals score between 0.76 and 0.89. The weakest classes (SDGs 10 and 8) are consistent with their semantic breadth suggested by</w:t>
      </w:r>
      <w:r>
        <w:t xml:space="preserve"> </w:t>
      </w:r>
      <w:r>
        <w:t xml:space="preserve">Kashnitsky et al. (2024)</w:t>
      </w:r>
      <w:r>
        <w:t xml:space="preserve"> </w:t>
      </w:r>
      <w:r>
        <w:t xml:space="preserve">(Appendix </w:t>
      </w:r>
      <w:hyperlink w:anchor="app:centroid-similarity">
        <w:r>
          <w:rPr>
            <w:rStyle w:val="Hyperlink"/>
          </w:rPr>
          <w:t xml:space="preserve">8.2</w:t>
        </w:r>
      </w:hyperlink>
      <w:r>
        <w:t xml:space="preserve">, Figure </w:t>
      </w:r>
      <w:hyperlink w:anchor="fig:centroid-similarity-matrix">
        <w:r>
          <w:rPr>
            <w:rStyle w:val="Hyperlink"/>
          </w:rPr>
          <w:t xml:space="preserve">7</w:t>
        </w:r>
      </w:hyperlink>
      <w:r>
        <w:t xml:space="preserve">).</w:t>
      </w:r>
    </w:p>
    <w:p>
      <w:pPr>
        <w:pStyle w:val="BodyText"/>
      </w:pPr>
      <w:r>
        <w:t xml:space="preserve">Despite OSDG (49% of training data) having zero SDG 17 examples (Section </w:t>
      </w:r>
      <w:hyperlink w:anchor="sec:supervised-classifier">
        <w:r>
          <w:rPr>
            <w:rStyle w:val="Hyperlink"/>
          </w:rPr>
          <w:t xml:space="preserve">3.5</w:t>
        </w:r>
      </w:hyperlink>
      <w:r>
        <w:t xml:space="preserve">), performance does not degrade (Table </w:t>
      </w:r>
      <w:hyperlink w:anchor="tab:validation">
        <w:r>
          <w:rPr>
            <w:rStyle w:val="Hyperlink"/>
          </w:rPr>
          <w:t xml:space="preserve">3</w:t>
        </w:r>
      </w:hyperlink>
      <w:r>
        <w:t xml:space="preserve">, Appendix </w:t>
      </w:r>
      <w:hyperlink w:anchor="app:centroid-similarity">
        <w:r>
          <w:rPr>
            <w:rStyle w:val="Hyperlink"/>
          </w:rPr>
          <w:t xml:space="preserve">8.2</w:t>
        </w:r>
      </w:hyperlink>
      <w:r>
        <w:t xml:space="preserve">), which suggests the other four sources (SDGi, Aurora, SDGCB, SDGKH) carry enough SDG 17 signal to compensate.</w:t>
      </w:r>
    </w:p>
    <w:p>
      <w:pPr>
        <w:pStyle w:val="BodyText"/>
      </w:pPr>
      <w:r>
        <w:t xml:space="preserve">MLP and nearest-centroid F1s are also reported here but comments are deferred to Appendix </w:t>
      </w:r>
      <w:hyperlink w:anchor="app:model-selection">
        <w:r>
          <w:rPr>
            <w:rStyle w:val="Hyperlink"/>
          </w:rPr>
          <w:t xml:space="preserve">12</w:t>
        </w:r>
      </w:hyperlink>
      <w:r>
        <w:t xml:space="preserve">. A linear decision boundary suffices here: nearest-centroid assignment underfits it, while the MLP adds capacity without meaningful accuracy gain.</w:t>
      </w:r>
    </w:p>
    <w:bookmarkEnd w:id="49"/>
    <w:bookmarkStart w:id="53" w:name="sec:coverage-gap"/>
    <w:p>
      <w:pPr>
        <w:pStyle w:val="Heading2"/>
      </w:pPr>
      <w:r>
        <w:t xml:space="preserve">Coverage and Coverage Gap</w:t>
      </w:r>
    </w:p>
    <w:p>
      <w:pPr>
        <w:pStyle w:val="FirstParagraph"/>
      </w:pPr>
      <w:r>
        <w:t xml:space="preserve">Figure </w:t>
      </w:r>
      <w:hyperlink w:anchor="fig:coverage_profiles">
        <w:r>
          <w:rPr>
            <w:rStyle w:val="Hyperlink"/>
          </w:rPr>
          <w:t xml:space="preserve">3</w:t>
        </w:r>
      </w:hyperlink>
      <w:r>
        <w:t xml:space="preserve"> </w:t>
      </w:r>
      <w:r>
        <w:t xml:space="preserve">presents the document-weighted policy coverage profile alongside the research coverage profile.</w:t>
      </w:r>
    </w:p>
    <w:p>
      <w:pPr>
        <w:pStyle w:val="CaptionedFigure"/>
      </w:pPr>
      <w:r>
        <w:drawing>
          <wp:inline>
            <wp:extent cx="5334000" cy="3746500"/>
            <wp:effectExtent b="0" l="0" r="0" t="0"/>
            <wp:docPr descr="" title="" id="51" name="Picture"/>
            <a:graphic>
              <a:graphicData uri="http://schemas.openxmlformats.org/drawingml/2006/picture">
                <pic:pic>
                  <pic:nvPicPr>
                    <pic:cNvPr descr="fig2_coverage_profiles.png" id="52" name="Picture"/>
                    <pic:cNvPicPr>
                      <a:picLocks noChangeArrowheads="1" noChangeAspect="1"/>
                    </pic:cNvPicPr>
                  </pic:nvPicPr>
                  <pic:blipFill>
                    <a:blip r:embed="rId50"/>
                    <a:stretch>
                      <a:fillRect/>
                    </a:stretch>
                  </pic:blipFill>
                  <pic:spPr bwMode="auto">
                    <a:xfrm>
                      <a:off x="0" y="0"/>
                      <a:ext cx="5334000" cy="3746500"/>
                    </a:xfrm>
                    <a:prstGeom prst="rect">
                      <a:avLst/>
                    </a:prstGeom>
                    <a:noFill/>
                    <a:ln w="9525">
                      <a:noFill/>
                      <a:headEnd/>
                      <a:tailEnd/>
                    </a:ln>
                  </pic:spPr>
                </pic:pic>
              </a:graphicData>
            </a:graphic>
          </wp:inline>
        </w:drawing>
      </w:r>
    </w:p>
    <w:p>
      <w:pPr>
        <w:pStyle w:val="ImageCaption"/>
      </w:pPr>
      <w:r>
        <w:t xml:space="preserve">Coverage profiles by SDG.</w:t>
      </w:r>
    </w:p>
    <w:p>
      <w:pPr>
        <w:pStyle w:val="BodyText"/>
      </w:pPr>
      <w:r>
        <w:rPr>
          <w:bCs/>
          <w:b/>
        </w:rPr>
        <w:t xml:space="preserve">Policy corpus:</w:t>
      </w:r>
      <w:r>
        <w:t xml:space="preserve"> </w:t>
      </w:r>
      <w:r>
        <w:t xml:space="preserve">Three SDGs dominate the document-weighted profile of the full policy corpus: SDG 16 (Peace, Justice and Strong Institutions, 17.3%), SDG 17 (Partnerships for the Goals, 11.7%), and SDG 13 (Climate Action, 11.3%), accounting for 40.3% of policy documents. This ordering is consistent with the literature review’s account of SDG 17 as the cross-cutting means-of-implementation goal (Section </w:t>
      </w:r>
      <w:hyperlink w:anchor="sec:litreview">
        <w:r>
          <w:rPr>
            <w:rStyle w:val="Hyperlink"/>
          </w:rPr>
          <w:t xml:space="preserve">2</w:t>
        </w:r>
      </w:hyperlink>
      <w:r>
        <w:t xml:space="preserve">)</w:t>
      </w:r>
      <w:r>
        <w:t xml:space="preserve"> </w:t>
      </w:r>
      <w:r>
        <w:t xml:space="preserve">(Le Blanc, 2015; Griggs et al., 2017)</w:t>
      </w:r>
      <w:r>
        <w:t xml:space="preserve">. However, Appendix </w:t>
      </w:r>
      <w:hyperlink w:anchor="app:policy-source-data">
        <w:r>
          <w:rPr>
            <w:rStyle w:val="Hyperlink"/>
          </w:rPr>
          <w:t xml:space="preserve">14.7</w:t>
        </w:r>
      </w:hyperlink>
      <w:r>
        <w:t xml:space="preserve"> </w:t>
      </w:r>
      <w:r>
        <w:t xml:space="preserve">shows this full-corpus profile is source-family sensitive: the curated AI/SDG sub-corpus is much more innovation-heavy, the UNGDC family is more climate-, partnerships-, and governance-oriented, and the SDGi family is comparatively even, with SDG 11-style institutional review language at its top.</w:t>
      </w:r>
    </w:p>
    <w:p>
      <w:pPr>
        <w:pStyle w:val="BodyText"/>
      </w:pPr>
      <w:r>
        <w:rPr>
          <w:bCs/>
          <w:b/>
        </w:rPr>
        <w:t xml:space="preserve">Research corpus:</w:t>
      </w:r>
      <w:r>
        <w:t xml:space="preserve"> </w:t>
      </w:r>
      <w:r>
        <w:t xml:space="preserve">The largest research shares are SDG 3 (Good Health, 25.7%), SDG 9 (Innovation, 20.1%), and SDG 4 (Quality Education, 15.6%), followed by SDG 16 and SDG 11 at 11.2% and 5.1% respectively. SDG 7 (Affordable and Clean Energy), co-dominant in several prior inventories, ranks sixth here (4.1%) rather than in the leading tier. The SDG 3 lead corroborates the literature review, where it is the one goal every major AI and sustainability bibliometric study finds dominant (Section </w:t>
      </w:r>
      <w:hyperlink w:anchor="sec:prev-biblio">
        <w:r>
          <w:rPr>
            <w:rStyle w:val="Hyperlink"/>
          </w:rPr>
          <w:t xml:space="preserve">2.1</w:t>
        </w:r>
      </w:hyperlink>
      <w:r>
        <w:t xml:space="preserve">). The leading coverage of SDGs 4, 11, and 16 also align largely with previous literature (Section </w:t>
      </w:r>
      <w:hyperlink w:anchor="sec:prev-biblio">
        <w:r>
          <w:rPr>
            <w:rStyle w:val="Hyperlink"/>
          </w:rPr>
          <w:t xml:space="preserve">2.1</w:t>
        </w:r>
      </w:hyperlink>
      <w:r>
        <w:t xml:space="preserve">). However, SDG 4 is likely inflated by the corpus retrieval strategy (Section </w:t>
      </w:r>
      <w:hyperlink w:anchor="sec:research-corpus">
        <w:r>
          <w:rPr>
            <w:rStyle w:val="Hyperlink"/>
          </w:rPr>
          <w:t xml:space="preserve">3.3</w:t>
        </w:r>
      </w:hyperlink>
      <w:r>
        <w:t xml:space="preserve">) and SDG 9’s lead is likely inflated by this study focusing on AI-related papers. Also, the research-side near-absence of SDG 17 (0.3%) and SDG 1 (0.4%) matches</w:t>
      </w:r>
      <w:r>
        <w:t xml:space="preserve"> </w:t>
      </w:r>
      <w:r>
        <w:t xml:space="preserve">Gohr et al. (2025)</w:t>
      </w:r>
      <w:r>
        <w:t xml:space="preserve">’s finding that SDG 1, SDG 5, and SDG 17 are severely underrepresented in the AI–SDG literature.</w:t>
      </w:r>
    </w:p>
    <w:p>
      <w:pPr>
        <w:pStyle w:val="BodyText"/>
      </w:pPr>
      <w:r>
        <w:rPr>
          <w:bCs/>
          <w:b/>
        </w:rPr>
        <w:t xml:space="preserve">Largest coverage mismatches:</w:t>
      </w:r>
      <w:r>
        <w:t xml:space="preserve"> </w:t>
      </w:r>
      <w:r>
        <w:t xml:space="preserve">The five largest absolute coverage gaps are SDG 3 (21.0), SDG 9 (15.8), SDG 17 (11.4), SDG 4 (10.8), and SDG 13 (7.6). The largest single-goal imbalance is SDG 3 (research 25.7% vs. policy 4.7%): research concentrates on technically tractable health applications while policy underweights the goal. The most extreme policy-over-research imbalances are SDG 17 (policy 11.7% vs. research 0.3%) and SDG 13 (11.3% vs. 3.7%): policy frames partnerships and climate as cross-cutting coordination challenges, while research, specifically AI research, engages them far less. SDG 16 is policy’s top theme (17.3%) but research does engage it (11.2%, fourth-highest research share), so it is not a</w:t>
      </w:r>
      <w:r>
        <w:t xml:space="preserve"> </w:t>
      </w:r>
      <w:r>
        <w:t xml:space="preserve">“</w:t>
      </w:r>
      <w:r>
        <w:t xml:space="preserve">barely-touches</w:t>
      </w:r>
      <w:r>
        <w:t xml:space="preserve">”</w:t>
      </w:r>
      <w:r>
        <w:t xml:space="preserve"> </w:t>
      </w:r>
      <w:r>
        <w:t xml:space="preserve">case.</w:t>
      </w:r>
    </w:p>
    <w:bookmarkEnd w:id="53"/>
    <w:bookmarkStart w:id="61" w:name="sec:semantic-gap"/>
    <w:p>
      <w:pPr>
        <w:pStyle w:val="Heading2"/>
      </w:pPr>
      <w:r>
        <w:t xml:space="preserve">Register Adjustment and Semantic Gap</w:t>
      </w:r>
    </w:p>
    <w:p>
      <w:pPr>
        <w:pStyle w:val="FirstParagraph"/>
      </w:pPr>
      <w:r>
        <w:t xml:space="preserve">Register adjustment converges after 62 iterations for the MPNet embedding space. Detailed data on the iterations until convergence, also for MiniLM and SciBERT spaces, is reported in Appendix </w:t>
      </w:r>
      <w:hyperlink w:anchor="app:register-robustness">
        <w:r>
          <w:rPr>
            <w:rStyle w:val="Hyperlink"/>
          </w:rPr>
          <w:t xml:space="preserve">13.1</w:t>
        </w:r>
      </w:hyperlink>
      <w:r>
        <w:t xml:space="preserve">. Figure </w:t>
      </w:r>
      <w:hyperlink w:anchor="fig:pca-register-before-after">
        <w:r>
          <w:rPr>
            <w:rStyle w:val="Hyperlink"/>
          </w:rPr>
          <w:t xml:space="preserve">4</w:t>
        </w:r>
      </w:hyperlink>
      <w:r>
        <w:t xml:space="preserve"> </w:t>
      </w:r>
      <w:r>
        <w:t xml:space="preserve">shows the combined embedding space and the geometric effect of INLP register adjustment: the raw space separates research and policy clouds, while the adjusted space shows no major separation between them. Although the PCA projection is coarse, the adjusted space removes the research–policy separation while leaving SDG separability intact (Appendix </w:t>
      </w:r>
      <w:hyperlink w:anchor="app:register-validation">
        <w:r>
          <w:rPr>
            <w:rStyle w:val="Hyperlink"/>
          </w:rPr>
          <w:t xml:space="preserve">13.2</w:t>
        </w:r>
      </w:hyperlink>
      <w:r>
        <w:t xml:space="preserve">).</w:t>
      </w:r>
    </w:p>
    <w:p>
      <w:pPr>
        <w:pStyle w:val="CaptionedFigure"/>
      </w:pPr>
      <w:r>
        <w:drawing>
          <wp:inline>
            <wp:extent cx="5334000" cy="2078447"/>
            <wp:effectExtent b="0" l="0" r="0" t="0"/>
            <wp:docPr descr="" title="" id="55" name="Picture"/>
            <a:graphic>
              <a:graphicData uri="http://schemas.openxmlformats.org/drawingml/2006/picture">
                <pic:pic>
                  <pic:nvPicPr>
                    <pic:cNvPr descr="fig3_pca_register_before_after.png" id="56" name="Picture"/>
                    <pic:cNvPicPr>
                      <a:picLocks noChangeArrowheads="1" noChangeAspect="1"/>
                    </pic:cNvPicPr>
                  </pic:nvPicPr>
                  <pic:blipFill>
                    <a:blip r:embed="rId54"/>
                    <a:stretch>
                      <a:fillRect/>
                    </a:stretch>
                  </pic:blipFill>
                  <pic:spPr bwMode="auto">
                    <a:xfrm>
                      <a:off x="0" y="0"/>
                      <a:ext cx="5334000" cy="2078447"/>
                    </a:xfrm>
                    <a:prstGeom prst="rect">
                      <a:avLst/>
                    </a:prstGeom>
                    <a:noFill/>
                    <a:ln w="9525">
                      <a:noFill/>
                      <a:headEnd/>
                      <a:tailEnd/>
                    </a:ln>
                  </pic:spPr>
                </pic:pic>
              </a:graphicData>
            </a:graphic>
          </wp:inline>
        </w:drawing>
      </w:r>
    </w:p>
    <w:p>
      <w:pPr>
        <w:pStyle w:val="ImageCaption"/>
      </w:pPr>
      <w:r>
        <w:t xml:space="preserve">PCA before/after INLP register removal (MPNet).</w:t>
      </w:r>
    </w:p>
    <w:p>
      <w:pPr>
        <w:pStyle w:val="BodyText"/>
      </w:pPr>
      <w:r>
        <w:t xml:space="preserve">Figure </w:t>
      </w:r>
      <w:hyperlink w:anchor="fig:semantic_gap">
        <w:r>
          <w:rPr>
            <w:rStyle w:val="Hyperlink"/>
          </w:rPr>
          <w:t xml:space="preserve">5</w:t>
        </w:r>
      </w:hyperlink>
      <w:r>
        <w:t xml:space="preserve"> </w:t>
      </w:r>
      <w:r>
        <w:t xml:space="preserve">shows the within-SDG semantic gap for all 17 SDGs, sorted by the adjusted (topic) gap after register removal. The adjusted gap ranges from 0.326 (SDG 17, widest) to 0.084 (SDG 15, narrowest), a span of 0.241 cosine units. The raw gap (naive baseline) ranges from 0.494 (SDG 3, widest) to 0.177 (SDG 17, narrowest), a span of 0.317. The adjusted ranking is stable when the segment cap is 20 per document or removed (Table </w:t>
      </w:r>
      <w:hyperlink w:anchor="tab:cross-sensitivity-robustness">
        <w:r>
          <w:rPr>
            <w:rStyle w:val="Hyperlink"/>
          </w:rPr>
          <w:t xml:space="preserve">20</w:t>
        </w:r>
      </w:hyperlink>
      <w:r>
        <w:t xml:space="preserve">), so the result does not depend on the sampling parameter. A second sampling concern is corpus asymmetry: research (2</w:t>
      </w:r>
      <w:r>
        <w:t xml:space="preserve">,</w:t>
      </w:r>
      <w:r>
        <w:t xml:space="preserve">536</w:t>
      </w:r>
      <w:r>
        <w:t xml:space="preserve">,</w:t>
      </w:r>
      <w:r>
        <w:t xml:space="preserve">771 abstracts) outweighs policy (6</w:t>
      </w:r>
      <w:r>
        <w:t xml:space="preserve">,</w:t>
      </w:r>
      <w:r>
        <w:t xml:space="preserve">367 documents) by roughly 398:1 in document units. This study therefore re-derived the ranking on smaller random research draws: across independent 10</w:t>
      </w:r>
      <w:r>
        <w:t xml:space="preserve">,</w:t>
      </w:r>
      <w:r>
        <w:t xml:space="preserve">000-paper draws, roughly matching the 6</w:t>
      </w:r>
      <w:r>
        <w:t xml:space="preserve">,</w:t>
      </w:r>
      <w:r>
        <w:t xml:space="preserve">367 policy documents, it reproduces the ordering at Spearman</w:t>
      </w:r>
      <w:r>
        <w:t xml:space="preserve"> </w:t>
      </w:r>
      <m:oMath>
        <m:r>
          <m:t>ρ</m:t>
        </m:r>
        <m:r>
          <m:rPr>
            <m:sty m:val="p"/>
          </m:rPr>
          <m:t>=</m:t>
        </m:r>
        <m:r>
          <m:t>0.936</m:t>
        </m:r>
        <m:r>
          <m:t>​</m:t>
        </m:r>
      </m:oMath>
      <w:r>
        <w:t xml:space="preserve">, and 100 independent 50</w:t>
      </w:r>
      <w:r>
        <w:t xml:space="preserve">,</w:t>
      </w:r>
      <w:r>
        <w:t xml:space="preserve">000-paper draws reach</w:t>
      </w:r>
      <w:r>
        <w:t xml:space="preserve"> </w:t>
      </w:r>
      <m:oMath>
        <m:r>
          <m:t>ρ</m:t>
        </m:r>
        <m:r>
          <m:rPr>
            <m:sty m:val="p"/>
          </m:rPr>
          <m:t>=</m:t>
        </m:r>
        <m:r>
          <m:t>0.986</m:t>
        </m:r>
        <m:r>
          <m:t>​</m:t>
        </m:r>
      </m:oMath>
      <w:r>
        <w:t xml:space="preserve"> </w:t>
      </w:r>
      <w:r>
        <w:t xml:space="preserve">(SD 0.009); the research-side over-representation does not drive which SDGs show large versus small gaps (Appendix </w:t>
      </w:r>
      <w:hyperlink w:anchor="app:sample-stability">
        <w:r>
          <w:rPr>
            <w:rStyle w:val="Hyperlink"/>
          </w:rPr>
          <w:t xml:space="preserve">11</w:t>
        </w:r>
      </w:hyperlink>
      <w:r>
        <w:t xml:space="preserve">).</w:t>
      </w:r>
    </w:p>
    <w:p>
      <w:pPr>
        <w:pStyle w:val="CaptionedFigure"/>
      </w:pPr>
      <w:r>
        <w:drawing>
          <wp:inline>
            <wp:extent cx="4533900" cy="3548269"/>
            <wp:effectExtent b="0" l="0" r="0" t="0"/>
            <wp:docPr descr="" title="" id="58" name="Picture"/>
            <a:graphic>
              <a:graphicData uri="http://schemas.openxmlformats.org/drawingml/2006/picture">
                <pic:pic>
                  <pic:nvPicPr>
                    <pic:cNvPr descr="fig4_semantic_gap.png" id="59" name="Picture"/>
                    <pic:cNvPicPr>
                      <a:picLocks noChangeArrowheads="1" noChangeAspect="1"/>
                    </pic:cNvPicPr>
                  </pic:nvPicPr>
                  <pic:blipFill>
                    <a:blip r:embed="rId57"/>
                    <a:stretch>
                      <a:fillRect/>
                    </a:stretch>
                  </pic:blipFill>
                  <pic:spPr bwMode="auto">
                    <a:xfrm>
                      <a:off x="0" y="0"/>
                      <a:ext cx="4533900" cy="3548269"/>
                    </a:xfrm>
                    <a:prstGeom prst="rect">
                      <a:avLst/>
                    </a:prstGeom>
                    <a:noFill/>
                    <a:ln w="9525">
                      <a:noFill/>
                      <a:headEnd/>
                      <a:tailEnd/>
                    </a:ln>
                  </pic:spPr>
                </pic:pic>
              </a:graphicData>
            </a:graphic>
          </wp:inline>
        </w:drawing>
      </w:r>
    </w:p>
    <w:p>
      <w:pPr>
        <w:pStyle w:val="ImageCaption"/>
      </w:pPr>
      <w:r>
        <w:t xml:space="preserve">Within-SDG semantic gap by SDG, sorted by the adjusted (topic) gap after register removal.</w:t>
      </w:r>
    </w:p>
    <w:p>
      <w:pPr>
        <w:pStyle w:val="BodyText"/>
      </w:pPr>
      <w:r>
        <w:rPr>
          <w:bCs/>
          <w:b/>
        </w:rPr>
        <w:t xml:space="preserve">Largest semantic gaps (adjusted):</w:t>
      </w:r>
      <w:r>
        <w:t xml:space="preserve"> </w:t>
      </w:r>
      <w:r>
        <w:t xml:space="preserve">SDGs 17, 3, 16, 9, and 13 show the widest adjusted gaps. Under the raw gap, the ordering shifts: SDG 3 (0.494) leads. Register inflates the raw gap for 16 of the 17 SDGs; SDG 17 is the exception, where register increases apparent similarity.</w:t>
      </w:r>
    </w:p>
    <w:p>
      <w:pPr>
        <w:pStyle w:val="BodyText"/>
      </w:pPr>
      <w:r>
        <w:rPr>
          <w:bCs/>
          <w:b/>
        </w:rPr>
        <w:t xml:space="preserve">Smallest semantic gaps (adjusted):</w:t>
      </w:r>
      <w:r>
        <w:t xml:space="preserve"> </w:t>
      </w:r>
      <w:r>
        <w:t xml:space="preserve">SDG 15 (Life on Land, 0.084), SDG 2 (Zero Hunger, 0.089), SDG 6 (Clean Water, 0.130), SDG 14 (Life Below Water, 0.132), and SDG 5 (Gender Equality, 0.151) show the narrowest adjusted gaps. A narrow gap does not mean balanced attention: SDG 9 is still research-dominant, and SDG 4 carries the learning-vocabulary concern (Appendix </w:t>
      </w:r>
      <w:hyperlink w:anchor="app:sdg4-lexical-audit">
        <w:r>
          <w:rPr>
            <w:rStyle w:val="Hyperlink"/>
          </w:rPr>
          <w:t xml:space="preserve">8.1</w:t>
        </w:r>
      </w:hyperlink>
      <w:r>
        <w:t xml:space="preserve">). Appendix </w:t>
      </w:r>
      <w:hyperlink w:anchor="app:semantic-gap-text-interpretability">
        <w:r>
          <w:rPr>
            <w:rStyle w:val="Hyperlink"/>
          </w:rPr>
          <w:t xml:space="preserve">9</w:t>
        </w:r>
      </w:hyperlink>
      <w:r>
        <w:t xml:space="preserve"> </w:t>
      </w:r>
      <w:r>
        <w:t xml:space="preserve">lists the most distinctive research- and policy-side terms for each SDG.</w:t>
      </w:r>
    </w:p>
    <w:p>
      <w:pPr>
        <w:pStyle w:val="BodyText"/>
      </w:pPr>
      <w:r>
        <w:t xml:space="preserve">Table </w:t>
      </w:r>
      <w:hyperlink w:anchor="tab:register-decomposition">
        <w:r>
          <w:rPr>
            <w:rStyle w:val="Hyperlink"/>
          </w:rPr>
          <w:t xml:space="preserve">4</w:t>
        </w:r>
      </w:hyperlink>
      <w:r>
        <w:t xml:space="preserve"> </w:t>
      </w:r>
      <w:r>
        <w:t xml:space="preserve">consolidates the per-SDG inputs that the interaction tests below draw on. It reports two families of values: the</w:t>
      </w:r>
      <w:r>
        <w:t xml:space="preserve"> </w:t>
      </w:r>
      <w:r>
        <w:rPr>
          <w:iCs/>
          <w:i/>
        </w:rPr>
        <w:t xml:space="preserve">semantic-gap</w:t>
      </w:r>
      <w:r>
        <w:t xml:space="preserve"> </w:t>
      </w:r>
      <w:r>
        <w:t xml:space="preserve">family (raw, adjusted, and register component;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and the</w:t>
      </w:r>
      <w:r>
        <w:t xml:space="preserve"> </w:t>
      </w:r>
      <w:r>
        <w:rPr>
          <w:iCs/>
          <w:i/>
        </w:rPr>
        <w:t xml:space="preserve">coverage-predictor</w:t>
      </w:r>
      <w:r>
        <w:t xml:space="preserve"> </w:t>
      </w:r>
      <w:r>
        <w:t xml:space="preserve">family (absolute coverage gap, signed dominance, research share, and policy share; Fig. </w:t>
      </w:r>
      <w:hyperlink w:anchor="fig:coverage_profiles">
        <w:r>
          <w:rPr>
            <w:rStyle w:val="Hyperlink"/>
          </w:rPr>
          <w:t xml:space="preserve">3</w:t>
        </w:r>
      </w:hyperlink>
      <w:r>
        <w:t xml:space="preserve">). Signed dominance is research share minus policy share (percentage points); absolute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the register component is raw minus adjusted gap. Reading this table first lets the rank correlations in Section </w:t>
      </w:r>
      <w:hyperlink w:anchor="sec:interaction">
        <w:r>
          <w:rPr>
            <w:rStyle w:val="Hyperlink"/>
          </w:rPr>
          <w:t xml:space="preserve">4.4</w:t>
        </w:r>
      </w:hyperlink>
      <w:r>
        <w:t xml:space="preserve"> </w:t>
      </w:r>
      <w:r>
        <w:t xml:space="preserve">be traced back to concrete per-SDG numbers.</w:t>
      </w:r>
    </w:p>
    <w:bookmarkStart w:id="60" w:name="tab:register-decomposition"/>
    <w:p>
      <w:pPr>
        <w:pStyle w:val="TableCaption"/>
      </w:pPr>
      <w:r>
        <w:t xml:space="preserve">Reference values for the semantic-gap and coverage-predictor families (per SDG).</w:t>
      </w:r>
    </w:p>
    <w:tbl>
      <w:tblPr>
        <w:tblStyle w:val="Table"/>
        <w:tblW w:type="auto" w:w="0"/>
        <w:tblLook w:firstRow="1" w:lastRow="0" w:firstColumn="0" w:lastColumn="0" w:noHBand="0" w:noVBand="0" w:val="0020"/>
        <w:jc w:val="start"/>
        <w:tblCaption w:val="Reference values for the semantic-gap and coverage-predictor families (per SDG)."/>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0.415</w:t>
            </w:r>
          </w:p>
        </w:tc>
        <w:tc>
          <w:tcPr/>
          <w:p>
            <w:pPr>
              <w:pStyle w:val="Compact"/>
              <w:jc w:val="right"/>
            </w:pPr>
            <w:r>
              <w:t xml:space="preserve">0.191</w:t>
            </w:r>
          </w:p>
        </w:tc>
        <w:tc>
          <w:tcPr/>
          <w:p>
            <w:pPr>
              <w:pStyle w:val="Compact"/>
              <w:jc w:val="right"/>
            </w:pPr>
            <w:r>
              <w:t xml:space="preserve">+0.224</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0.4</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0.299</w:t>
            </w:r>
          </w:p>
        </w:tc>
        <w:tc>
          <w:tcPr/>
          <w:p>
            <w:pPr>
              <w:pStyle w:val="Compact"/>
              <w:jc w:val="right"/>
            </w:pPr>
            <w:r>
              <w:t xml:space="preserve">0.089</w:t>
            </w:r>
          </w:p>
        </w:tc>
        <w:tc>
          <w:tcPr/>
          <w:p>
            <w:pPr>
              <w:pStyle w:val="Compact"/>
              <w:jc w:val="right"/>
            </w:pPr>
            <w:r>
              <w:t xml:space="preserve">+0.210</w:t>
            </w:r>
          </w:p>
        </w:tc>
        <w:tc>
          <w:tcPr/>
          <w:p>
            <w:pPr>
              <w:pStyle w:val="Compact"/>
              <w:jc w:val="right"/>
            </w:pPr>
            <w:r>
              <w:t xml:space="preserve">1.9</w:t>
            </w:r>
          </w:p>
        </w:tc>
        <w:tc>
          <w:tcPr/>
          <w:p>
            <w:pPr>
              <w:pStyle w:val="Compact"/>
              <w:jc w:val="right"/>
            </w:pPr>
            <w:r>
              <w:t xml:space="preserve">-1.9</w:t>
            </w:r>
          </w:p>
        </w:tc>
        <w:tc>
          <w:tcPr/>
          <w:p>
            <w:pPr>
              <w:pStyle w:val="Compact"/>
              <w:jc w:val="right"/>
            </w:pPr>
            <w:r>
              <w:t xml:space="preserve">2.4</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0.494</w:t>
            </w:r>
          </w:p>
        </w:tc>
        <w:tc>
          <w:tcPr/>
          <w:p>
            <w:pPr>
              <w:pStyle w:val="Compact"/>
              <w:jc w:val="right"/>
            </w:pPr>
            <w:r>
              <w:t xml:space="preserve">0.319</w:t>
            </w:r>
          </w:p>
        </w:tc>
        <w:tc>
          <w:tcPr/>
          <w:p>
            <w:pPr>
              <w:pStyle w:val="Compact"/>
              <w:jc w:val="right"/>
            </w:pPr>
            <w:r>
              <w:t xml:space="preserve">+0.176</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0.267</w:t>
            </w:r>
          </w:p>
        </w:tc>
        <w:tc>
          <w:tcPr/>
          <w:p>
            <w:pPr>
              <w:pStyle w:val="Compact"/>
              <w:jc w:val="right"/>
            </w:pPr>
            <w:r>
              <w:t xml:space="preserve">0.158</w:t>
            </w:r>
          </w:p>
        </w:tc>
        <w:tc>
          <w:tcPr/>
          <w:p>
            <w:pPr>
              <w:pStyle w:val="Compact"/>
              <w:jc w:val="right"/>
            </w:pPr>
            <w:r>
              <w:t xml:space="preserve">+0.109</w:t>
            </w:r>
          </w:p>
        </w:tc>
        <w:tc>
          <w:tcPr/>
          <w:p>
            <w:pPr>
              <w:pStyle w:val="Compact"/>
              <w:jc w:val="right"/>
            </w:pPr>
            <w:r>
              <w:t xml:space="preserve">10.8</w:t>
            </w:r>
          </w:p>
        </w:tc>
        <w:tc>
          <w:tcPr/>
          <w:p>
            <w:pPr>
              <w:pStyle w:val="Compact"/>
              <w:jc w:val="right"/>
            </w:pPr>
            <w:r>
              <w:t xml:space="preserve">+10.8</w:t>
            </w:r>
          </w:p>
        </w:tc>
        <w:tc>
          <w:tcPr/>
          <w:p>
            <w:pPr>
              <w:pStyle w:val="Compact"/>
              <w:jc w:val="right"/>
            </w:pPr>
            <w:r>
              <w:t xml:space="preserve">15.6</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0.278</w:t>
            </w:r>
          </w:p>
        </w:tc>
        <w:tc>
          <w:tcPr/>
          <w:p>
            <w:pPr>
              <w:pStyle w:val="Compact"/>
              <w:jc w:val="right"/>
            </w:pPr>
            <w:r>
              <w:t xml:space="preserve">0.151</w:t>
            </w:r>
          </w:p>
        </w:tc>
        <w:tc>
          <w:tcPr/>
          <w:p>
            <w:pPr>
              <w:pStyle w:val="Compact"/>
              <w:jc w:val="right"/>
            </w:pPr>
            <w:r>
              <w:t xml:space="preserve">+0.126</w:t>
            </w:r>
          </w:p>
        </w:tc>
        <w:tc>
          <w:tcPr/>
          <w:p>
            <w:pPr>
              <w:pStyle w:val="Compact"/>
              <w:jc w:val="right"/>
            </w:pPr>
            <w:r>
              <w:t xml:space="preserve">3.1</w:t>
            </w:r>
          </w:p>
        </w:tc>
        <w:tc>
          <w:tcPr/>
          <w:p>
            <w:pPr>
              <w:pStyle w:val="Compact"/>
              <w:jc w:val="right"/>
            </w:pPr>
            <w:r>
              <w:t xml:space="preserve">-3.1</w:t>
            </w:r>
          </w:p>
        </w:tc>
        <w:tc>
          <w:tcPr/>
          <w:p>
            <w:pPr>
              <w:pStyle w:val="Compact"/>
              <w:jc w:val="right"/>
            </w:pPr>
            <w:r>
              <w:t xml:space="preserve">2.0</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0.292</w:t>
            </w:r>
          </w:p>
        </w:tc>
        <w:tc>
          <w:tcPr/>
          <w:p>
            <w:pPr>
              <w:pStyle w:val="Compact"/>
              <w:jc w:val="right"/>
            </w:pPr>
            <w:r>
              <w:t xml:space="preserve">0.130</w:t>
            </w:r>
          </w:p>
        </w:tc>
        <w:tc>
          <w:tcPr/>
          <w:p>
            <w:pPr>
              <w:pStyle w:val="Compact"/>
              <w:jc w:val="right"/>
            </w:pPr>
            <w:r>
              <w:t xml:space="preserve">+0.162</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1.0</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0.428</w:t>
            </w:r>
          </w:p>
        </w:tc>
        <w:tc>
          <w:tcPr/>
          <w:p>
            <w:pPr>
              <w:pStyle w:val="Compact"/>
              <w:jc w:val="right"/>
            </w:pPr>
            <w:r>
              <w:t xml:space="preserve">0.170</w:t>
            </w:r>
          </w:p>
        </w:tc>
        <w:tc>
          <w:tcPr/>
          <w:p>
            <w:pPr>
              <w:pStyle w:val="Compact"/>
              <w:jc w:val="right"/>
            </w:pPr>
            <w:r>
              <w:t xml:space="preserve">+0.257</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4.1</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0.387</w:t>
            </w:r>
          </w:p>
        </w:tc>
        <w:tc>
          <w:tcPr/>
          <w:p>
            <w:pPr>
              <w:pStyle w:val="Compact"/>
              <w:jc w:val="right"/>
            </w:pPr>
            <w:r>
              <w:t xml:space="preserve">0.184</w:t>
            </w:r>
          </w:p>
        </w:tc>
        <w:tc>
          <w:tcPr/>
          <w:p>
            <w:pPr>
              <w:pStyle w:val="Compact"/>
              <w:jc w:val="right"/>
            </w:pPr>
            <w:r>
              <w:t xml:space="preserve">+0.203</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2.2</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0.314</w:t>
            </w:r>
          </w:p>
        </w:tc>
        <w:tc>
          <w:tcPr/>
          <w:p>
            <w:pPr>
              <w:pStyle w:val="Compact"/>
              <w:jc w:val="right"/>
            </w:pPr>
            <w:r>
              <w:t xml:space="preserve">0.228</w:t>
            </w:r>
          </w:p>
        </w:tc>
        <w:tc>
          <w:tcPr/>
          <w:p>
            <w:pPr>
              <w:pStyle w:val="Compact"/>
              <w:jc w:val="right"/>
            </w:pPr>
            <w:r>
              <w:t xml:space="preserve">+0.086</w:t>
            </w:r>
          </w:p>
        </w:tc>
        <w:tc>
          <w:tcPr/>
          <w:p>
            <w:pPr>
              <w:pStyle w:val="Compact"/>
              <w:jc w:val="right"/>
            </w:pPr>
            <w:r>
              <w:t xml:space="preserve">15.8</w:t>
            </w:r>
          </w:p>
        </w:tc>
        <w:tc>
          <w:tcPr/>
          <w:p>
            <w:pPr>
              <w:pStyle w:val="Compact"/>
              <w:jc w:val="right"/>
            </w:pPr>
            <w:r>
              <w:t xml:space="preserve">+15.8</w:t>
            </w:r>
          </w:p>
        </w:tc>
        <w:tc>
          <w:tcPr/>
          <w:p>
            <w:pPr>
              <w:pStyle w:val="Compact"/>
              <w:jc w:val="right"/>
            </w:pPr>
            <w:r>
              <w:t xml:space="preserve">20.1</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0.271</w:t>
            </w:r>
          </w:p>
        </w:tc>
        <w:tc>
          <w:tcPr/>
          <w:p>
            <w:pPr>
              <w:pStyle w:val="Compact"/>
              <w:jc w:val="right"/>
            </w:pPr>
            <w:r>
              <w:t xml:space="preserve">0.195</w:t>
            </w:r>
          </w:p>
        </w:tc>
        <w:tc>
          <w:tcPr/>
          <w:p>
            <w:pPr>
              <w:pStyle w:val="Compact"/>
              <w:jc w:val="right"/>
            </w:pPr>
            <w:r>
              <w:t xml:space="preserve">+0.076</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0.9</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0.449</w:t>
            </w:r>
          </w:p>
        </w:tc>
        <w:tc>
          <w:tcPr/>
          <w:p>
            <w:pPr>
              <w:pStyle w:val="Compact"/>
              <w:jc w:val="right"/>
            </w:pPr>
            <w:r>
              <w:t xml:space="preserve">0.209</w:t>
            </w:r>
          </w:p>
        </w:tc>
        <w:tc>
          <w:tcPr/>
          <w:p>
            <w:pPr>
              <w:pStyle w:val="Compact"/>
              <w:jc w:val="right"/>
            </w:pPr>
            <w:r>
              <w:t xml:space="preserve">+0.239</w:t>
            </w:r>
          </w:p>
        </w:tc>
        <w:tc>
          <w:tcPr/>
          <w:p>
            <w:pPr>
              <w:pStyle w:val="Compact"/>
              <w:jc w:val="right"/>
            </w:pPr>
            <w:r>
              <w:t xml:space="preserve">0.2</w:t>
            </w:r>
          </w:p>
        </w:tc>
        <w:tc>
          <w:tcPr/>
          <w:p>
            <w:pPr>
              <w:pStyle w:val="Compact"/>
              <w:jc w:val="right"/>
            </w:pPr>
            <w:r>
              <w:t xml:space="preserve">-0.2</w:t>
            </w:r>
          </w:p>
        </w:tc>
        <w:tc>
          <w:tcPr/>
          <w:p>
            <w:pPr>
              <w:pStyle w:val="Compact"/>
              <w:jc w:val="right"/>
            </w:pPr>
            <w:r>
              <w:t xml:space="preserve">5.1</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0.296</w:t>
            </w:r>
          </w:p>
        </w:tc>
        <w:tc>
          <w:tcPr/>
          <w:p>
            <w:pPr>
              <w:pStyle w:val="Compact"/>
              <w:jc w:val="right"/>
            </w:pPr>
            <w:r>
              <w:t xml:space="preserve">0.156</w:t>
            </w:r>
          </w:p>
        </w:tc>
        <w:tc>
          <w:tcPr/>
          <w:p>
            <w:pPr>
              <w:pStyle w:val="Compact"/>
              <w:jc w:val="right"/>
            </w:pPr>
            <w:r>
              <w:t xml:space="preserve">+0.139</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1.5</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0.480</w:t>
            </w:r>
          </w:p>
        </w:tc>
        <w:tc>
          <w:tcPr/>
          <w:p>
            <w:pPr>
              <w:pStyle w:val="Compact"/>
              <w:jc w:val="right"/>
            </w:pPr>
            <w:r>
              <w:t xml:space="preserve">0.219</w:t>
            </w:r>
          </w:p>
        </w:tc>
        <w:tc>
          <w:tcPr/>
          <w:p>
            <w:pPr>
              <w:pStyle w:val="Compact"/>
              <w:jc w:val="right"/>
            </w:pPr>
            <w:r>
              <w:t xml:space="preserve">+0.261</w:t>
            </w:r>
          </w:p>
        </w:tc>
        <w:tc>
          <w:tcPr/>
          <w:p>
            <w:pPr>
              <w:pStyle w:val="Compact"/>
              <w:jc w:val="right"/>
            </w:pPr>
            <w:r>
              <w:t xml:space="preserve">7.6</w:t>
            </w:r>
          </w:p>
        </w:tc>
        <w:tc>
          <w:tcPr/>
          <w:p>
            <w:pPr>
              <w:pStyle w:val="Compact"/>
              <w:jc w:val="right"/>
            </w:pPr>
            <w:r>
              <w:t xml:space="preserve">-7.6</w:t>
            </w:r>
          </w:p>
        </w:tc>
        <w:tc>
          <w:tcPr/>
          <w:p>
            <w:pPr>
              <w:pStyle w:val="Compact"/>
              <w:jc w:val="right"/>
            </w:pPr>
            <w:r>
              <w:t xml:space="preserve">3.7</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0.358</w:t>
            </w:r>
          </w:p>
        </w:tc>
        <w:tc>
          <w:tcPr/>
          <w:p>
            <w:pPr>
              <w:pStyle w:val="Compact"/>
              <w:jc w:val="right"/>
            </w:pPr>
            <w:r>
              <w:t xml:space="preserve">0.132</w:t>
            </w:r>
          </w:p>
        </w:tc>
        <w:tc>
          <w:tcPr/>
          <w:p>
            <w:pPr>
              <w:pStyle w:val="Compact"/>
              <w:jc w:val="right"/>
            </w:pPr>
            <w:r>
              <w:t xml:space="preserve">+0.227</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1.6</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0.239</w:t>
            </w:r>
          </w:p>
        </w:tc>
        <w:tc>
          <w:tcPr/>
          <w:p>
            <w:pPr>
              <w:pStyle w:val="Compact"/>
              <w:jc w:val="right"/>
            </w:pPr>
            <w:r>
              <w:t xml:space="preserve">0.084</w:t>
            </w:r>
          </w:p>
        </w:tc>
        <w:tc>
          <w:tcPr/>
          <w:p>
            <w:pPr>
              <w:pStyle w:val="Compact"/>
              <w:jc w:val="right"/>
            </w:pPr>
            <w:r>
              <w:t xml:space="preserve">+0.155</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0.329</w:t>
            </w:r>
          </w:p>
        </w:tc>
        <w:tc>
          <w:tcPr/>
          <w:p>
            <w:pPr>
              <w:pStyle w:val="Compact"/>
              <w:jc w:val="right"/>
            </w:pPr>
            <w:r>
              <w:t xml:space="preserve">0.242</w:t>
            </w:r>
          </w:p>
        </w:tc>
        <w:tc>
          <w:tcPr/>
          <w:p>
            <w:pPr>
              <w:pStyle w:val="Compact"/>
              <w:jc w:val="right"/>
            </w:pPr>
            <w:r>
              <w:t xml:space="preserve">+0.087</w:t>
            </w:r>
          </w:p>
        </w:tc>
        <w:tc>
          <w:tcPr/>
          <w:p>
            <w:pPr>
              <w:pStyle w:val="Compact"/>
              <w:jc w:val="right"/>
            </w:pPr>
            <w:r>
              <w:t xml:space="preserve">6.1</w:t>
            </w:r>
          </w:p>
        </w:tc>
        <w:tc>
          <w:tcPr/>
          <w:p>
            <w:pPr>
              <w:pStyle w:val="Compact"/>
              <w:jc w:val="right"/>
            </w:pPr>
            <w:r>
              <w:t xml:space="preserve">-6.1</w:t>
            </w:r>
          </w:p>
        </w:tc>
        <w:tc>
          <w:tcPr/>
          <w:p>
            <w:pPr>
              <w:pStyle w:val="Compact"/>
              <w:jc w:val="right"/>
            </w:pPr>
            <w:r>
              <w:t xml:space="preserve">11.2</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0.177</w:t>
            </w:r>
          </w:p>
        </w:tc>
        <w:tc>
          <w:tcPr/>
          <w:p>
            <w:pPr>
              <w:pStyle w:val="Compact"/>
              <w:jc w:val="right"/>
            </w:pPr>
            <w:r>
              <w:t xml:space="preserve">0.326</w:t>
            </w:r>
          </w:p>
        </w:tc>
        <w:tc>
          <w:tcPr/>
          <w:p>
            <w:pPr>
              <w:pStyle w:val="Compact"/>
              <w:jc w:val="right"/>
            </w:pPr>
            <w:r>
              <w:t xml:space="preserve">-0.149</w:t>
            </w:r>
          </w:p>
        </w:tc>
        <w:tc>
          <w:tcPr/>
          <w:p>
            <w:pPr>
              <w:pStyle w:val="Compact"/>
              <w:jc w:val="right"/>
            </w:pPr>
            <w:r>
              <w:t xml:space="preserve">11.4</w:t>
            </w:r>
          </w:p>
        </w:tc>
        <w:tc>
          <w:tcPr/>
          <w:p>
            <w:pPr>
              <w:pStyle w:val="Compact"/>
              <w:jc w:val="right"/>
            </w:pPr>
            <w:r>
              <w:t xml:space="preserve">-11.4</w:t>
            </w:r>
          </w:p>
        </w:tc>
        <w:tc>
          <w:tcPr/>
          <w:p>
            <w:pPr>
              <w:pStyle w:val="Compact"/>
              <w:jc w:val="right"/>
            </w:pPr>
            <w:r>
              <w:t xml:space="preserve">0.3</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0.340</w:t>
            </w:r>
          </w:p>
        </w:tc>
        <w:tc>
          <w:tcPr/>
          <w:p>
            <w:pPr>
              <w:pStyle w:val="Compact"/>
              <w:jc w:val="right"/>
            </w:pPr>
            <w:r>
              <w:t xml:space="preserve">0.187</w:t>
            </w:r>
          </w:p>
        </w:tc>
        <w:tc>
          <w:tcPr/>
          <w:p>
            <w:pPr>
              <w:pStyle w:val="Compact"/>
              <w:jc w:val="right"/>
            </w:pPr>
            <w:r>
              <w:t xml:space="preserve">+0.152</w:t>
            </w:r>
          </w:p>
        </w:tc>
        <w:tc>
          <w:tcPr/>
          <w:p>
            <w:pPr>
              <w:pStyle w:val="Compact"/>
              <w:jc w:val="right"/>
            </w:pPr>
            <w:r>
              <w:t xml:space="preserve">5.6</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60"/>
    <w:p>
      <w:pPr>
        <w:pStyle w:val="BodyText"/>
      </w:pPr>
      <w:r>
        <w:rPr>
          <w:iCs/>
          <w:i/>
        </w:rPr>
        <w:t xml:space="preserve">Notes:</w:t>
      </w:r>
      <w:r>
        <w:t xml:space="preserve"> </w:t>
      </w:r>
      <w:r>
        <w:t xml:space="preserve">Raw gap is the reference semantic-gap estimate; Adj. gap is after INLP register removal (primary estimate; evaluated in Appendix </w:t>
      </w:r>
      <w:hyperlink w:anchor="app:register-validation">
        <w:r>
          <w:rPr>
            <w:rStyle w:val="Hyperlink"/>
          </w:rPr>
          <w:t xml:space="preserve">13.2</w:t>
        </w:r>
      </w:hyperlink>
      <w:r>
        <w:t xml:space="preserve">); Reg. Comp. = raw</w:t>
      </w:r>
      <w:r>
        <w:t xml:space="preserve"> </w:t>
      </w:r>
      <m:oMath>
        <m:r>
          <m:rPr>
            <m:sty m:val="p"/>
          </m:rPr>
          <m:t>−</m:t>
        </m:r>
      </m:oMath>
      <w:r>
        <w:t xml:space="preserve"> </w:t>
      </w:r>
      <w:r>
        <w:t xml:space="preserve">adjusted. Coverage predictors are document-weighted research/policy shares; Signed dom. = research %</w:t>
      </w:r>
      <w:r>
        <w:t xml:space="preserve"> </w:t>
      </w:r>
      <m:oMath>
        <m:r>
          <m:rPr>
            <m:sty m:val="p"/>
          </m:rPr>
          <m:t>−</m:t>
        </m:r>
      </m:oMath>
      <w:r>
        <w:t xml:space="preserve"> </w:t>
      </w:r>
      <w:r>
        <w:t xml:space="preserve">policy % (pp). These are the per-SDG inputs to the Section </w:t>
      </w:r>
      <w:hyperlink w:anchor="sec:interaction">
        <w:r>
          <w:rPr>
            <w:rStyle w:val="Hyperlink"/>
          </w:rPr>
          <w:t xml:space="preserve">4.4</w:t>
        </w:r>
      </w:hyperlink>
      <w:r>
        <w:t xml:space="preserve"> </w:t>
      </w:r>
      <w:r>
        <w:t xml:space="preserve">tests.</w:t>
      </w:r>
    </w:p>
    <w:bookmarkEnd w:id="61"/>
    <w:bookmarkStart w:id="75" w:name="sec:interaction"/>
    <w:p>
      <w:pPr>
        <w:pStyle w:val="Heading2"/>
      </w:pPr>
      <w:r>
        <w:t xml:space="preserve">Coverage–Semantic Interaction: Results</w:t>
      </w:r>
    </w:p>
    <w:p>
      <w:pPr>
        <w:pStyle w:val="FirstParagraph"/>
      </w:pPr>
      <w:r>
        <w:t xml:space="preserve">Table </w:t>
      </w:r>
      <w:hyperlink w:anchor="tab:interaction">
        <w:r>
          <w:rPr>
            <w:rStyle w:val="Hyperlink"/>
          </w:rPr>
          <w:t xml:space="preserve">5</w:t>
        </w:r>
      </w:hyperlink>
      <w:r>
        <w:t xml:space="preserve"> </w:t>
      </w:r>
      <w:r>
        <w:t xml:space="preserve">reports H1a–H1d rank correlations between coverage predictors and the within-SDG semantic gap across all encoder–classifier configs. Columns show Spearman</w:t>
      </w:r>
      <w:r>
        <w:t xml:space="preserve"> </w:t>
      </w:r>
      <m:oMath>
        <m:r>
          <m:t>ρ</m:t>
        </m:r>
      </m:oMath>
      <w:r>
        <w:t xml:space="preserve"> </w:t>
      </w:r>
      <w:r>
        <w:t xml:space="preserve">against the raw gap, adjusted gap, and register component. The per-SDG values underlying these correlations are reported in Table </w:t>
      </w:r>
      <w:hyperlink w:anchor="tab:register-decomposition">
        <w:r>
          <w:rPr>
            <w:rStyle w:val="Hyperlink"/>
          </w:rPr>
          <w:t xml:space="preserve">4</w:t>
        </w:r>
      </w:hyperlink>
      <w:r>
        <w:t xml:space="preserve">.</w:t>
      </w:r>
    </w:p>
    <w:p>
      <w:pPr>
        <w:pStyle w:val="BodyText"/>
      </w:pPr>
      <w:r>
        <w:t xml:space="preserve">Predictors are research coverage, policy coverage, absolute coverage gap, and signed dominance. MLP configs reuse their encoder’s INLP matrix; Concept rows use the concept-retrieved research corpus (Appendix </w:t>
      </w:r>
      <w:hyperlink w:anchor="app:concept-retrieval-sensitivity">
        <w:r>
          <w:rPr>
            <w:rStyle w:val="Hyperlink"/>
          </w:rPr>
          <w:t xml:space="preserve">7</w:t>
        </w:r>
      </w:hyperlink>
      <w:r>
        <w:t xml:space="preserve">).</w:t>
      </w:r>
    </w:p>
    <w:bookmarkStart w:id="62" w:name="tab:interaction"/>
    <w:p>
      <w:pPr>
        <w:pStyle w:val="TableCaption"/>
      </w:pPr>
      <w:r>
        <w:t xml:space="preserve">H1a–H1d coverage-predictor vs semantic-gap rank correlations (Spearman</w:t>
      </w:r>
      <w:r>
        <w:t xml:space="preserve"> </w:t>
      </w:r>
      <m:oMath>
        <m:r>
          <m:t>ρ</m:t>
        </m:r>
      </m:oMath>
      <w:r>
        <w:t xml:space="preserve">) across encoder–classifier configs.</w:t>
      </w:r>
    </w:p>
    <w:tbl>
      <w:tblPr>
        <w:tblStyle w:val="Table"/>
        <w:tblW w:type="auto" w:w="0"/>
        <w:tblLook w:firstRow="1" w:lastRow="0" w:firstColumn="0" w:lastColumn="0" w:noHBand="0" w:noVBand="0" w:val="0020"/>
        <w:jc w:val="start"/>
        <w:tblCaption w:val="H1a–H1d coverage-predictor vs semantic-gap rank correlations (Spearman \rho) across encoder–classifier configs."/>
      </w:tblPr>
      <w:tblGrid>
        <w:gridCol w:w="1980"/>
        <w:gridCol w:w="1980"/>
        <w:gridCol w:w="1980"/>
        <w:gridCol w:w="1980"/>
      </w:tblGrid>
      <w:tr>
        <w:trPr>
          <w:tblHeader w:val="true"/>
        </w:trPr>
        <w:tc>
          <w:tcPr/>
          <w:p>
            <w:pPr>
              <w:pStyle w:val="Compact"/>
            </w:pPr>
          </w:p>
        </w:tc>
        <w:tc>
          <w:tcPr/>
          <w:p>
            <w:pPr>
              <w:pStyle w:val="Compact"/>
              <w:jc w:val="center"/>
            </w:pPr>
            <w:r>
              <w:t xml:space="preserve">Semantic Gap</w:t>
            </w:r>
          </w:p>
        </w:tc>
        <w:tc>
          <w:tcPr/>
          <w:p>
            <w:pPr>
              <w:pStyle w:val="Compact"/>
              <w:jc w:val="center"/>
            </w:pPr>
            <w:r>
              <w:t xml:space="preserve">Adj. gap</w:t>
            </w:r>
          </w:p>
        </w:tc>
        <w:tc>
          <w:tcPr/>
          <w:p>
            <w:pPr>
              <w:pStyle w:val="Compact"/>
              <w:jc w:val="center"/>
            </w:pPr>
            <w:r>
              <w:t xml:space="preserve">Reg. Comp.</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-0.012</w:t>
            </w:r>
          </w:p>
        </w:tc>
        <w:tc>
          <w:tcPr/>
          <w:p>
            <w:pPr>
              <w:pStyle w:val="Compact"/>
              <w:jc w:val="center"/>
            </w:pPr>
            <w:r>
              <w:t xml:space="preserve">+0.544</w:t>
            </w:r>
            <m:oMath>
              <m:sSup>
                <m:e>
                  <m:r>
                    <m:t>​</m:t>
                  </m:r>
                </m:e>
                <m:sup>
                  <m:r>
                    <m:rPr>
                      <m:sty m:val="p"/>
                    </m:rPr>
                    <m:t>*</m:t>
                  </m:r>
                </m:sup>
              </m:sSup>
            </m:oMath>
          </w:p>
        </w:tc>
        <w:tc>
          <w:tcPr/>
          <w:p>
            <w:pPr>
              <w:pStyle w:val="Compact"/>
              <w:jc w:val="center"/>
            </w:pPr>
            <w:r>
              <w:t xml:space="preserve">-0.390</w:t>
            </w:r>
          </w:p>
        </w:tc>
      </w:tr>
      <w:tr>
        <w:tc>
          <w:tcPr/>
          <w:p>
            <w:pPr>
              <w:pStyle w:val="Compact"/>
              <w:jc w:val="left"/>
            </w:pPr>
            <w:r>
              <w:t xml:space="preserve">MPNet MLP</w:t>
            </w:r>
          </w:p>
        </w:tc>
        <w:tc>
          <w:tcPr/>
          <w:p>
            <w:pPr>
              <w:pStyle w:val="Compact"/>
              <w:jc w:val="center"/>
            </w:pPr>
            <w:r>
              <w:t xml:space="preserve">-0.135</w:t>
            </w:r>
          </w:p>
        </w:tc>
        <w:tc>
          <w:tcPr/>
          <w:p>
            <w:pPr>
              <w:pStyle w:val="Compact"/>
              <w:jc w:val="center"/>
            </w:pPr>
            <w:r>
              <w:t xml:space="preserve">+0.336</w:t>
            </w:r>
          </w:p>
        </w:tc>
        <w:tc>
          <w:tcPr/>
          <w:p>
            <w:pPr>
              <w:pStyle w:val="Compact"/>
              <w:jc w:val="center"/>
            </w:pPr>
            <w:r>
              <w:t xml:space="preserve">-0.370</w:t>
            </w:r>
          </w:p>
        </w:tc>
      </w:tr>
      <w:tr>
        <w:tc>
          <w:tcPr/>
          <w:p>
            <w:pPr>
              <w:pStyle w:val="Compact"/>
              <w:jc w:val="left"/>
            </w:pPr>
            <w:r>
              <w:t xml:space="preserve">MPNet ZS</w:t>
            </w:r>
          </w:p>
        </w:tc>
        <w:tc>
          <w:tcPr/>
          <w:p>
            <w:pPr>
              <w:pStyle w:val="Compact"/>
              <w:jc w:val="center"/>
            </w:pPr>
            <w:r>
              <w:t xml:space="preserve">-0.299</w:t>
            </w:r>
          </w:p>
        </w:tc>
        <w:tc>
          <w:tcPr/>
          <w:p>
            <w:pPr>
              <w:pStyle w:val="Compact"/>
              <w:jc w:val="center"/>
            </w:pPr>
            <w:r>
              <w:t xml:space="preserve">+0.203</w:t>
            </w:r>
          </w:p>
        </w:tc>
        <w:tc>
          <w:tcPr/>
          <w:p>
            <w:pPr>
              <w:pStyle w:val="Compact"/>
              <w:jc w:val="center"/>
            </w:pPr>
            <w:r>
              <w:t xml:space="preserve">-0.449</w:t>
            </w:r>
            <m:oMath>
              <m:sSup>
                <m:e>
                  <m:r>
                    <m:t>​</m:t>
                  </m:r>
                </m:e>
                <m:sup>
                  <m:r>
                    <m:rPr>
                      <m:sty m:val="p"/>
                    </m:rPr>
                    <m:t>†</m:t>
                  </m:r>
                </m:sup>
              </m:sSup>
            </m:oMath>
          </w:p>
        </w:tc>
      </w:tr>
      <w:tr>
        <w:tc>
          <w:tcPr/>
          <w:p>
            <w:pPr>
              <w:pStyle w:val="Compact"/>
              <w:jc w:val="left"/>
            </w:pPr>
            <w:r>
              <w:t xml:space="preserve">MiniLM LR</w:t>
            </w:r>
          </w:p>
        </w:tc>
        <w:tc>
          <w:tcPr/>
          <w:p>
            <w:pPr>
              <w:pStyle w:val="Compact"/>
              <w:jc w:val="center"/>
            </w:pPr>
            <w:r>
              <w:t xml:space="preserve">-0.243</w:t>
            </w:r>
          </w:p>
        </w:tc>
        <w:tc>
          <w:tcPr/>
          <w:p>
            <w:pPr>
              <w:pStyle w:val="Compact"/>
              <w:jc w:val="center"/>
            </w:pPr>
            <w:r>
              <w:t xml:space="preserve">+0.397</w:t>
            </w:r>
          </w:p>
        </w:tc>
        <w:tc>
          <w:tcPr/>
          <w:p>
            <w:pPr>
              <w:pStyle w:val="Compact"/>
              <w:jc w:val="center"/>
            </w:pPr>
            <w:r>
              <w:t xml:space="preserve">-0.463</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-0.042</w:t>
            </w:r>
          </w:p>
        </w:tc>
        <w:tc>
          <w:tcPr/>
          <w:p>
            <w:pPr>
              <w:pStyle w:val="Compact"/>
              <w:jc w:val="center"/>
            </w:pPr>
            <w:r>
              <w:t xml:space="preserve">+0.505</w:t>
            </w:r>
            <m:oMath>
              <m:sSup>
                <m:e>
                  <m:r>
                    <m:t>​</m:t>
                  </m:r>
                </m:e>
                <m:sup>
                  <m:r>
                    <m:rPr>
                      <m:sty m:val="p"/>
                    </m:rPr>
                    <m:t>*</m:t>
                  </m:r>
                </m:sup>
              </m:sSup>
            </m:oMath>
          </w:p>
        </w:tc>
        <w:tc>
          <w:tcPr/>
          <w:p>
            <w:pPr>
              <w:pStyle w:val="Compact"/>
              <w:jc w:val="center"/>
            </w:pPr>
            <w:r>
              <w:t xml:space="preserve">-0.272</w:t>
            </w:r>
          </w:p>
        </w:tc>
      </w:tr>
      <w:tr>
        <w:tc>
          <w:tcPr/>
          <w:p>
            <w:pPr>
              <w:pStyle w:val="Compact"/>
              <w:jc w:val="left"/>
            </w:pPr>
            <w:r>
              <w:t xml:space="preserve">SciBERT LR</w:t>
            </w:r>
          </w:p>
        </w:tc>
        <w:tc>
          <w:tcPr/>
          <w:p>
            <w:pPr>
              <w:pStyle w:val="Compact"/>
              <w:jc w:val="center"/>
            </w:pPr>
            <w:r>
              <w:t xml:space="preserve">-0.130</w:t>
            </w:r>
          </w:p>
        </w:tc>
        <w:tc>
          <w:tcPr/>
          <w:p>
            <w:pPr>
              <w:pStyle w:val="Compact"/>
              <w:jc w:val="center"/>
            </w:pPr>
            <w:r>
              <w:t xml:space="preserve">+0.221</w:t>
            </w:r>
          </w:p>
        </w:tc>
        <w:tc>
          <w:tcPr/>
          <w:p>
            <w:pPr>
              <w:pStyle w:val="Compact"/>
              <w:jc w:val="center"/>
            </w:pPr>
            <w:r>
              <w:t xml:space="preserve">-0.267</w:t>
            </w:r>
          </w:p>
        </w:tc>
      </w:tr>
      <w:tr>
        <w:tc>
          <w:tcPr/>
          <w:p>
            <w:pPr>
              <w:pStyle w:val="Compact"/>
              <w:jc w:val="left"/>
            </w:pPr>
            <w:r>
              <w:t xml:space="preserve">SciBERT MLP</w:t>
            </w:r>
          </w:p>
        </w:tc>
        <w:tc>
          <w:tcPr/>
          <w:p>
            <w:pPr>
              <w:pStyle w:val="Compact"/>
              <w:jc w:val="center"/>
            </w:pPr>
            <w:r>
              <w:t xml:space="preserve">-0.333</w:t>
            </w:r>
          </w:p>
        </w:tc>
        <w:tc>
          <w:tcPr/>
          <w:p>
            <w:pPr>
              <w:pStyle w:val="Compact"/>
              <w:jc w:val="center"/>
            </w:pPr>
            <w:r>
              <w:t xml:space="preserve">-0.034</w:t>
            </w:r>
          </w:p>
        </w:tc>
        <w:tc>
          <w:tcPr/>
          <w:p>
            <w:pPr>
              <w:pStyle w:val="Compact"/>
              <w:jc w:val="center"/>
            </w:pPr>
            <w:r>
              <w:t xml:space="preserve">-0.120</w:t>
            </w:r>
          </w:p>
        </w:tc>
      </w:tr>
      <w:tr>
        <w:tc>
          <w:tcPr/>
          <w:p>
            <w:pPr>
              <w:pStyle w:val="Compact"/>
              <w:jc w:val="left"/>
            </w:pPr>
            <w:r>
              <w:t xml:space="preserve">Concept LR</w:t>
            </w:r>
          </w:p>
        </w:tc>
        <w:tc>
          <w:tcPr/>
          <w:p>
            <w:pPr>
              <w:pStyle w:val="Compact"/>
              <w:jc w:val="center"/>
            </w:pPr>
            <w:r>
              <w:t xml:space="preserve">+0.108</w:t>
            </w:r>
          </w:p>
        </w:tc>
        <w:tc>
          <w:tcPr/>
          <w:p>
            <w:pPr>
              <w:pStyle w:val="Compact"/>
              <w:jc w:val="center"/>
            </w:pPr>
            <w:r>
              <w:t xml:space="preserve">+0.434</w:t>
            </w:r>
            <m:oMath>
              <m:sSup>
                <m:e>
                  <m:r>
                    <m:t>​</m:t>
                  </m:r>
                </m:e>
                <m:sup>
                  <m:r>
                    <m:rPr>
                      <m:sty m:val="p"/>
                    </m:rPr>
                    <m:t>†</m:t>
                  </m:r>
                </m:sup>
              </m:sSup>
            </m:oMath>
          </w:p>
        </w:tc>
        <w:tc>
          <w:tcPr/>
          <w:p>
            <w:pPr>
              <w:pStyle w:val="Compact"/>
              <w:jc w:val="center"/>
            </w:pPr>
            <w:r>
              <w:t xml:space="preserve">-0.194</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+0.181</w:t>
            </w:r>
          </w:p>
        </w:tc>
        <w:tc>
          <w:tcPr/>
          <w:p>
            <w:pPr>
              <w:pStyle w:val="Compact"/>
              <w:jc w:val="center"/>
            </w:pPr>
            <w:r>
              <w:t xml:space="preserve">-0.140</w:t>
            </w:r>
          </w:p>
        </w:tc>
      </w:tr>
      <w:tr>
        <w:tc>
          <w:tcPr>
            <w:gridSpan w:val="4"/>
          </w:tcPr>
          <w:p>
            <w:pPr>
              <w:pStyle w:val="Compact"/>
              <w:jc w:val="left"/>
            </w:pPr>
            <w:r>
              <w:rPr>
                <w:bCs/>
                <w:b/>
              </w:rPr>
              <w:t xml:space="preserve">H1b. Research–policy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+0.159</w:t>
            </w:r>
          </w:p>
        </w:tc>
        <w:tc>
          <w:tcPr/>
          <w:p>
            <w:pPr>
              <w:pStyle w:val="Compact"/>
              <w:jc w:val="center"/>
            </w:pPr>
            <w:r>
              <w:t xml:space="preserve">-0.059</w:t>
            </w:r>
          </w:p>
        </w:tc>
        <w:tc>
          <w:tcPr/>
          <w:p>
            <w:pPr>
              <w:pStyle w:val="Compact"/>
              <w:jc w:val="center"/>
            </w:pPr>
            <w:r>
              <w:t xml:space="preserve">+0.029</w:t>
            </w:r>
          </w:p>
        </w:tc>
      </w:tr>
      <w:tr>
        <w:tc>
          <w:tcPr/>
          <w:p>
            <w:pPr>
              <w:pStyle w:val="Compact"/>
              <w:jc w:val="left"/>
            </w:pPr>
            <w:r>
              <w:t xml:space="preserve">MPNet MLP</w:t>
            </w:r>
          </w:p>
        </w:tc>
        <w:tc>
          <w:tcPr/>
          <w:p>
            <w:pPr>
              <w:pStyle w:val="Compact"/>
              <w:jc w:val="center"/>
            </w:pPr>
            <w:r>
              <w:t xml:space="preserve">+0.020</w:t>
            </w:r>
          </w:p>
        </w:tc>
        <w:tc>
          <w:tcPr/>
          <w:p>
            <w:pPr>
              <w:pStyle w:val="Compact"/>
              <w:jc w:val="center"/>
            </w:pPr>
            <w:r>
              <w:t xml:space="preserve">-0.118</w:t>
            </w:r>
          </w:p>
        </w:tc>
        <w:tc>
          <w:tcPr/>
          <w:p>
            <w:pPr>
              <w:pStyle w:val="Compact"/>
              <w:jc w:val="center"/>
            </w:pPr>
            <w:r>
              <w:t xml:space="preserve">-0.034</w:t>
            </w:r>
          </w:p>
        </w:tc>
      </w:tr>
      <w:tr>
        <w:tc>
          <w:tcPr/>
          <w:p>
            <w:pPr>
              <w:pStyle w:val="Compact"/>
              <w:jc w:val="left"/>
            </w:pPr>
            <w:r>
              <w:t xml:space="preserve">MPNet ZS</w:t>
            </w:r>
          </w:p>
        </w:tc>
        <w:tc>
          <w:tcPr/>
          <w:p>
            <w:pPr>
              <w:pStyle w:val="Compact"/>
              <w:jc w:val="center"/>
            </w:pPr>
            <w:r>
              <w:t xml:space="preserve">-0.005</w:t>
            </w:r>
          </w:p>
        </w:tc>
        <w:tc>
          <w:tcPr/>
          <w:p>
            <w:pPr>
              <w:pStyle w:val="Compact"/>
              <w:jc w:val="center"/>
            </w:pPr>
            <w:r>
              <w:t xml:space="preserve">-0.336</w:t>
            </w:r>
          </w:p>
        </w:tc>
        <w:tc>
          <w:tcPr/>
          <w:p>
            <w:pPr>
              <w:pStyle w:val="Compact"/>
              <w:jc w:val="center"/>
            </w:pPr>
            <w:r>
              <w:t xml:space="preserve">+0.360</w:t>
            </w:r>
          </w:p>
        </w:tc>
      </w:tr>
      <w:tr>
        <w:tc>
          <w:tcPr/>
          <w:p>
            <w:pPr>
              <w:pStyle w:val="Compact"/>
              <w:jc w:val="left"/>
            </w:pPr>
            <w:r>
              <w:t xml:space="preserve">MiniLM LR</w:t>
            </w:r>
          </w:p>
        </w:tc>
        <w:tc>
          <w:tcPr/>
          <w:p>
            <w:pPr>
              <w:pStyle w:val="Compact"/>
              <w:jc w:val="center"/>
            </w:pPr>
            <w:r>
              <w:t xml:space="preserve">+0.404</w:t>
            </w:r>
          </w:p>
        </w:tc>
        <w:tc>
          <w:tcPr/>
          <w:p>
            <w:pPr>
              <w:pStyle w:val="Compact"/>
              <w:jc w:val="center"/>
            </w:pPr>
            <w:r>
              <w:t xml:space="preserve">-0.020</w:t>
            </w:r>
          </w:p>
        </w:tc>
        <w:tc>
          <w:tcPr/>
          <w:p>
            <w:pPr>
              <w:pStyle w:val="Compact"/>
              <w:jc w:val="center"/>
            </w:pPr>
            <w:r>
              <w:t xml:space="preserve">+0.429</w:t>
            </w:r>
            <m:oMath>
              <m:sSup>
                <m:e>
                  <m:r>
                    <m:t>​</m:t>
                  </m:r>
                </m:e>
                <m:sup>
                  <m:r>
                    <m:rPr>
                      <m:sty m:val="p"/>
                    </m:rPr>
                    <m:t>†</m:t>
                  </m:r>
                </m:sup>
              </m:sSup>
            </m:oMath>
          </w:p>
        </w:tc>
      </w:tr>
      <w:tr>
        <w:tc>
          <w:tcPr/>
          <w:p>
            <w:pPr>
              <w:pStyle w:val="Compact"/>
              <w:jc w:val="left"/>
            </w:pPr>
            <w:r>
              <w:t xml:space="preserve">MiniLM MLP</w:t>
            </w:r>
          </w:p>
        </w:tc>
        <w:tc>
          <w:tcPr/>
          <w:p>
            <w:pPr>
              <w:pStyle w:val="Compact"/>
              <w:jc w:val="center"/>
            </w:pPr>
            <w:r>
              <w:t xml:space="preserve">+0.319</w:t>
            </w:r>
          </w:p>
        </w:tc>
        <w:tc>
          <w:tcPr/>
          <w:p>
            <w:pPr>
              <w:pStyle w:val="Compact"/>
              <w:jc w:val="center"/>
            </w:pPr>
            <w:r>
              <w:t xml:space="preserve">-0.066</w:t>
            </w:r>
          </w:p>
        </w:tc>
        <w:tc>
          <w:tcPr/>
          <w:p>
            <w:pPr>
              <w:pStyle w:val="Compact"/>
              <w:jc w:val="center"/>
            </w:pPr>
            <w:r>
              <w:t xml:space="preserve">+0.348</w:t>
            </w:r>
          </w:p>
        </w:tc>
      </w:tr>
      <w:tr>
        <w:tc>
          <w:tcPr/>
          <w:p>
            <w:pPr>
              <w:pStyle w:val="Compact"/>
              <w:jc w:val="left"/>
            </w:pPr>
            <w:r>
              <w:t xml:space="preserve">SciBERT LR</w:t>
            </w:r>
          </w:p>
        </w:tc>
        <w:tc>
          <w:tcPr/>
          <w:p>
            <w:pPr>
              <w:pStyle w:val="Compact"/>
              <w:jc w:val="center"/>
            </w:pPr>
            <w:r>
              <w:t xml:space="preserve">+0.549</w:t>
            </w:r>
            <m:oMath>
              <m:sSup>
                <m:e>
                  <m:r>
                    <m:t>​</m:t>
                  </m:r>
                </m:e>
                <m:sup>
                  <m:r>
                    <m:rPr>
                      <m:sty m:val="p"/>
                    </m:rPr>
                    <m:t>*</m:t>
                  </m:r>
                </m:sup>
              </m:sSup>
            </m:oMath>
          </w:p>
        </w:tc>
        <w:tc>
          <w:tcPr/>
          <w:p>
            <w:pPr>
              <w:pStyle w:val="Compact"/>
              <w:jc w:val="center"/>
            </w:pPr>
            <w:r>
              <w:t xml:space="preserve">-0.118</w:t>
            </w:r>
          </w:p>
        </w:tc>
        <w:tc>
          <w:tcPr/>
          <w:p>
            <w:pPr>
              <w:pStyle w:val="Compact"/>
              <w:jc w:val="center"/>
            </w:pPr>
            <w:r>
              <w:t xml:space="preserve">+0.547</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+0.336</w:t>
            </w:r>
          </w:p>
        </w:tc>
        <w:tc>
          <w:tcPr/>
          <w:p>
            <w:pPr>
              <w:pStyle w:val="Compact"/>
              <w:jc w:val="center"/>
            </w:pPr>
            <w:r>
              <w:t xml:space="preserve">-0.429</w:t>
            </w:r>
            <m:oMath>
              <m:sSup>
                <m:e>
                  <m:r>
                    <m:t>​</m:t>
                  </m:r>
                </m:e>
                <m:sup>
                  <m:r>
                    <m:rPr>
                      <m:sty m:val="p"/>
                    </m:rPr>
                    <m:t>†</m:t>
                  </m:r>
                </m:sup>
              </m:sSup>
            </m:oMath>
          </w:p>
        </w:tc>
        <w:tc>
          <w:tcPr/>
          <w:p>
            <w:pPr>
              <w:pStyle w:val="Compact"/>
              <w:jc w:val="center"/>
            </w:pPr>
            <w:r>
              <w:t xml:space="preserve">+0.529</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+0.051</w:t>
            </w:r>
          </w:p>
        </w:tc>
        <w:tc>
          <w:tcPr/>
          <w:p>
            <w:pPr>
              <w:pStyle w:val="Compact"/>
              <w:jc w:val="center"/>
            </w:pPr>
            <w:r>
              <w:t xml:space="preserve">-0.029</w:t>
            </w:r>
          </w:p>
        </w:tc>
        <w:tc>
          <w:tcPr/>
          <w:p>
            <w:pPr>
              <w:pStyle w:val="Compact"/>
              <w:jc w:val="center"/>
            </w:pPr>
            <w:r>
              <w:t xml:space="preserve">-0.260</w:t>
            </w:r>
          </w:p>
        </w:tc>
      </w:tr>
      <w:tr>
        <w:tc>
          <w:tcPr/>
          <w:p>
            <w:pPr>
              <w:pStyle w:val="Compact"/>
              <w:jc w:val="left"/>
            </w:pPr>
            <w:r>
              <w:t xml:space="preserve">Concept MLP</w:t>
            </w:r>
          </w:p>
        </w:tc>
        <w:tc>
          <w:tcPr/>
          <w:p>
            <w:pPr>
              <w:pStyle w:val="Compact"/>
              <w:jc w:val="center"/>
            </w:pPr>
            <w:r>
              <w:t xml:space="preserve">-0.174</w:t>
            </w:r>
          </w:p>
        </w:tc>
        <w:tc>
          <w:tcPr/>
          <w:p>
            <w:pPr>
              <w:pStyle w:val="Compact"/>
              <w:jc w:val="center"/>
            </w:pPr>
            <w:r>
              <w:t xml:space="preserve">+0.093</w:t>
            </w:r>
          </w:p>
        </w:tc>
        <w:tc>
          <w:tcPr/>
          <w:p>
            <w:pPr>
              <w:pStyle w:val="Compact"/>
              <w:jc w:val="center"/>
            </w:pPr>
            <w:r>
              <w:t xml:space="preserve">-0.199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+0.449</w:t>
            </w:r>
            <m:oMath>
              <m:sSup>
                <m:e>
                  <m:r>
                    <m:t>​</m:t>
                  </m:r>
                </m:e>
                <m:sup>
                  <m:r>
                    <m:rPr>
                      <m:sty m:val="p"/>
                    </m:rPr>
                    <m:t>†</m:t>
                  </m:r>
                </m:sup>
              </m:sSup>
            </m:oMath>
          </w:p>
        </w:tc>
        <w:tc>
          <w:tcPr/>
          <w:p>
            <w:pPr>
              <w:pStyle w:val="Compact"/>
              <w:jc w:val="center"/>
            </w:pPr>
            <w:r>
              <w:t xml:space="preserve">+0.267</w:t>
            </w:r>
          </w:p>
        </w:tc>
        <w:tc>
          <w:tcPr/>
          <w:p>
            <w:pPr>
              <w:pStyle w:val="Compact"/>
              <w:jc w:val="center"/>
            </w:pPr>
            <w:r>
              <w:t xml:space="preserve">+0.145</w:t>
            </w:r>
          </w:p>
        </w:tc>
      </w:tr>
      <w:tr>
        <w:tc>
          <w:tcPr/>
          <w:p>
            <w:pPr>
              <w:pStyle w:val="Compact"/>
              <w:jc w:val="left"/>
            </w:pPr>
            <w:r>
              <w:t xml:space="preserve">MPNet MLP</w:t>
            </w:r>
          </w:p>
        </w:tc>
        <w:tc>
          <w:tcPr/>
          <w:p>
            <w:pPr>
              <w:pStyle w:val="Compact"/>
              <w:jc w:val="center"/>
            </w:pPr>
            <w:r>
              <w:t xml:space="preserve">+0.262</w:t>
            </w:r>
          </w:p>
        </w:tc>
        <w:tc>
          <w:tcPr/>
          <w:p>
            <w:pPr>
              <w:pStyle w:val="Compact"/>
              <w:jc w:val="center"/>
            </w:pPr>
            <w:r>
              <w:t xml:space="preserve">+0.098</w:t>
            </w:r>
          </w:p>
        </w:tc>
        <w:tc>
          <w:tcPr/>
          <w:p>
            <w:pPr>
              <w:pStyle w:val="Compact"/>
              <w:jc w:val="center"/>
            </w:pPr>
            <w:r>
              <w:t xml:space="preserve">+0.088</w:t>
            </w:r>
          </w:p>
        </w:tc>
      </w:tr>
      <w:tr>
        <w:tc>
          <w:tcPr/>
          <w:p>
            <w:pPr>
              <w:pStyle w:val="Compact"/>
              <w:jc w:val="left"/>
            </w:pPr>
            <w:r>
              <w:t xml:space="preserve">MPNet ZS</w:t>
            </w:r>
          </w:p>
        </w:tc>
        <w:tc>
          <w:tcPr/>
          <w:p>
            <w:pPr>
              <w:pStyle w:val="Compact"/>
              <w:jc w:val="center"/>
            </w:pPr>
            <w:r>
              <w:t xml:space="preserve">-0.100</w:t>
            </w:r>
          </w:p>
        </w:tc>
        <w:tc>
          <w:tcPr/>
          <w:p>
            <w:pPr>
              <w:pStyle w:val="Compact"/>
              <w:jc w:val="center"/>
            </w:pPr>
            <w:r>
              <w:t xml:space="preserve">-0.328</w:t>
            </w:r>
          </w:p>
        </w:tc>
        <w:tc>
          <w:tcPr/>
          <w:p>
            <w:pPr>
              <w:pStyle w:val="Compact"/>
              <w:jc w:val="center"/>
            </w:pPr>
            <w:r>
              <w:t xml:space="preserve">+0.314</w:t>
            </w:r>
          </w:p>
        </w:tc>
      </w:tr>
      <w:tr>
        <w:tc>
          <w:tcPr/>
          <w:p>
            <w:pPr>
              <w:pStyle w:val="Compact"/>
              <w:jc w:val="left"/>
            </w:pPr>
            <w:r>
              <w:t xml:space="preserve">MiniLM LR</w:t>
            </w:r>
          </w:p>
        </w:tc>
        <w:tc>
          <w:tcPr/>
          <w:p>
            <w:pPr>
              <w:pStyle w:val="Compact"/>
              <w:jc w:val="center"/>
            </w:pPr>
            <w:r>
              <w:t xml:space="preserve">+0.444</w:t>
            </w:r>
            <m:oMath>
              <m:sSup>
                <m:e>
                  <m:r>
                    <m:t>​</m:t>
                  </m:r>
                </m:e>
                <m:sup>
                  <m:r>
                    <m:rPr>
                      <m:sty m:val="p"/>
                    </m:rPr>
                    <m:t>†</m:t>
                  </m:r>
                </m:sup>
              </m:sSup>
            </m:oMath>
          </w:p>
        </w:tc>
        <w:tc>
          <w:tcPr/>
          <w:p>
            <w:pPr>
              <w:pStyle w:val="Compact"/>
              <w:jc w:val="center"/>
            </w:pPr>
            <w:r>
              <w:t xml:space="preserve">+0.262</w:t>
            </w:r>
          </w:p>
        </w:tc>
        <w:tc>
          <w:tcPr/>
          <w:p>
            <w:pPr>
              <w:pStyle w:val="Compact"/>
              <w:jc w:val="center"/>
            </w:pPr>
            <w:r>
              <w:t xml:space="preserve">+0.331</w:t>
            </w:r>
          </w:p>
        </w:tc>
      </w:tr>
      <w:tr>
        <w:tc>
          <w:tcPr/>
          <w:p>
            <w:pPr>
              <w:pStyle w:val="Compact"/>
              <w:jc w:val="left"/>
            </w:pPr>
            <w:r>
              <w:t xml:space="preserve">MiniLM MLP</w:t>
            </w:r>
          </w:p>
        </w:tc>
        <w:tc>
          <w:tcPr/>
          <w:p>
            <w:pPr>
              <w:pStyle w:val="Compact"/>
              <w:jc w:val="center"/>
            </w:pPr>
            <w:r>
              <w:t xml:space="preserve">+0.373</w:t>
            </w:r>
          </w:p>
        </w:tc>
        <w:tc>
          <w:tcPr/>
          <w:p>
            <w:pPr>
              <w:pStyle w:val="Compact"/>
              <w:jc w:val="center"/>
            </w:pPr>
            <w:r>
              <w:t xml:space="preserve">+0.275</w:t>
            </w:r>
          </w:p>
        </w:tc>
        <w:tc>
          <w:tcPr/>
          <w:p>
            <w:pPr>
              <w:pStyle w:val="Compact"/>
              <w:jc w:val="center"/>
            </w:pPr>
            <w:r>
              <w:t xml:space="preserve">+0.279</w:t>
            </w:r>
          </w:p>
        </w:tc>
      </w:tr>
      <w:tr>
        <w:tc>
          <w:tcPr/>
          <w:p>
            <w:pPr>
              <w:pStyle w:val="Compact"/>
              <w:jc w:val="left"/>
            </w:pPr>
            <w:r>
              <w:t xml:space="preserve">SciBERT LR</w:t>
            </w:r>
          </w:p>
        </w:tc>
        <w:tc>
          <w:tcPr/>
          <w:p>
            <w:pPr>
              <w:pStyle w:val="Compact"/>
              <w:jc w:val="center"/>
            </w:pPr>
            <w:r>
              <w:t xml:space="preserve">+0.605</w:t>
            </w:r>
            <m:oMath>
              <m:sSup>
                <m:e>
                  <m:r>
                    <m:t>​</m:t>
                  </m:r>
                </m:e>
                <m:sup>
                  <m:r>
                    <m:rPr>
                      <m:sty m:val="p"/>
                    </m:rPr>
                    <m:t>*</m:t>
                  </m:r>
                </m:sup>
              </m:sSup>
            </m:oMath>
          </w:p>
        </w:tc>
        <w:tc>
          <w:tcPr/>
          <w:p>
            <w:pPr>
              <w:pStyle w:val="Compact"/>
              <w:jc w:val="center"/>
            </w:pPr>
            <w:r>
              <w:t xml:space="preserve">+0.466</w:t>
            </w:r>
            <m:oMath>
              <m:sSup>
                <m:e>
                  <m:r>
                    <m:t>​</m:t>
                  </m:r>
                </m:e>
                <m:sup>
                  <m:r>
                    <m:rPr>
                      <m:sty m:val="p"/>
                    </m:rPr>
                    <m:t>†</m:t>
                  </m:r>
                </m:sup>
              </m:sSup>
            </m:oMath>
          </w:p>
        </w:tc>
        <w:tc>
          <w:tcPr/>
          <w:p>
            <w:pPr>
              <w:pStyle w:val="Compact"/>
              <w:jc w:val="center"/>
            </w:pPr>
            <w:r>
              <w:t xml:space="preserve">+0.020</w:t>
            </w:r>
          </w:p>
        </w:tc>
      </w:tr>
      <w:tr>
        <w:tc>
          <w:tcPr/>
          <w:p>
            <w:pPr>
              <w:pStyle w:val="Compact"/>
              <w:jc w:val="left"/>
            </w:pPr>
            <w:r>
              <w:t xml:space="preserve">SciBERT MLP</w:t>
            </w:r>
          </w:p>
        </w:tc>
        <w:tc>
          <w:tcPr/>
          <w:p>
            <w:pPr>
              <w:pStyle w:val="Compact"/>
              <w:jc w:val="center"/>
            </w:pPr>
            <w:r>
              <w:t xml:space="preserve">-0.005</w:t>
            </w:r>
          </w:p>
        </w:tc>
        <w:tc>
          <w:tcPr/>
          <w:p>
            <w:pPr>
              <w:pStyle w:val="Compact"/>
              <w:jc w:val="center"/>
            </w:pPr>
            <w:r>
              <w:t xml:space="preserve">-0.196</w:t>
            </w:r>
          </w:p>
        </w:tc>
        <w:tc>
          <w:tcPr/>
          <w:p>
            <w:pPr>
              <w:pStyle w:val="Compact"/>
              <w:jc w:val="center"/>
            </w:pPr>
            <w:r>
              <w:t xml:space="preserve">+0.225</w:t>
            </w:r>
          </w:p>
        </w:tc>
      </w:tr>
      <w:tr>
        <w:tc>
          <w:tcPr/>
          <w:p>
            <w:pPr>
              <w:pStyle w:val="Compact"/>
              <w:jc w:val="left"/>
            </w:pPr>
            <w:r>
              <w:t xml:space="preserve">Concept LR</w:t>
            </w:r>
          </w:p>
        </w:tc>
        <w:tc>
          <w:tcPr/>
          <w:p>
            <w:pPr>
              <w:pStyle w:val="Compact"/>
              <w:jc w:val="center"/>
            </w:pPr>
            <w:r>
              <w:t xml:space="preserve">+0.221</w:t>
            </w:r>
          </w:p>
        </w:tc>
        <w:tc>
          <w:tcPr/>
          <w:p>
            <w:pPr>
              <w:pStyle w:val="Compact"/>
              <w:jc w:val="center"/>
            </w:pPr>
            <w:r>
              <w:t xml:space="preserve">+0.017</w:t>
            </w:r>
          </w:p>
        </w:tc>
        <w:tc>
          <w:tcPr/>
          <w:p>
            <w:pPr>
              <w:pStyle w:val="Compact"/>
              <w:jc w:val="center"/>
            </w:pPr>
            <w:r>
              <w:t xml:space="preserve">-0.076</w:t>
            </w:r>
          </w:p>
        </w:tc>
      </w:tr>
      <w:tr>
        <w:tc>
          <w:tcPr/>
          <w:p>
            <w:pPr>
              <w:pStyle w:val="Compact"/>
              <w:jc w:val="left"/>
            </w:pPr>
            <w:r>
              <w:t xml:space="preserve">Concept MLP</w:t>
            </w:r>
          </w:p>
        </w:tc>
        <w:tc>
          <w:tcPr/>
          <w:p>
            <w:pPr>
              <w:pStyle w:val="Compact"/>
              <w:jc w:val="center"/>
            </w:pPr>
            <w:r>
              <w:t xml:space="preserve">-0.098</w:t>
            </w:r>
          </w:p>
        </w:tc>
        <w:tc>
          <w:tcPr/>
          <w:p>
            <w:pPr>
              <w:pStyle w:val="Compact"/>
              <w:jc w:val="center"/>
            </w:pPr>
            <w:r>
              <w:t xml:space="preserve">-0.010</w:t>
            </w:r>
          </w:p>
        </w:tc>
        <w:tc>
          <w:tcPr/>
          <w:p>
            <w:pPr>
              <w:pStyle w:val="Compact"/>
              <w:jc w:val="center"/>
            </w:pPr>
            <w:r>
              <w:t xml:space="preserve">-0.127</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+0.212</w:t>
            </w:r>
          </w:p>
        </w:tc>
        <w:tc>
          <w:tcPr/>
          <w:p>
            <w:pPr>
              <w:pStyle w:val="Compact"/>
              <w:jc w:val="center"/>
            </w:pPr>
            <w:r>
              <w:t xml:space="preserve">+0.589</w:t>
            </w:r>
            <m:oMath>
              <m:sSup>
                <m:e>
                  <m:r>
                    <m:t>​</m:t>
                  </m:r>
                </m:e>
                <m:sup>
                  <m:r>
                    <m:rPr>
                      <m:sty m:val="p"/>
                    </m:rPr>
                    <m:t>*</m:t>
                  </m:r>
                </m:sup>
              </m:sSup>
            </m:oMath>
          </w:p>
        </w:tc>
        <w:tc>
          <w:tcPr/>
          <w:p>
            <w:pPr>
              <w:pStyle w:val="Compact"/>
              <w:jc w:val="center"/>
            </w:pPr>
            <w:r>
              <w:t xml:space="preserve">-0.009</w:t>
            </w:r>
          </w:p>
        </w:tc>
      </w:tr>
      <w:tr>
        <w:tc>
          <w:tcPr/>
          <w:p>
            <w:pPr>
              <w:pStyle w:val="Compact"/>
              <w:jc w:val="left"/>
            </w:pPr>
            <w:r>
              <w:t xml:space="preserve">MPNet MLP</w:t>
            </w:r>
          </w:p>
        </w:tc>
        <w:tc>
          <w:tcPr/>
          <w:p>
            <w:pPr>
              <w:pStyle w:val="Compact"/>
              <w:jc w:val="center"/>
            </w:pPr>
            <w:r>
              <w:t xml:space="preserve">+0.175</w:t>
            </w:r>
          </w:p>
        </w:tc>
        <w:tc>
          <w:tcPr/>
          <w:p>
            <w:pPr>
              <w:pStyle w:val="Compact"/>
              <w:jc w:val="center"/>
            </w:pPr>
            <w:r>
              <w:t xml:space="preserve">+0.428</w:t>
            </w:r>
            <m:oMath>
              <m:sSup>
                <m:e>
                  <m:r>
                    <m:t>​</m:t>
                  </m:r>
                </m:e>
                <m:sup>
                  <m:r>
                    <m:rPr>
                      <m:sty m:val="p"/>
                    </m:rPr>
                    <m:t>†</m:t>
                  </m:r>
                </m:sup>
              </m:sSup>
            </m:oMath>
          </w:p>
        </w:tc>
        <w:tc>
          <w:tcPr/>
          <w:p>
            <w:pPr>
              <w:pStyle w:val="Compact"/>
              <w:jc w:val="center"/>
            </w:pPr>
            <w:r>
              <w:t xml:space="preserve">-0.007</w:t>
            </w:r>
          </w:p>
        </w:tc>
      </w:tr>
      <w:tr>
        <w:tc>
          <w:tcPr/>
          <w:p>
            <w:pPr>
              <w:pStyle w:val="Compact"/>
              <w:jc w:val="left"/>
            </w:pPr>
            <w:r>
              <w:t xml:space="preserve">MPNet ZS</w:t>
            </w:r>
          </w:p>
        </w:tc>
        <w:tc>
          <w:tcPr/>
          <w:p>
            <w:pPr>
              <w:pStyle w:val="Compact"/>
              <w:jc w:val="center"/>
            </w:pPr>
            <w:r>
              <w:t xml:space="preserve">-0.094</w:t>
            </w:r>
          </w:p>
        </w:tc>
        <w:tc>
          <w:tcPr/>
          <w:p>
            <w:pPr>
              <w:pStyle w:val="Compact"/>
              <w:jc w:val="center"/>
            </w:pPr>
            <w:r>
              <w:t xml:space="preserve">+0.240</w:t>
            </w:r>
          </w:p>
        </w:tc>
        <w:tc>
          <w:tcPr/>
          <w:p>
            <w:pPr>
              <w:pStyle w:val="Compact"/>
              <w:jc w:val="center"/>
            </w:pPr>
            <w:r>
              <w:t xml:space="preserve">-0.321</w:t>
            </w:r>
          </w:p>
        </w:tc>
      </w:tr>
      <w:tr>
        <w:tc>
          <w:tcPr/>
          <w:p>
            <w:pPr>
              <w:pStyle w:val="Compact"/>
              <w:jc w:val="left"/>
            </w:pPr>
            <w:r>
              <w:t xml:space="preserve">MiniLM LR</w:t>
            </w:r>
          </w:p>
        </w:tc>
        <w:tc>
          <w:tcPr/>
          <w:p>
            <w:pPr>
              <w:pStyle w:val="Compact"/>
              <w:jc w:val="center"/>
            </w:pPr>
            <w:r>
              <w:t xml:space="preserve">-0.015</w:t>
            </w:r>
          </w:p>
        </w:tc>
        <w:tc>
          <w:tcPr/>
          <w:p>
            <w:pPr>
              <w:pStyle w:val="Compact"/>
              <w:jc w:val="center"/>
            </w:pPr>
            <w:r>
              <w:t xml:space="preserve">+0.449</w:t>
            </w:r>
            <m:oMath>
              <m:sSup>
                <m:e>
                  <m:r>
                    <m:t>​</m:t>
                  </m:r>
                </m:e>
                <m:sup>
                  <m:r>
                    <m:rPr>
                      <m:sty m:val="p"/>
                    </m:rPr>
                    <m:t>†</m:t>
                  </m:r>
                </m:sup>
              </m:sSup>
            </m:oMath>
          </w:p>
        </w:tc>
        <w:tc>
          <w:tcPr/>
          <w:p>
            <w:pPr>
              <w:pStyle w:val="Compact"/>
              <w:jc w:val="center"/>
            </w:pPr>
            <w:r>
              <w:t xml:space="preserve">-0.159</w:t>
            </w:r>
          </w:p>
        </w:tc>
      </w:tr>
      <w:tr>
        <w:tc>
          <w:tcPr/>
          <w:p>
            <w:pPr>
              <w:pStyle w:val="Compact"/>
              <w:jc w:val="left"/>
            </w:pPr>
            <w:r>
              <w:t xml:space="preserve">MiniLM MLP</w:t>
            </w:r>
          </w:p>
        </w:tc>
        <w:tc>
          <w:tcPr/>
          <w:p>
            <w:pPr>
              <w:pStyle w:val="Compact"/>
              <w:jc w:val="center"/>
            </w:pPr>
            <w:r>
              <w:t xml:space="preserve">+0.083</w:t>
            </w:r>
          </w:p>
        </w:tc>
        <w:tc>
          <w:tcPr/>
          <w:p>
            <w:pPr>
              <w:pStyle w:val="Compact"/>
              <w:jc w:val="center"/>
            </w:pPr>
            <w:r>
              <w:t xml:space="preserve">+0.456</w:t>
            </w:r>
            <m:oMath>
              <m:sSup>
                <m:e>
                  <m:r>
                    <m:t>​</m:t>
                  </m:r>
                </m:e>
                <m:sup>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-0.100</w:t>
            </w:r>
          </w:p>
        </w:tc>
        <w:tc>
          <w:tcPr/>
          <w:p>
            <w:pPr>
              <w:pStyle w:val="Compact"/>
              <w:jc w:val="center"/>
            </w:pPr>
            <w:r>
              <w:t xml:space="preserve">+0.605</w:t>
            </w:r>
            <m:oMath>
              <m:sSup>
                <m:e>
                  <m:r>
                    <m:t>​</m:t>
                  </m:r>
                </m:e>
                <m:sup>
                  <m:r>
                    <m:rPr>
                      <m:sty m:val="p"/>
                    </m:rPr>
                    <m:t>*</m:t>
                  </m:r>
                </m:sup>
              </m:sSup>
            </m:oMath>
          </w:p>
        </w:tc>
        <w:tc>
          <w:tcPr/>
          <w:p>
            <w:pPr>
              <w:pStyle w:val="Compact"/>
              <w:jc w:val="center"/>
            </w:pPr>
            <w:r>
              <w:t xml:space="preserve">-0.686</w:t>
            </w:r>
            <m:oMath>
              <m:sSup>
                <m:e>
                  <m:r>
                    <m:t>​</m:t>
                  </m:r>
                </m:e>
                <m:sup>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-0.172</w:t>
            </w:r>
          </w:p>
        </w:tc>
        <w:tc>
          <w:tcPr/>
          <w:p>
            <w:pPr>
              <w:pStyle w:val="Compact"/>
              <w:jc w:val="center"/>
            </w:pPr>
            <w:r>
              <w:t xml:space="preserve">+0.395</w:t>
            </w:r>
          </w:p>
        </w:tc>
        <w:tc>
          <w:tcPr/>
          <w:p>
            <w:pPr>
              <w:pStyle w:val="Compact"/>
              <w:jc w:val="center"/>
            </w:pPr>
            <w:r>
              <w:t xml:space="preserve">-0.395</w:t>
            </w:r>
          </w:p>
        </w:tc>
      </w:tr>
      <w:tr>
        <w:tc>
          <w:tcPr/>
          <w:p>
            <w:pPr>
              <w:pStyle w:val="Compact"/>
              <w:jc w:val="left"/>
            </w:pPr>
            <w:r>
              <w:t xml:space="preserve">Concept LR</w:t>
            </w:r>
          </w:p>
        </w:tc>
        <w:tc>
          <w:tcPr/>
          <w:p>
            <w:pPr>
              <w:pStyle w:val="Compact"/>
              <w:jc w:val="center"/>
            </w:pPr>
            <w:r>
              <w:t xml:space="preserve">+0.369</w:t>
            </w:r>
          </w:p>
        </w:tc>
        <w:tc>
          <w:tcPr/>
          <w:p>
            <w:pPr>
              <w:pStyle w:val="Compact"/>
              <w:jc w:val="center"/>
            </w:pPr>
            <w:r>
              <w:t xml:space="preserve">+0.510</w:t>
            </w:r>
            <m:oMath>
              <m:sSup>
                <m:e>
                  <m:r>
                    <m:t>​</m:t>
                  </m:r>
                </m:e>
                <m:sup>
                  <m:r>
                    <m:rPr>
                      <m:sty m:val="p"/>
                    </m:rPr>
                    <m:t>*</m:t>
                  </m:r>
                </m:sup>
              </m:sSup>
            </m:oMath>
          </w:p>
        </w:tc>
        <w:tc>
          <w:tcPr/>
          <w:p>
            <w:pPr>
              <w:pStyle w:val="Compact"/>
              <w:jc w:val="center"/>
            </w:pPr>
            <w:r>
              <w:t xml:space="preserve">+0.178</w:t>
            </w:r>
          </w:p>
        </w:tc>
      </w:tr>
      <w:tr>
        <w:tc>
          <w:tcPr/>
          <w:p>
            <w:pPr>
              <w:pStyle w:val="Compact"/>
              <w:jc w:val="left"/>
            </w:pPr>
            <w:r>
              <w:t xml:space="preserve">Concept MLP</w:t>
            </w:r>
          </w:p>
        </w:tc>
        <w:tc>
          <w:tcPr/>
          <w:p>
            <w:pPr>
              <w:pStyle w:val="Compact"/>
              <w:jc w:val="center"/>
            </w:pPr>
            <w:r>
              <w:t xml:space="preserve">+0.256</w:t>
            </w:r>
          </w:p>
        </w:tc>
        <w:tc>
          <w:tcPr/>
          <w:p>
            <w:pPr>
              <w:pStyle w:val="Compact"/>
              <w:jc w:val="center"/>
            </w:pPr>
            <w:r>
              <w:t xml:space="preserve">+0.258</w:t>
            </w:r>
          </w:p>
        </w:tc>
        <w:tc>
          <w:tcPr/>
          <w:p>
            <w:pPr>
              <w:pStyle w:val="Compact"/>
              <w:jc w:val="center"/>
            </w:pPr>
            <w:r>
              <w:t xml:space="preserve">+0.082</w:t>
            </w:r>
          </w:p>
        </w:tc>
      </w:tr>
    </w:tbl>
    <w:bookmarkEnd w:id="62"/>
    <w:p>
      <w:pPr>
        <w:pStyle w:val="BodyText"/>
      </w:pPr>
      <w:r>
        <w:rPr>
          <w:iCs/>
          <w:i/>
        </w:rPr>
        <w:t xml:space="preserve">Notes:</w:t>
      </w:r>
      <w:r>
        <w:t xml:space="preserve"> </w:t>
      </w:r>
      <w:r>
        <w:t xml:space="preserve">Raw gap = naive semantic-gap estimate; Adj. gap = after INLP register removal (primary estimate; evaluated in Appendix </w:t>
      </w:r>
      <w:hyperlink w:anchor="app:register-validation">
        <w:r>
          <w:rPr>
            <w:rStyle w:val="Hyperlink"/>
          </w:rPr>
          <w:t xml:space="preserve">13.2</w:t>
        </w:r>
      </w:hyperlink>
      <w:r>
        <w:t xml:space="preserve">); Register = raw</w:t>
      </w:r>
      <w:r>
        <w:t xml:space="preserve"> </w:t>
      </w:r>
      <m:oMath>
        <m:r>
          <m:rPr>
            <m:sty m:val="p"/>
          </m:rPr>
          <m:t>−</m:t>
        </m:r>
      </m:oMath>
      <w:r>
        <w:t xml:space="preserve"> </w:t>
      </w:r>
      <w:r>
        <w:t xml:space="preserve">adjusted. Each correlation is between two rank vectors (ranks 1–17 across the 17 SDGs); Spearman</w:t>
      </w:r>
      <w:r>
        <w:t xml:space="preserve"> </w:t>
      </w:r>
      <m:oMath>
        <m:r>
          <m:t>ρ</m:t>
        </m:r>
      </m:oMath>
      <w:r>
        <w:t xml:space="preserve"> </w:t>
      </w:r>
      <w:r>
        <w:t xml:space="preserve">is the Pearson correlation of these ranks, testing monotonic association.</w:t>
      </w:r>
      <w:r>
        <w:t xml:space="preserve"> </w:t>
      </w:r>
      <m:oMath>
        <m:sSup>
          <m:e>
            <m:r>
              <m:t>​</m:t>
            </m:r>
          </m:e>
          <m:sup>
            <m:r>
              <m:rPr>
                <m:sty m:val="p"/>
              </m:rPr>
              <m:t>*</m:t>
            </m:r>
            <m:r>
              <m:rPr>
                <m:sty m:val="p"/>
              </m:rPr>
              <m:t>*</m:t>
            </m:r>
            <m:r>
              <m:rPr>
                <m:sty m:val="p"/>
              </m:rPr>
              <m:t>*</m:t>
            </m:r>
          </m:sup>
        </m:sSup>
        <m:r>
          <m:t>p</m:t>
        </m:r>
        <m:r>
          <m:rPr>
            <m:sty m:val="p"/>
          </m:rPr>
          <m:t>&lt;</m:t>
        </m:r>
        <m:r>
          <m:t>.001</m:t>
        </m:r>
      </m:oMath>
      <w:r>
        <w:t xml:space="preserve">,</w:t>
      </w:r>
      <w:r>
        <w:t xml:space="preserve"> </w:t>
      </w:r>
      <m:oMath>
        <m:sSup>
          <m:e>
            <m:r>
              <m:t>​</m:t>
            </m:r>
          </m:e>
          <m:sup>
            <m:r>
              <m:rPr>
                <m:sty m:val="p"/>
              </m:rPr>
              <m:t>*</m:t>
            </m:r>
            <m:r>
              <m:rPr>
                <m:sty m:val="p"/>
              </m:rPr>
              <m:t>*</m:t>
            </m:r>
          </m:sup>
        </m:sSup>
        <m:r>
          <m:t>p</m:t>
        </m:r>
        <m:r>
          <m:rPr>
            <m:sty m:val="p"/>
          </m:rPr>
          <m:t>&lt;</m:t>
        </m:r>
        <m:r>
          <m:t>.01</m:t>
        </m:r>
      </m:oMath>
      <w:r>
        <w:t xml:space="preserve">,</w:t>
      </w:r>
      <w:r>
        <w:t xml:space="preserve"> </w:t>
      </w:r>
      <m:oMath>
        <m:sSup>
          <m:e>
            <m:r>
              <m:t>​</m:t>
            </m:r>
          </m:e>
          <m:sup>
            <m:r>
              <m:rPr>
                <m:sty m:val="p"/>
              </m:rPr>
              <m:t>*</m:t>
            </m:r>
          </m:sup>
        </m:sSup>
        <m:r>
          <m:t>p</m:t>
        </m:r>
        <m:r>
          <m:rPr>
            <m:sty m:val="p"/>
          </m:rPr>
          <m:t>&lt;</m:t>
        </m:r>
        <m:r>
          <m:t>.05</m:t>
        </m:r>
      </m:oMath>
      <w:r>
        <w:t xml:space="preserve">,</w:t>
      </w:r>
      <w:r>
        <w:t xml:space="preserve"> </w:t>
      </w:r>
      <m:oMath>
        <m:sSup>
          <m:e>
            <m:r>
              <m:t>​</m:t>
            </m:r>
          </m:e>
          <m:sup>
            <m:r>
              <m:rPr>
                <m:sty m:val="p"/>
              </m:rPr>
              <m:t>†</m:t>
            </m:r>
          </m:sup>
        </m:sSup>
        <m:r>
          <m:t>p</m:t>
        </m:r>
        <m:r>
          <m:rPr>
            <m:sty m:val="p"/>
          </m:rPr>
          <m:t>&lt;</m:t>
        </m:r>
        <m:r>
          <m:t>.10</m:t>
        </m:r>
      </m:oMath>
      <w:r>
        <w:t xml:space="preserve">.</w:t>
      </w:r>
    </w:p>
    <w:p>
      <w:pPr>
        <w:pStyle w:val="BodyText"/>
      </w:pPr>
      <w:r>
        <w:t xml:space="preserve">H1a is null on the raw gap (</w:t>
      </w:r>
      <m:oMath>
        <m:r>
          <m:t>ρ</m:t>
        </m:r>
        <m:r>
          <m:rPr>
            <m:sty m:val="p"/>
          </m:rPr>
          <m:t>=</m:t>
        </m:r>
        <m:r>
          <m:rPr>
            <m:sty m:val="p"/>
          </m:rPr>
          <m:t>−</m:t>
        </m:r>
        <m:r>
          <m:t>0.012</m:t>
        </m:r>
      </m:oMath>
      <w:r>
        <w:t xml:space="preserve">,</w:t>
      </w:r>
      <w:r>
        <w:t xml:space="preserve"> </w:t>
      </w:r>
      <m:oMath>
        <m:r>
          <m:t>p</m:t>
        </m:r>
        <m:r>
          <m:rPr>
            <m:sty m:val="p"/>
          </m:rPr>
          <m:t>=</m:t>
        </m:r>
        <m:r>
          <m:t>0.959</m:t>
        </m:r>
      </m:oMath>
      <w:r>
        <w:t xml:space="preserve">; Table </w:t>
      </w:r>
      <w:hyperlink w:anchor="tab:interaction">
        <w:r>
          <w:rPr>
            <w:rStyle w:val="Hyperlink"/>
          </w:rPr>
          <w:t xml:space="preserve">5</w:t>
        </w:r>
      </w:hyperlink>
      <w:r>
        <w:t xml:space="preserve">, MPNet LR). The raw gap masks a register–topic decomposition: the register component (</w:t>
      </w:r>
      <m:oMath>
        <m:r>
          <m:t>ρ</m:t>
        </m:r>
        <m:r>
          <m:rPr>
            <m:sty m:val="p"/>
          </m:rPr>
          <m:t>=</m:t>
        </m:r>
        <m:r>
          <m:rPr>
            <m:sty m:val="p"/>
          </m:rPr>
          <m:t>−</m:t>
        </m:r>
        <m:r>
          <m:t>0.390</m:t>
        </m:r>
      </m:oMath>
      <w:r>
        <w:t xml:space="preserve">,</w:t>
      </w:r>
      <w:r>
        <w:t xml:space="preserve"> </w:t>
      </w:r>
      <m:oMath>
        <m:r>
          <m:t>p</m:t>
        </m:r>
        <m:r>
          <m:rPr>
            <m:sty m:val="p"/>
          </m:rPr>
          <m:t>=</m:t>
        </m:r>
        <m:r>
          <m:t>0.120</m:t>
        </m:r>
      </m:oMath>
      <w:r>
        <w:t xml:space="preserve">) is negatively associated, while the adjusted gap is positively associated (</w:t>
      </w:r>
      <m:oMath>
        <m:r>
          <m:t>ρ</m:t>
        </m:r>
        <m:r>
          <m:rPr>
            <m:sty m:val="p"/>
          </m:rPr>
          <m:t>=</m:t>
        </m:r>
        <m:r>
          <m:t>0.544</m:t>
        </m:r>
      </m:oMath>
      <w:r>
        <w:t xml:space="preserve">,</w:t>
      </w:r>
      <w:r>
        <w:t xml:space="preserve"> </w:t>
      </w:r>
      <m:oMath>
        <m:r>
          <m:t>p</m:t>
        </m:r>
        <m:r>
          <m:rPr>
            <m:sty m:val="p"/>
          </m:rPr>
          <m:t>=</m:t>
        </m:r>
        <m:r>
          <m:t>0.025</m:t>
        </m:r>
      </m:oMath>
      <w:r>
        <w:t xml:space="preserve">). After register removal, the adjusted gap is positively associated with the coverage gap (positive in 8/9 configs). The directional decomposition shows an asymmetric pattern: H1d (policy coverage) is positive in 9/9 configurations, significant at</w:t>
      </w:r>
      <w:r>
        <w:t xml:space="preserve"> </w:t>
      </w:r>
      <m:oMath>
        <m:r>
          <m:t>p</m:t>
        </m:r>
        <m:r>
          <m:rPr>
            <m:sty m:val="p"/>
          </m:rPr>
          <m:t>&lt;</m:t>
        </m:r>
        <m:r>
          <m:t>0.05</m:t>
        </m:r>
      </m:oMath>
      <w:r>
        <w:t xml:space="preserve"> </w:t>
      </w:r>
      <w:r>
        <w:t xml:space="preserve">for MPNet LR (</w:t>
      </w:r>
      <m:oMath>
        <m:r>
          <m:t>ρ</m:t>
        </m:r>
        <m:r>
          <m:rPr>
            <m:sty m:val="p"/>
          </m:rPr>
          <m:t>=</m:t>
        </m:r>
        <m:r>
          <m:rPr>
            <m:sty m:val="p"/>
          </m:rPr>
          <m:t>+</m:t>
        </m:r>
        <m:r>
          <m:t>0.589</m:t>
        </m:r>
      </m:oMath>
      <w:r>
        <w:t xml:space="preserve">), SciBERT LR (</w:t>
      </w:r>
      <m:oMath>
        <m:r>
          <m:t>ρ</m:t>
        </m:r>
        <m:r>
          <m:rPr>
            <m:sty m:val="p"/>
          </m:rPr>
          <m:t>=</m:t>
        </m:r>
        <m:r>
          <m:rPr>
            <m:sty m:val="p"/>
          </m:rPr>
          <m:t>+</m:t>
        </m:r>
        <m:r>
          <m:t>0.605</m:t>
        </m:r>
      </m:oMath>
      <w:r>
        <w:t xml:space="preserve">), and Concept LR (</w:t>
      </w:r>
      <m:oMath>
        <m:r>
          <m:t>ρ</m:t>
        </m:r>
        <m:r>
          <m:rPr>
            <m:sty m:val="p"/>
          </m:rPr>
          <m:t>=</m:t>
        </m:r>
        <m:r>
          <m:rPr>
            <m:sty m:val="p"/>
          </m:rPr>
          <m:t>+</m:t>
        </m:r>
        <m:r>
          <m:t>0.510</m:t>
        </m:r>
      </m:oMath>
      <w:r>
        <w:t xml:space="preserve">), while H1b (signed dominance) and H1c (research coverage) show no consistent adjusted-direction signal. The linkage between coverage and framing is asymmetric: where policy heavily covers an SDG, the adjusted gap tends to be wider.</w:t>
      </w:r>
    </w:p>
    <w:p>
      <w:pPr>
        <w:pStyle w:val="BodyText"/>
      </w:pPr>
      <w:r>
        <w:t xml:space="preserve">The adjusted association is marginal: under a conservative familywise view of the three linked statistics,</w:t>
      </w:r>
      <w:r>
        <w:t xml:space="preserve"> </w:t>
      </w:r>
      <m:oMath>
        <m:r>
          <m:t>p</m:t>
        </m:r>
        <m:r>
          <m:rPr>
            <m:sty m:val="p"/>
          </m:rPr>
          <m:t>=</m:t>
        </m:r>
        <m:r>
          <m:t>0.025</m:t>
        </m:r>
      </m:oMath>
      <w:r>
        <w:t xml:space="preserve"> </w:t>
      </w:r>
      <w:r>
        <w:t xml:space="preserve">would not survive a correction, so it is read as pattern-consistent evidence for the offsetting decomposition rather than a confirmatory test, with the weight carried by the cross-configuration and cross-encoder consistency above (Section </w:t>
      </w:r>
      <w:hyperlink w:anchor="sec:robustness">
        <w:r>
          <w:rPr>
            <w:rStyle w:val="Hyperlink"/>
          </w:rPr>
          <w:t xml:space="preserve">4.5</w:t>
        </w:r>
      </w:hyperlink>
      <w:r>
        <w:t xml:space="preserve">).</w:t>
      </w:r>
    </w:p>
    <w:p>
      <w:pPr>
        <w:pStyle w:val="BodyText"/>
      </w:pPr>
      <w:r>
        <w:t xml:space="preserve">A metric-sensitivity check repeats this grid with Pearson</w:t>
      </w:r>
      <w:r>
        <w:t xml:space="preserve"> </w:t>
      </w:r>
      <m:oMath>
        <m:r>
          <m:t>r</m:t>
        </m:r>
      </m:oMath>
      <w:r>
        <w:t xml:space="preserve"> </w:t>
      </w:r>
      <w:r>
        <w:t xml:space="preserve">on the raw magnitudes instead of Spearman</w:t>
      </w:r>
      <w:r>
        <w:t xml:space="preserve"> </w:t>
      </w:r>
      <m:oMath>
        <m:r>
          <m:t>ρ</m:t>
        </m:r>
      </m:oMath>
      <w:r>
        <w:t xml:space="preserve"> </w:t>
      </w:r>
      <w:r>
        <w:t xml:space="preserve">(Appendix </w:t>
      </w:r>
      <w:hyperlink w:anchor="app:raw-value-correlation">
        <w:r>
          <w:rPr>
            <w:rStyle w:val="Hyperlink"/>
          </w:rPr>
          <w:t xml:space="preserve">14.6</w:t>
        </w:r>
      </w:hyperlink>
      <w:r>
        <w:t xml:space="preserve">); the adjusted-gap association is unchanged in sign under the metric switch for the signal-bearing hypotheses (H1a, H1d); the few sign changes are confined to insignificant configs in the null H1b/H1c, confirming the rank-based reporting is not driving the result.</w:t>
      </w:r>
    </w:p>
    <w:p>
      <w:pPr>
        <w:pStyle w:val="BodyText"/>
      </w:pPr>
      <w:r>
        <w:t xml:space="preserve">The SDG 4 lexical artefact (Appendix </w:t>
      </w:r>
      <w:hyperlink w:anchor="app:sdg4-lexical-audit">
        <w:r>
          <w:rPr>
            <w:rStyle w:val="Hyperlink"/>
          </w:rPr>
          <w:t xml:space="preserve">8.1</w:t>
        </w:r>
      </w:hyperlink>
      <w:r>
        <w:t xml:space="preserve">) does not drive this result. A leave-one-out check with SDG 4 removed leaves the raw coverage-gap correlation null (</w:t>
      </w:r>
      <m:oMath>
        <m:r>
          <m:t>ρ</m:t>
        </m:r>
        <m:r>
          <m:rPr>
            <m:sty m:val="p"/>
          </m:rPr>
          <m:t>=</m:t>
        </m:r>
        <m:r>
          <m:t>0.088</m:t>
        </m:r>
      </m:oMath>
      <w:r>
        <w:t xml:space="preserve">,</w:t>
      </w:r>
      <w:r>
        <w:t xml:space="preserve"> </w:t>
      </w:r>
      <m:oMath>
        <m:r>
          <m:t>p</m:t>
        </m:r>
        <m:r>
          <m:rPr>
            <m:sty m:val="p"/>
          </m:rPr>
          <m:t>=</m:t>
        </m:r>
        <m:r>
          <m:t>0.744</m:t>
        </m:r>
      </m:oMath>
      <w:r>
        <w:t xml:space="preserve">) and preserves the positive register-adjusted coverage-gap association (</w:t>
      </w:r>
      <m:oMath>
        <m:r>
          <m:t>ρ</m:t>
        </m:r>
        <m:r>
          <m:rPr>
            <m:sty m:val="p"/>
          </m:rPr>
          <m:t>=</m:t>
        </m:r>
        <m:r>
          <m:t>0.597</m:t>
        </m:r>
      </m:oMath>
      <w:r>
        <w:t xml:space="preserve">,</w:t>
      </w:r>
      <w:r>
        <w:t xml:space="preserve"> </w:t>
      </w:r>
      <m:oMath>
        <m:r>
          <m:t>p</m:t>
        </m:r>
        <m:r>
          <m:rPr>
            <m:sty m:val="p"/>
          </m:rPr>
          <m:t>=</m:t>
        </m:r>
        <m:r>
          <m:t>0.016</m:t>
        </m:r>
      </m:oMath>
      <w:r>
        <w:t xml:space="preserve">), so the artefact is responsible for neither the raw null nor the adjusted association.</w:t>
      </w:r>
    </w:p>
    <w:p>
      <w:pPr>
        <w:pStyle w:val="BodyText"/>
      </w:pPr>
      <w:r>
        <w:t xml:space="preserve">The corpus asymmetry does not manufacture this null. Because the research corpus is the AI</w:t>
      </w:r>
      <w:r>
        <w:t xml:space="preserve"> </w:t>
      </w:r>
      <m:oMath>
        <m:r>
          <m:rPr>
            <m:sty m:val="p"/>
          </m:rPr>
          <m:t>∩</m:t>
        </m:r>
      </m:oMath>
      <w:r>
        <w:t xml:space="preserve"> </w:t>
      </w:r>
      <w:r>
        <w:t xml:space="preserve">SDG intersection while the policy corpus pools AI-specific and broad institutional SDG discourse, this study re-ran the interaction test with the policy side restricted to the curated AI/SDG family, a symmetric AI/SDG-vs-AI/SDG comparison that matches the research corpus’s scope. The raw-null pattern holds: research share remains uncorrelated with the gap (</w:t>
      </w:r>
      <m:oMath>
        <m:r>
          <m:t>ρ</m:t>
        </m:r>
        <m:r>
          <m:rPr>
            <m:sty m:val="p"/>
          </m:rPr>
          <m:t>=</m:t>
        </m:r>
        <m:r>
          <m:rPr>
            <m:sty m:val="p"/>
          </m:rPr>
          <m:t>−</m:t>
        </m:r>
        <m:r>
          <m:t>0.056</m:t>
        </m:r>
      </m:oMath>
      <w:r>
        <w:t xml:space="preserve">,</w:t>
      </w:r>
      <w:r>
        <w:t xml:space="preserve"> </w:t>
      </w:r>
      <m:oMath>
        <m:r>
          <m:t>p</m:t>
        </m:r>
        <m:r>
          <m:rPr>
            <m:sty m:val="p"/>
          </m:rPr>
          <m:t>=</m:t>
        </m:r>
        <m:r>
          <m:t>0.833</m:t>
        </m:r>
      </m:oMath>
      <w:r>
        <w:t xml:space="preserve">), and the coverage-gap correlation does not reach significance either (</w:t>
      </w:r>
      <m:oMath>
        <m:r>
          <m:t>ρ</m:t>
        </m:r>
        <m:r>
          <m:rPr>
            <m:sty m:val="p"/>
          </m:rPr>
          <m:t>=</m:t>
        </m:r>
        <m:r>
          <m:rPr>
            <m:sty m:val="p"/>
          </m:rPr>
          <m:t>−</m:t>
        </m:r>
        <m:r>
          <m:t>0.223</m:t>
        </m:r>
      </m:oMath>
      <w:r>
        <w:t xml:space="preserve">,</w:t>
      </w:r>
      <w:r>
        <w:t xml:space="preserve"> </w:t>
      </w:r>
      <m:oMath>
        <m:r>
          <m:t>p</m:t>
        </m:r>
        <m:r>
          <m:rPr>
            <m:sty m:val="p"/>
          </m:rPr>
          <m:t>=</m:t>
        </m:r>
        <m:r>
          <m:t>0.386</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 The adjusted decomposition shows the same boundary: on register-removed gaps, the curated-family coverage–gap correlation is null (</w:t>
      </w:r>
      <m:oMath>
        <m:r>
          <m:t>ρ</m:t>
        </m:r>
        <m:r>
          <m:rPr>
            <m:sty m:val="p"/>
          </m:rPr>
          <m:t>=</m:t>
        </m:r>
        <m:r>
          <m:rPr>
            <m:sty m:val="p"/>
          </m:rPr>
          <m:t>−</m:t>
        </m:r>
        <m:r>
          <m:t>0.061</m:t>
        </m:r>
      </m:oMath>
      <w:r>
        <w:t xml:space="preserve">,</w:t>
      </w:r>
      <w:r>
        <w:t xml:space="preserve"> </w:t>
      </w:r>
      <m:oMath>
        <m:r>
          <m:t>p</m:t>
        </m:r>
        <m:r>
          <m:rPr>
            <m:sty m:val="p"/>
          </m:rPr>
          <m:t>=</m:t>
        </m:r>
        <m:r>
          <m:t>0.807</m:t>
        </m:r>
      </m:oMath>
      <w:r>
        <w:t xml:space="preserve">), while the corresponding SDGi-family and full-corpus correlations are positive (</w:t>
      </w:r>
      <m:oMath>
        <m:r>
          <m:t>ρ</m:t>
        </m:r>
        <m:r>
          <m:rPr>
            <m:sty m:val="p"/>
          </m:rPr>
          <m:t>=</m:t>
        </m:r>
        <m:r>
          <m:t>0.498</m:t>
        </m:r>
      </m:oMath>
      <w:r>
        <w:t xml:space="preserve">,</w:t>
      </w:r>
      <w:r>
        <w:t xml:space="preserve"> </w:t>
      </w:r>
      <m:oMath>
        <m:r>
          <m:t>p</m:t>
        </m:r>
        <m:r>
          <m:rPr>
            <m:sty m:val="p"/>
          </m:rPr>
          <m:t>=</m:t>
        </m:r>
        <m:r>
          <m:t>0.044</m:t>
        </m:r>
      </m:oMath>
      <w:r>
        <w:t xml:space="preserve">; Table </w:t>
      </w:r>
      <w:hyperlink w:anchor="tab:policy-source-family-h25">
        <w:r>
          <w:rPr>
            <w:rStyle w:val="Hyperlink"/>
          </w:rPr>
          <w:t xml:space="preserve">33</w:t>
        </w:r>
      </w:hyperlink>
      <w:r>
        <w:t xml:space="preserve">, Appendix </w:t>
      </w:r>
      <w:hyperlink w:anchor="app:policy-source-data">
        <w:r>
          <w:rPr>
            <w:rStyle w:val="Hyperlink"/>
          </w:rPr>
          <w:t xml:space="preserve">14.7</w:t>
        </w:r>
      </w:hyperlink>
      <w:r>
        <w:t xml:space="preserve">).</w:t>
      </w:r>
    </w:p>
    <w:p>
      <w:pPr>
        <w:pStyle w:val="BodyText"/>
      </w:pPr>
      <w:r>
        <w:t xml:space="preserve">Figure </w:t>
      </w:r>
      <w:hyperlink w:anchor="fig:typology_scatter">
        <w:r>
          <w:rPr>
            <w:rStyle w:val="Hyperlink"/>
          </w:rPr>
          <w:t xml:space="preserve">6</w:t>
        </w:r>
      </w:hyperlink>
      <w:r>
        <w:t xml:space="preserve"> </w:t>
      </w:r>
      <w:r>
        <w:t xml:space="preserve">shows the within-SDG semantic gap against each coverage predictor. Panel (a) is the H1a test (absolute coverage gap): large coverage gaps span the full range of adjusted semantic gaps, so no single SDG drives the near-zero raw H1a association. The directional panels show the asymmetry: H1b (signed dominance) and H1c (research coverage) show no consistent adjusted-direction trend, while H1d (policy coverage) rises with the adjusted gap.</w:t>
      </w:r>
    </w:p>
    <w:tbl>
      <w:tblPr>
        <w:tblStyle w:val="FigureTable"/>
        <w:tblW w:type="auto" w:w="0"/>
        <w:tblLook w:firstRow="0" w:lastRow="0" w:firstColumn="0" w:lastColumn="0"/>
        <w:jc w:val="center"/>
      </w:tblPr>
      <w:tblGrid>
        <w:gridCol w:w="1584"/>
        <w:gridCol w:w="1584"/>
        <w:gridCol w:w="1584"/>
        <w:gridCol w:w="1584"/>
        <w:gridCol w:w="1584"/>
      </w:tblGrid>
      <w:tr>
        <w:tc>
          <w:tcPr/>
          <w:p>
            <w:pPr>
              <w:pStyle w:val="CaptionedFigure"/>
              <w:jc w:val="center"/>
            </w:pPr>
            <w:r>
              <w:drawing>
                <wp:inline>
                  <wp:extent cx="1066800" cy="858609"/>
                  <wp:effectExtent b="0" l="0" r="0" t="0"/>
                  <wp:docPr descr="" title="" id="64" name="Picture"/>
                  <a:graphic>
                    <a:graphicData uri="http://schemas.openxmlformats.org/drawingml/2006/picture">
                      <pic:pic>
                        <pic:nvPicPr>
                          <pic:cNvPr descr="fig9_h1a_scatter.png" id="65" name="Picture"/>
                          <pic:cNvPicPr>
                            <a:picLocks noChangeArrowheads="1" noChangeAspect="1"/>
                          </pic:cNvPicPr>
                        </pic:nvPicPr>
                        <pic:blipFill>
                          <a:blip r:embed="rId63"/>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H1a: absolute coverage gap</w:t>
            </w:r>
          </w:p>
        </w:tc>
        <w:tc>
          <w:tcPr/>
          <w:p>
            <w:pPr>
              <w:pStyle w:val="CaptionedFigure"/>
              <w:jc w:val="center"/>
            </w:pPr>
            <w:r>
              <w:drawing>
                <wp:inline>
                  <wp:extent cx="1066800" cy="856926"/>
                  <wp:effectExtent b="0" l="0" r="0" t="0"/>
                  <wp:docPr descr="" title="" id="67" name="Picture"/>
                  <a:graphic>
                    <a:graphicData uri="http://schemas.openxmlformats.org/drawingml/2006/picture">
                      <pic:pic>
                        <pic:nvPicPr>
                          <pic:cNvPr descr="fig9_h1b_scatter.png" id="68" name="Picture"/>
                          <pic:cNvPicPr>
                            <a:picLocks noChangeArrowheads="1" noChangeAspect="1"/>
                          </pic:cNvPicPr>
                        </pic:nvPicPr>
                        <pic:blipFill>
                          <a:blip r:embed="rId66"/>
                          <a:stretch>
                            <a:fillRect/>
                          </a:stretch>
                        </pic:blipFill>
                        <pic:spPr bwMode="auto">
                          <a:xfrm>
                            <a:off x="0" y="0"/>
                            <a:ext cx="1066800" cy="856926"/>
                          </a:xfrm>
                          <a:prstGeom prst="rect">
                            <a:avLst/>
                          </a:prstGeom>
                          <a:noFill/>
                          <a:ln w="9525">
                            <a:noFill/>
                            <a:headEnd/>
                            <a:tailEnd/>
                          </a:ln>
                        </pic:spPr>
                      </pic:pic>
                    </a:graphicData>
                  </a:graphic>
                </wp:inline>
              </w:drawing>
            </w:r>
          </w:p>
          <w:p>
            <w:pPr>
              <w:pStyle w:val="ImageCaption"/>
              <w:jc w:val="center"/>
            </w:pPr>
            <w:r>
              <w:t xml:space="preserve">H1b: signed dominance (research%</w:t>
            </w:r>
            <w:r>
              <w:t xml:space="preserve"> </w:t>
            </w:r>
            <m:oMath>
              <m:r>
                <m:rPr>
                  <m:sty m:val="p"/>
                </m:rPr>
                <m:t>−</m:t>
              </m:r>
            </m:oMath>
            <w:r>
              <w:t xml:space="preserve"> </w:t>
            </w:r>
            <w:r>
              <w:t xml:space="preserve">policy%)</w:t>
            </w:r>
          </w:p>
        </w:tc>
        <w:tc>
          <w:tcPr/>
          <w:p>
            <w:pPr>
              <w:pStyle w:val="CaptionedFigure"/>
              <w:jc w:val="center"/>
            </w:pPr>
            <w:r>
              <w:drawing>
                <wp:inline>
                  <wp:extent cx="1066800" cy="858609"/>
                  <wp:effectExtent b="0" l="0" r="0" t="0"/>
                  <wp:docPr descr="" title="" id="70" name="Picture"/>
                  <a:graphic>
                    <a:graphicData uri="http://schemas.openxmlformats.org/drawingml/2006/picture">
                      <pic:pic>
                        <pic:nvPicPr>
                          <pic:cNvPr descr="fig9_h1c_scatter.png" id="71" name="Picture"/>
                          <pic:cNvPicPr>
                            <a:picLocks noChangeArrowheads="1" noChangeAspect="1"/>
                          </pic:cNvPicPr>
                        </pic:nvPicPr>
                        <pic:blipFill>
                          <a:blip r:embed="rId69"/>
                          <a:stretch>
                            <a:fillRect/>
                          </a:stretch>
                        </pic:blipFill>
                        <pic:spPr bwMode="auto">
                          <a:xfrm>
                            <a:off x="0" y="0"/>
                            <a:ext cx="1066800" cy="858609"/>
                          </a:xfrm>
                          <a:prstGeom prst="rect">
                            <a:avLst/>
                          </a:prstGeom>
                          <a:noFill/>
                          <a:ln w="9525">
                            <a:noFill/>
                            <a:headEnd/>
                            <a:tailEnd/>
                          </a:ln>
                        </pic:spPr>
                      </pic:pic>
                    </a:graphicData>
                  </a:graphic>
                </wp:inline>
              </w:drawing>
            </w:r>
          </w:p>
          <w:p>
            <w:pPr>
              <w:pStyle w:val="ImageCaption"/>
              <w:jc w:val="center"/>
            </w:pPr>
            <w:r>
              <w:t xml:space="preserve">H1c: research coverage (%)</w:t>
            </w:r>
          </w:p>
        </w:tc>
        <w:tc>
          <w:tcPr/>
          <w:p>
            <w:pPr>
              <w:pStyle w:val="CaptionedFigure"/>
              <w:jc w:val="center"/>
            </w:pPr>
            <w:r>
              <w:drawing>
                <wp:inline>
                  <wp:extent cx="1066800" cy="858047"/>
                  <wp:effectExtent b="0" l="0" r="0" t="0"/>
                  <wp:docPr descr="" title="" id="73" name="Picture"/>
                  <a:graphic>
                    <a:graphicData uri="http://schemas.openxmlformats.org/drawingml/2006/picture">
                      <pic:pic>
                        <pic:nvPicPr>
                          <pic:cNvPr descr="fig9_h1d_scatter.png" id="74" name="Picture"/>
                          <pic:cNvPicPr>
                            <a:picLocks noChangeArrowheads="1" noChangeAspect="1"/>
                          </pic:cNvPicPr>
                        </pic:nvPicPr>
                        <pic:blipFill>
                          <a:blip r:embed="rId72"/>
                          <a:stretch>
                            <a:fillRect/>
                          </a:stretch>
                        </pic:blipFill>
                        <pic:spPr bwMode="auto">
                          <a:xfrm>
                            <a:off x="0" y="0"/>
                            <a:ext cx="1066800" cy="858047"/>
                          </a:xfrm>
                          <a:prstGeom prst="rect">
                            <a:avLst/>
                          </a:prstGeom>
                          <a:noFill/>
                          <a:ln w="9525">
                            <a:noFill/>
                            <a:headEnd/>
                            <a:tailEnd/>
                          </a:ln>
                        </pic:spPr>
                      </pic:pic>
                    </a:graphicData>
                  </a:graphic>
                </wp:inline>
              </w:drawing>
            </w:r>
          </w:p>
          <w:p>
            <w:pPr>
              <w:pStyle w:val="ImageCaption"/>
              <w:jc w:val="center"/>
            </w:pPr>
            <w:r>
              <w:t xml:space="preserve">H1d: policy coverage (%)</w:t>
            </w:r>
          </w:p>
        </w:tc>
        <w:tc>
          <w:tcPr/>
          <w:p>
            <w:pPr>
              <w:jc w:val="center"/>
            </w:pPr>
            <w:r>
              <w:rPr>
                <w:iCs/>
                <w:i/>
              </w:rPr>
              <w:t xml:space="preserve">Notes:</w:t>
            </w:r>
            <w:r>
              <w:t xml:space="preserve"> </w:t>
            </w:r>
            <w:r>
              <w:t xml:space="preserve">Semantic gaps from Figs </w:t>
            </w:r>
            <w:hyperlink w:anchor="fig:semantic_gap">
              <w:r>
                <w:rPr>
                  <w:rStyle w:val="Hyperlink"/>
                </w:rPr>
                <w:t xml:space="preserve">5</w:t>
              </w:r>
            </w:hyperlink>
            <w:r>
              <w:t xml:space="preserve"> </w:t>
            </w:r>
            <w:r>
              <w:t xml:space="preserve">and </w:t>
            </w:r>
            <w:hyperlink w:anchor="fig:typology_scatter">
              <w:r>
                <w:rPr>
                  <w:rStyle w:val="Hyperlink"/>
                </w:rPr>
                <w:t xml:space="preserve">6</w:t>
              </w:r>
            </w:hyperlink>
            <w:r>
              <w:t xml:space="preserve">; coverage predictors from Fig. </w:t>
            </w:r>
            <w:hyperlink w:anchor="fig:coverage_profiles">
              <w:r>
                <w:rPr>
                  <w:rStyle w:val="Hyperlink"/>
                </w:rPr>
                <w:t xml:space="preserve">3</w:t>
              </w:r>
            </w:hyperlink>
            <w:r>
              <w:t xml:space="preserve">. Cov.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Signed dom. = research share</w:t>
            </w:r>
            <w:r>
              <w:t xml:space="preserve"> </w:t>
            </w:r>
            <m:oMath>
              <m:r>
                <m:rPr>
                  <m:sty m:val="p"/>
                </m:rPr>
                <m:t>−</m:t>
              </m:r>
            </m:oMath>
            <w:r>
              <w:t xml:space="preserve"> </w:t>
            </w:r>
            <w:r>
              <w:t xml:space="preserve">policy share (pp). Reg. Comp. = raw</w:t>
            </w:r>
            <w:r>
              <w:t xml:space="preserve"> </w:t>
            </w:r>
            <m:oMath>
              <m:r>
                <m:rPr>
                  <m:sty m:val="p"/>
                </m:rPr>
                <m:t>−</m:t>
              </m:r>
            </m:oMath>
            <w:r>
              <w:t xml:space="preserve"> </w:t>
            </w:r>
            <w:r>
              <w:t xml:space="preserve">adjusted.</w:t>
            </w:r>
          </w:p>
        </w:tc>
      </w:tr>
    </w:tbl>
    <w:p>
      <w:pPr>
        <w:pStyle w:val="ImageCaption"/>
      </w:pPr>
      <w:r>
        <w:t xml:space="preserve">Coverage predictor vs within-SDG semantic gap, one point per SDG.</w:t>
      </w:r>
    </w:p>
    <w:bookmarkEnd w:id="75"/>
    <w:bookmarkStart w:id="76" w:name="sec:robustness"/>
    <w:p>
      <w:pPr>
        <w:pStyle w:val="Heading2"/>
      </w:pPr>
      <w:r>
        <w:t xml:space="preserve">Robustness of the Gap Rankings</w:t>
      </w:r>
    </w:p>
    <w:p>
      <w:pPr>
        <w:pStyle w:val="FirstParagraph"/>
      </w:pPr>
      <w:r>
        <w:t xml:space="preserve">Register removal is validated against independent linguistic markers (Appendix </w:t>
      </w:r>
      <w:hyperlink w:anchor="app:register-validation">
        <w:r>
          <w:rPr>
            <w:rStyle w:val="Hyperlink"/>
          </w:rPr>
          <w:t xml:space="preserve">13.2</w:t>
        </w:r>
      </w:hyperlink>
      <w:r>
        <w:t xml:space="preserve">); the adjusted gap is the primary estimate.</w:t>
      </w:r>
    </w:p>
    <w:p>
      <w:pPr>
        <w:pStyle w:val="BodyText"/>
      </w:pPr>
      <w:r>
        <w:rPr>
          <w:bCs/>
          <w:b/>
        </w:rPr>
        <w:t xml:space="preserve">Cross-sensitivity (policy source, segment cap, retrieval):</w:t>
      </w:r>
      <w:r>
        <w:t xml:space="preserve"> </w:t>
      </w:r>
      <w:r>
        <w:t xml:space="preserve">Under MPNet–LR, the semantic-gap ranking is stable across segment cap and retrieval in the adjusted panel (</w:t>
      </w:r>
      <m:oMath>
        <m:r>
          <m:t>ρ</m:t>
        </m:r>
        <m:r>
          <m:rPr>
            <m:sty m:val="p"/>
          </m:rPr>
          <m:t>≥</m:t>
        </m:r>
        <m:r>
          <m:t>0.65</m:t>
        </m:r>
      </m:oMath>
      <w:r>
        <w:t xml:space="preserve">; Table </w:t>
      </w:r>
      <w:hyperlink w:anchor="tab:cross-sensitivity-robustness">
        <w:r>
          <w:rPr>
            <w:rStyle w:val="Hyperlink"/>
          </w:rPr>
          <w:t xml:space="preserve">20</w:t>
        </w:r>
      </w:hyperlink>
      <w:r>
        <w:t xml:space="preserve">) and across policy source, segment cap, and retrieval in the raw panel (</w:t>
      </w:r>
      <m:oMath>
        <m:r>
          <m:t>ρ</m:t>
        </m:r>
        <m:r>
          <m:rPr>
            <m:sty m:val="p"/>
          </m:rPr>
          <m:t>≥</m:t>
        </m:r>
        <m:r>
          <m:t>0.65</m:t>
        </m:r>
      </m:oMath>
      <w:r>
        <w:t xml:space="preserve">; Table </w:t>
      </w:r>
      <w:hyperlink w:anchor="tab:cross-sensitivity-robustness-raw">
        <w:r>
          <w:rPr>
            <w:rStyle w:val="Hyperlink"/>
          </w:rPr>
          <w:t xml:space="preserve">21</w:t>
        </w:r>
      </w:hyperlink>
      <w:r>
        <w:t xml:space="preserve">). The same holds for coverage (Table </w:t>
      </w:r>
      <w:hyperlink w:anchor="tab:cross-sensitivity-coverage">
        <w:r>
          <w:rPr>
            <w:rStyle w:val="Hyperlink"/>
          </w:rPr>
          <w:t xml:space="preserve">25</w:t>
        </w:r>
      </w:hyperlink>
      <w:r>
        <w:t xml:space="preserve">).</w:t>
      </w:r>
    </w:p>
    <w:p>
      <w:pPr>
        <w:pStyle w:val="BodyText"/>
      </w:pPr>
      <w:r>
        <w:rPr>
          <w:bCs/>
          <w:b/>
        </w:rPr>
        <w:t xml:space="preserve">Encoder sensitivity:</w:t>
      </w:r>
      <w:r>
        <w:t xml:space="preserve"> </w:t>
      </w:r>
      <w:r>
        <w:t xml:space="preserve">Coverage-gap ranks are stable across encoders (MPNet–LR vs. SciBERT–LR</w:t>
      </w:r>
      <w:r>
        <w:t xml:space="preserve"> </w:t>
      </w:r>
      <m:oMath>
        <m:r>
          <m:t>ρ</m:t>
        </m:r>
        <m:r>
          <m:rPr>
            <m:sty m:val="p"/>
          </m:rPr>
          <m:t>=</m:t>
        </m:r>
        <m:r>
          <m:t>0.934</m:t>
        </m:r>
      </m:oMath>
      <w:r>
        <w:t xml:space="preserve">; vs. MiniLM–LR</w:t>
      </w:r>
      <w:r>
        <w:t xml:space="preserve"> </w:t>
      </w:r>
      <m:oMath>
        <m:r>
          <m:t>ρ</m:t>
        </m:r>
        <m:r>
          <m:rPr>
            <m:sty m:val="p"/>
          </m:rPr>
          <m:t>=</m:t>
        </m:r>
        <m:r>
          <m:t>0.895</m:t>
        </m:r>
      </m:oMath>
      <w:r>
        <w:t xml:space="preserve">; Table </w:t>
      </w:r>
      <w:hyperlink w:anchor="tab:encoder-sensitivity-coverage">
        <w:r>
          <w:rPr>
            <w:rStyle w:val="Hyperlink"/>
          </w:rPr>
          <w:t xml:space="preserve">24</w:t>
        </w:r>
      </w:hyperlink>
      <w:r>
        <w:t xml:space="preserve">). Semantic-gap magnitude is encoder-dependent (SciBERT: 0.043 vs. MPNet: 0.340) because scientific pretraining fuses the genres</w:t>
      </w:r>
      <w:r>
        <w:t xml:space="preserve"> </w:t>
      </w:r>
      <w:r>
        <w:t xml:space="preserve">(Beltagy et al., 2019)</w:t>
      </w:r>
      <w:r>
        <w:t xml:space="preserve">, but the divergence conclusion holds (Table </w:t>
      </w:r>
      <w:hyperlink w:anchor="tab:encoder-sensitivity-semantic">
        <w:r>
          <w:rPr>
            <w:rStyle w:val="Hyperlink"/>
          </w:rPr>
          <w:t xml:space="preserve">22</w:t>
        </w:r>
      </w:hyperlink>
      <w:r>
        <w:t xml:space="preserve">). Under the raw gap, SDG 3 leads for MPNet–LR and SciBERT–LR while SDG 13 leads for MiniLM–LR; SDG 17 trails in all three (rank 16 or 17).</w:t>
      </w:r>
    </w:p>
    <w:p>
      <w:pPr>
        <w:pStyle w:val="BodyText"/>
      </w:pPr>
      <w:r>
        <w:rPr>
          <w:bCs/>
          <w:b/>
        </w:rPr>
        <w:t xml:space="preserve">Classifier sensitivity:</w:t>
      </w:r>
      <w:r>
        <w:t xml:space="preserve"> </w:t>
      </w:r>
      <w:r>
        <w:t xml:space="preserve">LR and MLP show varied agreement (MPNet LR vs. MLP</w:t>
      </w:r>
      <w:r>
        <w:t xml:space="preserve"> </w:t>
      </w:r>
      <m:oMath>
        <m:r>
          <m:t>ρ</m:t>
        </m:r>
        <m:r>
          <m:rPr>
            <m:sty m:val="p"/>
          </m:rPr>
          <m:t>=</m:t>
        </m:r>
        <m:r>
          <m:t>0.850</m:t>
        </m:r>
      </m:oMath>
      <w:r>
        <w:t xml:space="preserve">; Table </w:t>
      </w:r>
      <w:hyperlink w:anchor="tab:encoder-sensitivity-semantic">
        <w:r>
          <w:rPr>
            <w:rStyle w:val="Hyperlink"/>
          </w:rPr>
          <w:t xml:space="preserve">22</w:t>
        </w:r>
      </w:hyperlink>
      <w:r>
        <w:t xml:space="preserve">). Under the raw gap, SDG 17 is the most classifier-sensitive goal, sitting at rank 17 under LR but rank 8 under zero-shot.</w:t>
      </w:r>
    </w:p>
    <w:p>
      <w:pPr>
        <w:pStyle w:val="BodyText"/>
      </w:pPr>
      <w:r>
        <w:rPr>
          <w:bCs/>
          <w:b/>
        </w:rPr>
        <w:t xml:space="preserve">Distance-functional robustness:</w:t>
      </w:r>
      <w:r>
        <w:t xml:space="preserve"> </w:t>
      </w:r>
      <w:r>
        <w:t xml:space="preserve">Most distribution-aware metrics correlate only moderately with the adjusted semantic gap (sliced Wasserstein</w:t>
      </w:r>
      <w:r>
        <w:t xml:space="preserve"> </w:t>
      </w:r>
      <m:oMath>
        <m:r>
          <m:t>ρ</m:t>
        </m:r>
        <m:r>
          <m:rPr>
            <m:sty m:val="p"/>
          </m:rPr>
          <m:t>=</m:t>
        </m:r>
        <m:r>
          <m:t>0.525</m:t>
        </m:r>
      </m:oMath>
      <w:r>
        <w:t xml:space="preserve">, Chamfer</w:t>
      </w:r>
      <w:r>
        <w:t xml:space="preserve"> </w:t>
      </w:r>
      <m:oMath>
        <m:r>
          <m:t>ρ</m:t>
        </m:r>
        <m:r>
          <m:rPr>
            <m:sty m:val="p"/>
          </m:rPr>
          <m:t>=</m:t>
        </m:r>
        <m:r>
          <m:t>0.485</m:t>
        </m:r>
      </m:oMath>
      <w:r>
        <w:t xml:space="preserve">), while Gaussian-2-Wasserstein and squared MMD are weaker (</w:t>
      </w:r>
      <m:oMath>
        <m:r>
          <m:t>ρ</m:t>
        </m:r>
        <m:r>
          <m:rPr>
            <m:sty m:val="p"/>
          </m:rPr>
          <m:t>≈</m:t>
        </m:r>
        <m:r>
          <m:t>0.24</m:t>
        </m:r>
      </m:oMath>
      <w:r>
        <w:t xml:space="preserve">–</w:t>
      </w:r>
      <m:oMath>
        <m:r>
          <m:t>0.26</m:t>
        </m:r>
      </m:oMath>
      <w:r>
        <w:t xml:space="preserve">) and C2ST and Grassmann show negative agreement (</w:t>
      </w:r>
      <m:oMath>
        <m:r>
          <m:t>ρ</m:t>
        </m:r>
        <m:r>
          <m:rPr>
            <m:sty m:val="p"/>
          </m:rPr>
          <m:t>=</m:t>
        </m:r>
        <m:r>
          <m:rPr>
            <m:sty m:val="p"/>
          </m:rPr>
          <m:t>−</m:t>
        </m:r>
        <m:r>
          <m:t>0.164</m:t>
        </m:r>
        <m:r>
          <m:t>​</m:t>
        </m:r>
      </m:oMath>
      <w:r>
        <w:t xml:space="preserve"> </w:t>
      </w:r>
      <w:r>
        <w:t xml:space="preserve">and</w:t>
      </w:r>
      <w:r>
        <w:t xml:space="preserve"> </w:t>
      </w:r>
      <m:oMath>
        <m:r>
          <m:rPr>
            <m:sty m:val="p"/>
          </m:rPr>
          <m:t>−</m:t>
        </m:r>
        <m:r>
          <m:t>0.243</m:t>
        </m:r>
        <m:r>
          <m:t>​</m:t>
        </m:r>
      </m:oMath>
      <w:r>
        <w:t xml:space="preserve">; Appendix </w:t>
      </w:r>
      <w:hyperlink w:anchor="app:distributional-table">
        <w:r>
          <w:rPr>
            <w:rStyle w:val="Hyperlink"/>
          </w:rPr>
          <w:t xml:space="preserve">10</w:t>
        </w:r>
      </w:hyperlink>
      <w:r>
        <w:t xml:space="preserve">). The adjusted gap is primarily a mean-direction finding; shape carries a related but distinct signal.</w:t>
      </w:r>
    </w:p>
    <w:p>
      <w:pPr>
        <w:pStyle w:val="BodyText"/>
      </w:pPr>
      <w:r>
        <w:rPr>
          <w:bCs/>
          <w:b/>
        </w:rPr>
        <w:t xml:space="preserve">Synthesis:</w:t>
      </w:r>
      <w:r>
        <w:t xml:space="preserve"> </w:t>
      </w:r>
      <w:r>
        <w:t xml:space="preserve">Two conclusions survive: SDG 15 is robustly least-divergent (rank 17 across configs); SDG 17 is most classifier-sensitive and most divergent under the adjusted gap, while SDG 3 leads under the raw gap for MPNet–LR. The raw-null pattern replicates across all configs and policy-source families. Pooled OLS confirms the adjusted association (Appendix </w:t>
      </w:r>
      <w:hyperlink w:anchor="app:regression">
        <w:r>
          <w:rPr>
            <w:rStyle w:val="Hyperlink"/>
          </w:rPr>
          <w:t xml:space="preserve">15</w:t>
        </w:r>
      </w:hyperlink>
      <w:r>
        <w:t xml:space="preserve">).</w:t>
      </w:r>
    </w:p>
    <w:bookmarkEnd w:id="76"/>
    <w:bookmarkEnd w:id="77"/>
    <w:bookmarkStart w:id="84" w:name="sec:discussion"/>
    <w:p>
      <w:pPr>
        <w:pStyle w:val="Heading1"/>
      </w:pPr>
      <w:r>
        <w:t xml:space="preserve">Discussion</w:t>
      </w:r>
    </w:p>
    <w:p>
      <w:pPr>
        <w:pStyle w:val="FirstParagraph"/>
      </w:pPr>
      <w:r>
        <w:t xml:space="preserve">The raw coverage-gap correlation is near zero (</w:t>
      </w:r>
      <m:oMath>
        <m:r>
          <m:t>ρ</m:t>
        </m:r>
        <m:r>
          <m:rPr>
            <m:sty m:val="p"/>
          </m:rPr>
          <m:t>=</m:t>
        </m:r>
        <m:r>
          <m:rPr>
            <m:sty m:val="p"/>
          </m:rPr>
          <m:t>−</m:t>
        </m:r>
        <m:r>
          <m:t>0.012</m:t>
        </m:r>
      </m:oMath>
      <w:r>
        <w:t xml:space="preserve">,</w:t>
      </w:r>
      <w:r>
        <w:t xml:space="preserve"> </w:t>
      </w:r>
      <m:oMath>
        <m:r>
          <m:t>p</m:t>
        </m:r>
        <m:r>
          <m:rPr>
            <m:sty m:val="p"/>
          </m:rPr>
          <m:t>=</m:t>
        </m:r>
        <m:r>
          <m:t>0.959</m:t>
        </m:r>
      </m:oMath>
      <w:r>
        <w:t xml:space="preserve">). The adjusted gap is positively associated with coverage (</w:t>
      </w:r>
      <m:oMath>
        <m:r>
          <m:t>ρ</m:t>
        </m:r>
        <m:r>
          <m:rPr>
            <m:sty m:val="p"/>
          </m:rPr>
          <m:t>=</m:t>
        </m:r>
        <m:r>
          <m:t>0.544</m:t>
        </m:r>
      </m:oMath>
      <w:r>
        <w:t xml:space="preserve">,</w:t>
      </w:r>
      <w:r>
        <w:t xml:space="preserve"> </w:t>
      </w:r>
      <m:oMath>
        <m:r>
          <m:t>p</m:t>
        </m:r>
        <m:r>
          <m:rPr>
            <m:sty m:val="p"/>
          </m:rPr>
          <m:t>=</m:t>
        </m:r>
        <m:r>
          <m:t>0.025</m:t>
        </m:r>
      </m:oMath>
      <w:r>
        <w:t xml:space="preserve">), whereas the register component has a negative association (</w:t>
      </w:r>
      <m:oMath>
        <m:r>
          <m:t>ρ</m:t>
        </m:r>
        <m:r>
          <m:rPr>
            <m:sty m:val="p"/>
          </m:rPr>
          <m:t>=</m:t>
        </m:r>
        <m:r>
          <m:rPr>
            <m:sty m:val="p"/>
          </m:rPr>
          <m:t>−</m:t>
        </m:r>
        <m:r>
          <m:t>0.390</m:t>
        </m:r>
      </m:oMath>
      <w:r>
        <w:t xml:space="preserve">,</w:t>
      </w:r>
      <w:r>
        <w:t xml:space="preserve"> </w:t>
      </w:r>
      <m:oMath>
        <m:r>
          <m:t>p</m:t>
        </m:r>
        <m:r>
          <m:rPr>
            <m:sty m:val="p"/>
          </m:rPr>
          <m:t>=</m:t>
        </m:r>
        <m:r>
          <m:t>0.120</m:t>
        </m:r>
      </m:oMath>
      <w:r>
        <w:t xml:space="preserve">; Table </w:t>
      </w:r>
      <w:hyperlink w:anchor="tab:interaction">
        <w:r>
          <w:rPr>
            <w:rStyle w:val="Hyperlink"/>
          </w:rPr>
          <w:t xml:space="preserve">5</w:t>
        </w:r>
      </w:hyperlink>
      <w:r>
        <w:t xml:space="preserve">).</w:t>
      </w:r>
    </w:p>
    <w:bookmarkStart w:id="78" w:name="sec:discussion-cancellation"/>
    <w:p>
      <w:pPr>
        <w:pStyle w:val="Heading2"/>
      </w:pPr>
      <w:r>
        <w:t xml:space="preserve">Semantic cancellation effect</w:t>
      </w:r>
    </w:p>
    <w:p>
      <w:pPr>
        <w:pStyle w:val="FirstParagraph"/>
      </w:pPr>
      <w:r>
        <w:rPr>
          <w:bCs/>
          <w:b/>
        </w:rPr>
        <w:t xml:space="preserve">Independence of classification and measurement:</w:t>
      </w:r>
      <w:r>
        <w:t xml:space="preserve"> </w:t>
      </w:r>
      <w:r>
        <w:t xml:space="preserve">Classification uses softmax probabilities; semantic measurement uses cosine distance between L2-normalised centroids. The main confounder risk is INLP register-adjustment adjusting less for low-coverage SDGs than high-coverage ones, manufacturing rather than revealing the adjusted-gap correlation. Stratification rules this out (Section </w:t>
      </w:r>
      <w:hyperlink w:anchor="sec:register-adjustment-inlp">
        <w:r>
          <w:rPr>
            <w:rStyle w:val="Hyperlink"/>
          </w:rPr>
          <w:t xml:space="preserve">3.8</w:t>
        </w:r>
      </w:hyperlink>
      <w:r>
        <w:t xml:space="preserve">): at every iteration INLP draws an equal, globally fixed number of research and policy embeddings per SDG (n_target = 1123 for MPNet), regardless of actual coverage share. Coverage-as-label-share cannot therefore leak into the learned or removed direction.</w:t>
      </w:r>
    </w:p>
    <w:p>
      <w:pPr>
        <w:pStyle w:val="BodyText"/>
      </w:pPr>
      <w:r>
        <w:rPr>
          <w:bCs/>
          <w:b/>
        </w:rPr>
        <w:t xml:space="preserve">Cross-configuration replication:</w:t>
      </w:r>
      <w:r>
        <w:t xml:space="preserve"> </w:t>
      </w:r>
      <w:r>
        <w:t xml:space="preserve">This pattern replicates across most configs (Table </w:t>
      </w:r>
      <w:hyperlink w:anchor="tab:interaction">
        <w:r>
          <w:rPr>
            <w:rStyle w:val="Hyperlink"/>
          </w:rPr>
          <w:t xml:space="preserve">5</w:t>
        </w:r>
      </w:hyperlink>
      <w:r>
        <w:t xml:space="preserve">): signs are stable for all encoder–classifier combinations under the primary keyword-retrieved corpus; excluding the concept-retrieved track (Section </w:t>
      </w:r>
      <w:hyperlink w:anchor="sec:limitations">
        <w:r>
          <w:rPr>
            <w:rStyle w:val="Hyperlink"/>
          </w:rPr>
          <w:t xml:space="preserve">5.5</w:t>
        </w:r>
      </w:hyperlink>
      <w:r>
        <w:t xml:space="preserve">), it does not appear to be a quirk of a specific encoder space, classifier, or methodological choice (segmentation, segment-capping for long documents).</w:t>
      </w:r>
    </w:p>
    <w:p>
      <w:pPr>
        <w:pStyle w:val="BodyText"/>
      </w:pPr>
      <w:r>
        <w:rPr>
          <w:bCs/>
          <w:b/>
        </w:rPr>
        <w:t xml:space="preserve">SciBERT compression supports the register interpretation:</w:t>
      </w:r>
      <w:r>
        <w:t xml:space="preserve"> </w:t>
      </w:r>
      <w:r>
        <w:t xml:space="preserve">SciBERT compresses the raw gap from 0.340 to 0.043 (88% reduction) while preserving coverage (</w:t>
      </w:r>
      <m:oMath>
        <m:r>
          <m:t>ρ</m:t>
        </m:r>
        <m:r>
          <m:rPr>
            <m:sty m:val="p"/>
          </m:rPr>
          <m:t>=</m:t>
        </m:r>
        <m:r>
          <m:t>0.934</m:t>
        </m:r>
      </m:oMath>
      <w:r>
        <w:t xml:space="preserve">; Table </w:t>
      </w:r>
      <w:hyperlink w:anchor="tab:encoder-sensitivity-coverage">
        <w:r>
          <w:rPr>
            <w:rStyle w:val="Hyperlink"/>
          </w:rPr>
          <w:t xml:space="preserve">24</w:t>
        </w:r>
      </w:hyperlink>
      <w:r>
        <w:t xml:space="preserve">). Scientific pretraining</w:t>
      </w:r>
      <w:r>
        <w:t xml:space="preserve"> </w:t>
      </w:r>
      <w:r>
        <w:t xml:space="preserve">(Beltagy et al., 2019)</w:t>
      </w:r>
      <w:r>
        <w:t xml:space="preserve"> </w:t>
      </w:r>
      <w:r>
        <w:t xml:space="preserve">fuses the registers because both use scientific conventions, which the decomposition expects.</w:t>
      </w:r>
    </w:p>
    <w:bookmarkEnd w:id="78"/>
    <w:bookmarkStart w:id="79" w:name="two-communities-two-dimensions"/>
    <w:p>
      <w:pPr>
        <w:pStyle w:val="Heading2"/>
      </w:pPr>
      <w:r>
        <w:t xml:space="preserve">Two communities, two dimensions</w:t>
      </w:r>
    </w:p>
    <w:p>
      <w:pPr>
        <w:pStyle w:val="FirstParagraph"/>
      </w:pPr>
      <w:r>
        <w:t xml:space="preserve">If the cancellation is real, it calls for a theoretical explanation. The two-communities theory</w:t>
      </w:r>
      <w:r>
        <w:t xml:space="preserve"> </w:t>
      </w:r>
      <w:r>
        <w:t xml:space="preserve">(Caplan, 1979)</w:t>
      </w:r>
      <w:r>
        <w:t xml:space="preserve"> </w:t>
      </w:r>
      <w:r>
        <w:t xml:space="preserve">provides one. Caplan characterises social scientists and policy makers as living in</w:t>
      </w:r>
      <w:r>
        <w:t xml:space="preserve"> </w:t>
      </w:r>
      <w:r>
        <w:t xml:space="preserve">“</w:t>
      </w:r>
      <w:r>
        <w:t xml:space="preserve">separate worlds with different and often conflicting values, different reward systems, and different languages</w:t>
      </w:r>
      <w:r>
        <w:t xml:space="preserve">”</w:t>
      </w:r>
      <w:r>
        <w:t xml:space="preserve"> </w:t>
      </w:r>
      <w:r>
        <w:t xml:space="preserve">(Caplan, 1979, p.459)</w:t>
      </w:r>
      <w:r>
        <w:t xml:space="preserve">. The gap, he argues,</w:t>
      </w:r>
      <w:r>
        <w:t xml:space="preserve"> </w:t>
      </w:r>
      <w:r>
        <w:t xml:space="preserve">“</w:t>
      </w:r>
      <w:r>
        <w:t xml:space="preserve">necessarily involves value and ideological dimensions as well as technical ones</w:t>
      </w:r>
      <w:r>
        <w:t xml:space="preserve">”</w:t>
      </w:r>
      <w:r>
        <w:t xml:space="preserve"> </w:t>
      </w:r>
      <w:r>
        <w:t xml:space="preserve">(Caplan, 1979, p.461)</w:t>
      </w:r>
      <w:r>
        <w:t xml:space="preserve">. If the two communities are distinct knowledge cultures, then a near-zero raw correlation is expected: the two corpora develop different topical priorities (producing coverage divergence) and different communicative norms (producing register divergence), and the two effects operate in opposite directions on the semantic gap. Caplan himself warned that</w:t>
      </w:r>
      <w:r>
        <w:t xml:space="preserve"> </w:t>
      </w:r>
      <w:r>
        <w:t xml:space="preserve">“</w:t>
      </w:r>
      <w:r>
        <w:t xml:space="preserve">it does not follow… that an alliance of social scientists and policy makers is the panacea</w:t>
      </w:r>
      <w:r>
        <w:t xml:space="preserve">”</w:t>
      </w:r>
      <w:r>
        <w:t xml:space="preserve"> </w:t>
      </w:r>
      <w:r>
        <w:t xml:space="preserve">(Caplan, 1979, p.461)</w:t>
      </w:r>
      <w:r>
        <w:t xml:space="preserve">. Under this account, a near-zero raw correlation is unsurprising.</w:t>
      </w:r>
    </w:p>
    <w:p>
      <w:pPr>
        <w:pStyle w:val="BodyText"/>
      </w:pPr>
      <w:r>
        <w:t xml:space="preserve">The adjusted association also shows that coverage and framing are separable dimensions, not a single</w:t>
      </w:r>
      <w:r>
        <w:t xml:space="preserve"> </w:t>
      </w:r>
      <w:r>
        <w:t xml:space="preserve">“</w:t>
      </w:r>
      <w:r>
        <w:t xml:space="preserve">alignment</w:t>
      </w:r>
      <w:r>
        <w:t xml:space="preserve">”</w:t>
      </w:r>
      <w:r>
        <w:t xml:space="preserve"> </w:t>
      </w:r>
      <w:r>
        <w:t xml:space="preserve">property. A single alignment score would conflate these two different patterns. This separability is the paper’s core empirical contribution to the SDG-mapping literature, which has treated coverage as the primary output</w:t>
      </w:r>
      <w:r>
        <w:t xml:space="preserve"> </w:t>
      </w:r>
      <w:r>
        <w:t xml:space="preserve">(Armitage et al., 2020; Kashnitsky et al., 2024)</w:t>
      </w:r>
      <w:r>
        <w:t xml:space="preserve">. The framework demonstrates that coverage and framing should be reported as independent axes.</w:t>
      </w:r>
    </w:p>
    <w:p>
      <w:pPr>
        <w:pStyle w:val="BodyText"/>
      </w:pPr>
      <w:r>
        <w:t xml:space="preserve">The positive adjusted correlation (</w:t>
      </w:r>
      <m:oMath>
        <m:r>
          <m:t>ρ</m:t>
        </m:r>
        <m:r>
          <m:rPr>
            <m:sty m:val="p"/>
          </m:rPr>
          <m:t>=</m:t>
        </m:r>
        <m:r>
          <m:rPr>
            <m:sty m:val="p"/>
          </m:rPr>
          <m:t>+</m:t>
        </m:r>
        <m:r>
          <m:t>0.544</m:t>
        </m:r>
      </m:oMath>
      <w:r>
        <w:t xml:space="preserve">, read as pattern-consistent rather than confirmatory evidence — Section </w:t>
      </w:r>
      <w:hyperlink w:anchor="sec:discussion-cancellation">
        <w:r>
          <w:rPr>
            <w:rStyle w:val="Hyperlink"/>
          </w:rPr>
          <w:t xml:space="preserve">5.1</w:t>
        </w:r>
      </w:hyperlink>
      <w:r>
        <w:t xml:space="preserve">) is consistent with the two dimensions being linked through topic: where one community dominates a given SDG’s coverage, the framing tends to diverge. The epistemic-communities framework</w:t>
      </w:r>
      <w:r>
        <w:t xml:space="preserve"> </w:t>
      </w:r>
      <w:r>
        <w:t xml:space="preserve">(Haas, 1992)</w:t>
      </w:r>
      <w:r>
        <w:t xml:space="preserve"> </w:t>
      </w:r>
      <w:r>
        <w:t xml:space="preserve">makes this reading clearer. Haas argues that</w:t>
      </w:r>
      <w:r>
        <w:t xml:space="preserve"> </w:t>
      </w:r>
      <w:r>
        <w:t xml:space="preserve">“</w:t>
      </w:r>
      <w:r>
        <w:t xml:space="preserve">before states can agree on whether and how to deal collectively with a specific problem, they must reach some consensus about the nature and scope of the problem…</w:t>
      </w:r>
      <w:r>
        <w:t xml:space="preserve">”</w:t>
      </w:r>
      <w:r>
        <w:t xml:space="preserve"> </w:t>
      </w:r>
      <w:r>
        <w:t xml:space="preserve">(Haas, 1992, p.29)</w:t>
      </w:r>
      <w:r>
        <w:t xml:space="preserve">. As an illustration, where research dominates coverage (SDGs 3, 9), the framing reflects academic norms of knowledge production:</w:t>
      </w:r>
      <w:r>
        <w:t xml:space="preserve"> </w:t>
      </w:r>
      <w:r>
        <w:t xml:space="preserve">“</w:t>
      </w:r>
      <w:r>
        <w:t xml:space="preserve">problems are set and solved in a context governed by the, largely academic, interests of a specific community</w:t>
      </w:r>
      <w:r>
        <w:t xml:space="preserve">”</w:t>
      </w:r>
      <w:r>
        <w:t xml:space="preserve"> </w:t>
      </w:r>
      <w:r>
        <w:t xml:space="preserve">(Gibbons et al., 1994, p.3)</w:t>
      </w:r>
      <w:r>
        <w:t xml:space="preserve">. On this reading, the coverage–semantic association reflects two communities framing the same goals differently wherever their attention diverges.</w:t>
      </w:r>
    </w:p>
    <w:p>
      <w:pPr>
        <w:pStyle w:val="BodyText"/>
      </w:pPr>
      <w:r>
        <w:t xml:space="preserve">However, Haas also cautions that</w:t>
      </w:r>
      <w:r>
        <w:t xml:space="preserve"> </w:t>
      </w:r>
      <w:r>
        <w:t xml:space="preserve">“</w:t>
      </w:r>
      <w:r>
        <w:t xml:space="preserve">given the many examples of different states reacting in different ways to the same consensual evidence provided by specialists, it is unclear how effective consensual knowledge is, as an independent variable, at explaining or predicting state behavior</w:t>
      </w:r>
      <w:r>
        <w:t xml:space="preserve">”</w:t>
      </w:r>
      <w:r>
        <w:t xml:space="preserve"> </w:t>
      </w:r>
      <w:r>
        <w:t xml:space="preserve">(Haas, 1992, p.30)</w:t>
      </w:r>
      <w:r>
        <w:t xml:space="preserve">. The adjusted association shows that coverage and framing are linked through topic, but it does not show that this linkage produces policy uptake.</w:t>
      </w:r>
    </w:p>
    <w:p>
      <w:pPr>
        <w:pStyle w:val="BodyText"/>
      </w:pPr>
      <w:r>
        <w:t xml:space="preserve">The directional decomposition (H1b–H1d) shows an asymmetric structure, as shown in Table </w:t>
      </w:r>
      <w:hyperlink w:anchor="tab:interaction">
        <w:r>
          <w:rPr>
            <w:rStyle w:val="Hyperlink"/>
          </w:rPr>
          <w:t xml:space="preserve">5</w:t>
        </w:r>
      </w:hyperlink>
      <w:r>
        <w:t xml:space="preserve">. H1d (policy coverage) is the strongest consistent predictor, positive in 9/9 configurations. Framing divergence is wider where policy heavily covers an SDG, consistent with Haas’s observation that epistemic communities occupy institutional niches</w:t>
      </w:r>
      <w:r>
        <w:t xml:space="preserve"> </w:t>
      </w:r>
      <w:r>
        <w:t xml:space="preserve">(Haas, 1992, p.30)</w:t>
      </w:r>
      <w:r>
        <w:t xml:space="preserve"> </w:t>
      </w:r>
      <w:r>
        <w:t xml:space="preserve">and with the Mode 1/Mode 2 distinction</w:t>
      </w:r>
      <w:r>
        <w:t xml:space="preserve"> </w:t>
      </w:r>
      <w:r>
        <w:t xml:space="preserve">(Gibbons et al., 1994)</w:t>
      </w:r>
      <w:r>
        <w:t xml:space="preserve">.</w:t>
      </w:r>
    </w:p>
    <w:p>
      <w:pPr>
        <w:pStyle w:val="BodyText"/>
      </w:pPr>
      <w:r>
        <w:t xml:space="preserve">This asymmetry is consistent with Cash et al.’s</w:t>
      </w:r>
      <w:r>
        <w:t xml:space="preserve"> </w:t>
      </w:r>
      <w:r>
        <w:t xml:space="preserve">(Cash et al., 2003)</w:t>
      </w:r>
      <w:r>
        <w:t xml:space="preserve"> </w:t>
      </w:r>
      <w:r>
        <w:t xml:space="preserve">observation that salience, credibility, and legitimacy are</w:t>
      </w:r>
      <w:r>
        <w:t xml:space="preserve"> </w:t>
      </w:r>
      <w:r>
        <w:t xml:space="preserve">“</w:t>
      </w:r>
      <w:r>
        <w:t xml:space="preserve">tightly coupled</w:t>
      </w:r>
      <w:r>
        <w:t xml:space="preserve">”</w:t>
      </w:r>
      <w:r>
        <w:t xml:space="preserve"> </w:t>
      </w:r>
      <w:r>
        <w:t xml:space="preserve">such that efforts to enhance one</w:t>
      </w:r>
      <w:r>
        <w:t xml:space="preserve"> </w:t>
      </w:r>
      <w:r>
        <w:t xml:space="preserve">“</w:t>
      </w:r>
      <w:r>
        <w:t xml:space="preserve">normally incur a cost to the others.</w:t>
      </w:r>
      <w:r>
        <w:t xml:space="preserve">”</w:t>
      </w:r>
      <w:r>
        <w:t xml:space="preserve"> </w:t>
      </w:r>
      <w:r>
        <w:t xml:space="preserve">The SDGs where policy attention concentrates (13, 16, 17) are also those whose framings sit furthest from research norms of credibility.</w:t>
      </w:r>
    </w:p>
    <w:bookmarkEnd w:id="79"/>
    <w:bookmarkStart w:id="80" w:name="X4c808c234078a0e9b2cd8fadd33758f5597bbdf"/>
    <w:p>
      <w:pPr>
        <w:pStyle w:val="Heading2"/>
      </w:pPr>
      <w:r>
        <w:t xml:space="preserve">The register decomposition: what the raw gap actually measures</w:t>
      </w:r>
    </w:p>
    <w:p>
      <w:pPr>
        <w:pStyle w:val="FirstParagraph"/>
      </w:pPr>
      <w:r>
        <w:t xml:space="preserve">For 16 of 17 SDGs, the register component is positive (+0.076 to +0.261; Table </w:t>
      </w:r>
      <w:hyperlink w:anchor="tab:register-decomposition">
        <w:r>
          <w:rPr>
            <w:rStyle w:val="Hyperlink"/>
          </w:rPr>
          <w:t xml:space="preserve">4</w:t>
        </w:r>
      </w:hyperlink>
      <w:r>
        <w:t xml:space="preserve">), meaning register uniformly inflates the apparent divergence. Studies comparing corpora that differ in register overstate semantic divergence when they use raw embedding distances. The raw gap is a composite of topic, register, and convention. Only the adjusted gap approximates topic.</w:t>
      </w:r>
    </w:p>
    <w:p>
      <w:pPr>
        <w:pStyle w:val="BodyText"/>
      </w:pPr>
      <w:r>
        <w:t xml:space="preserve">The exception is SDG 17, where the register component is negative (-0.149): register makes the two communities appear more similar than their topics warrant. Under the raw gap SDG 17 ranks near the bottom (0.177) but after register removal it jumps to the top (0.326). Policy partnership discourse uses institutional language (</w:t>
      </w:r>
      <w:r>
        <w:rPr>
          <w:iCs/>
          <w:i/>
        </w:rPr>
        <w:t xml:space="preserve">countries</w:t>
      </w:r>
      <w:r>
        <w:t xml:space="preserve">,</w:t>
      </w:r>
      <w:r>
        <w:t xml:space="preserve"> </w:t>
      </w:r>
      <w:r>
        <w:rPr>
          <w:iCs/>
          <w:i/>
        </w:rPr>
        <w:t xml:space="preserve">nations</w:t>
      </w:r>
      <w:r>
        <w:t xml:space="preserve">,</w:t>
      </w:r>
      <w:r>
        <w:t xml:space="preserve"> </w:t>
      </w:r>
      <w:r>
        <w:rPr>
          <w:iCs/>
          <w:i/>
        </w:rPr>
        <w:t xml:space="preserve">global</w:t>
      </w:r>
      <w:r>
        <w:t xml:space="preserve">) that superficially resembles research vocabulary, but the substance differs: research concerns technical terms (</w:t>
      </w:r>
      <w:r>
        <w:rPr>
          <w:iCs/>
          <w:i/>
        </w:rPr>
        <w:t xml:space="preserve">model</w:t>
      </w:r>
      <w:r>
        <w:t xml:space="preserve">,</w:t>
      </w:r>
      <w:r>
        <w:t xml:space="preserve"> </w:t>
      </w:r>
      <w:r>
        <w:rPr>
          <w:iCs/>
          <w:i/>
        </w:rPr>
        <w:t xml:space="preserve">method</w:t>
      </w:r>
      <w:r>
        <w:t xml:space="preserve">), while policy concerns institutional coordination.</w:t>
      </w:r>
    </w:p>
    <w:p>
      <w:pPr>
        <w:pStyle w:val="BodyText"/>
      </w:pPr>
      <w:r>
        <w:t xml:space="preserve">SDG 17 shows the least visible framing difference: partnership vocabulary resembles both communities’ language, while the coordination logic belongs to policy alone.</w:t>
      </w:r>
      <w:r>
        <w:t xml:space="preserve"> </w:t>
      </w:r>
      <w:r>
        <w:t xml:space="preserve">Le Blanc (2015)</w:t>
      </w:r>
      <w:r>
        <w:t xml:space="preserve"> </w:t>
      </w:r>
      <w:r>
        <w:t xml:space="preserve">treats SDG 17 as dedicated to cross-cutting</w:t>
      </w:r>
      <w:r>
        <w:t xml:space="preserve"> </w:t>
      </w:r>
      <w:r>
        <w:t xml:space="preserve">“</w:t>
      </w:r>
      <w:r>
        <w:t xml:space="preserve">means of implementation</w:t>
      </w:r>
      <w:r>
        <w:t xml:space="preserve">”</w:t>
      </w:r>
      <w:r>
        <w:t xml:space="preserve"> </w:t>
      </w:r>
      <w:r>
        <w:t xml:space="preserve">rather than thematic areas. The register inversion supports this reading.</w:t>
      </w:r>
    </w:p>
    <w:p>
      <w:pPr>
        <w:pStyle w:val="BodyText"/>
      </w:pPr>
      <w:r>
        <w:t xml:space="preserve">SDG stratification works because the 17 goals span many topics, so a direction separating research from policy cannot also encode any one SDG topic. The method assumes topic and register can be pulled apart; where they cannot (e.g., clinical notes vs biomedical literature), some topic would leak into the removed component.</w:t>
      </w:r>
    </w:p>
    <w:bookmarkEnd w:id="80"/>
    <w:bookmarkStart w:id="81" w:name="sec:level0"/>
    <w:p>
      <w:pPr>
        <w:pStyle w:val="Heading2"/>
      </w:pPr>
      <w:r>
        <w:t xml:space="preserve">Level 0: Institutional Commensurability</w:t>
      </w:r>
    </w:p>
    <w:p>
      <w:pPr>
        <w:pStyle w:val="FirstParagraph"/>
      </w:pPr>
      <w:r>
        <w:t xml:space="preserve">The three-level framework assumes research and policy discourse are already commensurable categories. Constructing the corpora exposes a prior condition it does not capture. The research corpus is an intersection of AI and SDG content (2</w:t>
      </w:r>
      <w:r>
        <w:t xml:space="preserve">,</w:t>
      </w:r>
      <w:r>
        <w:t xml:space="preserve">536</w:t>
      </w:r>
      <w:r>
        <w:t xml:space="preserve">,</w:t>
      </w:r>
      <w:r>
        <w:t xml:space="preserve">771 abstracts), while the curated AI-and-SDG policy family is 94 documents, and policy documents discuss AI governance and SDG implementation as separate agendas. This is not a sampling limitation correctable with more time (Section </w:t>
      </w:r>
      <w:hyperlink w:anchor="sec:limitations">
        <w:r>
          <w:rPr>
            <w:rStyle w:val="Hyperlink"/>
          </w:rPr>
          <w:t xml:space="preserve">5.5</w:t>
        </w:r>
      </w:hyperlink>
      <w:r>
        <w:t xml:space="preserve">):</w:t>
      </w:r>
      <w:r>
        <w:t xml:space="preserve"> </w:t>
      </w:r>
      <w:r>
        <w:t xml:space="preserve">“</w:t>
      </w:r>
      <w:r>
        <w:t xml:space="preserve">AI and the SDGs</w:t>
      </w:r>
      <w:r>
        <w:t xml:space="preserve">”</w:t>
      </w:r>
      <w:r>
        <w:t xml:space="preserve"> </w:t>
      </w:r>
      <w:r>
        <w:t xml:space="preserve">is not yet an established organising category in institutional policy discourse the way it is in academic research. Level here is reference-relative: the observation applies the framework’s logic one category outward, asking whether AI coverage is established within general SDG discourse on the policy side. In the formal sense of this paper’s Level 1 analysis it is not a measurement (no general-SDG coverage statistic was collected). It is a plausible extension motivating future work.</w:t>
      </w:r>
    </w:p>
    <w:p>
      <w:pPr>
        <w:pStyle w:val="BodyText"/>
      </w:pPr>
      <w:r>
        <w:t xml:space="preserve">This asymmetry maps onto the Mode 1/Mode 2 distinction</w:t>
      </w:r>
      <w:r>
        <w:t xml:space="preserve"> </w:t>
      </w:r>
      <w:r>
        <w:t xml:space="preserve">(Gibbons et al., 1994)</w:t>
      </w:r>
      <w:r>
        <w:t xml:space="preserve"> </w:t>
      </w:r>
      <w:r>
        <w:t xml:space="preserve">one level up. Mode 1 lets a research community define a cross-cutting category internally, while institutional discourse adopts new categories only when demanded by a concrete problem. The absence of a comparably sized</w:t>
      </w:r>
      <w:r>
        <w:t xml:space="preserve"> </w:t>
      </w:r>
      <w:r>
        <w:t xml:space="preserve">“</w:t>
      </w:r>
      <w:r>
        <w:t xml:space="preserve">AI-and-SDG</w:t>
      </w:r>
      <w:r>
        <w:t xml:space="preserve">”</w:t>
      </w:r>
      <w:r>
        <w:t xml:space="preserve"> </w:t>
      </w:r>
      <w:r>
        <w:t xml:space="preserve">policy corpus is therefore the gap observed before Level 1 coverage or Level 2 framing can be measured, and the study makes no claim to have filled it. As</w:t>
      </w:r>
      <w:r>
        <w:t xml:space="preserve"> </w:t>
      </w:r>
      <w:r>
        <w:t xml:space="preserve">Le Blanc (2015; Griggs et al., 2017)</w:t>
      </w:r>
      <w:r>
        <w:t xml:space="preserve"> </w:t>
      </w:r>
      <w:r>
        <w:t xml:space="preserve">note for SDG 17, an analogous reading suggests</w:t>
      </w:r>
      <w:r>
        <w:t xml:space="preserve"> </w:t>
      </w:r>
      <w:r>
        <w:t xml:space="preserve">“</w:t>
      </w:r>
      <w:r>
        <w:t xml:space="preserve">AI and the SDGs</w:t>
      </w:r>
      <w:r>
        <w:t xml:space="preserve">”</w:t>
      </w:r>
      <w:r>
        <w:t xml:space="preserve"> </w:t>
      </w:r>
      <w:r>
        <w:t xml:space="preserve">may occupy pre-domain status in policy discourse, so the gaps measured here describe divergence within a category that barely exists on the policy side. A future Level 0 measurement — tracking co-occurrence of AI and SDG terms in institutional agendas over time — would convert this inference into a measurement. The present study only registers the asymmetry it produced.</w:t>
      </w:r>
    </w:p>
    <w:bookmarkEnd w:id="81"/>
    <w:bookmarkStart w:id="82" w:name="sec:limitations"/>
    <w:p>
      <w:pPr>
        <w:pStyle w:val="Heading2"/>
      </w:pPr>
      <w:r>
        <w:t xml:space="preserve">Limitations</w:t>
      </w:r>
    </w:p>
    <w:p>
      <w:pPr>
        <w:pStyle w:val="FirstParagraph"/>
      </w:pPr>
      <w:r>
        <w:rPr>
          <w:bCs/>
          <w:b/>
        </w:rPr>
        <w:t xml:space="preserve">Semantic proximity, not substantive alignment:</w:t>
      </w:r>
      <w:r>
        <w:t xml:space="preserve"> </w:t>
      </w:r>
      <w:r>
        <w:t xml:space="preserve">The study is positioned at Level 2 of a three-level construct (Section </w:t>
      </w:r>
      <w:hyperlink w:anchor="sec:alignment-framework">
        <w:r>
          <w:rPr>
            <w:rStyle w:val="Hyperlink"/>
          </w:rPr>
          <w:t xml:space="preserve">2.3</w:t>
        </w:r>
      </w:hyperlink>
      <w:r>
        <w:t xml:space="preserve">). Level 3 requires qualitative, institutional, and deliberative methods and is left to future work.</w:t>
      </w:r>
    </w:p>
    <w:p>
      <w:pPr>
        <w:pStyle w:val="BodyText"/>
      </w:pPr>
      <w:r>
        <w:rPr>
          <w:bCs/>
          <w:b/>
        </w:rPr>
        <w:t xml:space="preserve">Distance metric discards distributional shape:</w:t>
      </w:r>
      <w:r>
        <w:t xml:space="preserve"> </w:t>
      </w:r>
      <w:r>
        <w:t xml:space="preserve">Centroids are mean-direction measures. Under raw embeddings, distribution-aware metrics (sliced Wasserstein, Chamfer) correlated strongly with the gap (</w:t>
      </w:r>
      <m:oMath>
        <m:r>
          <m:t>ρ</m:t>
        </m:r>
        <m:r>
          <m:rPr>
            <m:sty m:val="p"/>
          </m:rPr>
          <m:t>=</m:t>
        </m:r>
        <m:r>
          <m:t>0.44</m:t>
        </m:r>
      </m:oMath>
      <w:r>
        <w:t xml:space="preserve">–</w:t>
      </w:r>
      <m:oMath>
        <m:r>
          <m:t>0.91</m:t>
        </m:r>
      </m:oMath>
      <w:r>
        <w:t xml:space="preserve">), but this agreement was largely a register artifact: they track the register component, not the adjusted semantic gap (Appendix </w:t>
      </w:r>
      <w:hyperlink w:anchor="app:distributional-table">
        <w:r>
          <w:rPr>
            <w:rStyle w:val="Hyperlink"/>
          </w:rPr>
          <w:t xml:space="preserve">10</w:t>
        </w:r>
      </w:hyperlink>
      <w:r>
        <w:t xml:space="preserve">). After register removal the adjusted gap is likewise a mean-direction measure, and distribution-aware metrics correlate with it only weakly to moderately (e.g. Gaussian-2-Wasserstein</w:t>
      </w:r>
      <w:r>
        <w:t xml:space="preserve"> </w:t>
      </w:r>
      <m:oMath>
        <m:r>
          <m:t>ρ</m:t>
        </m:r>
        <m:r>
          <m:rPr>
            <m:sty m:val="p"/>
          </m:rPr>
          <m:t>=</m:t>
        </m:r>
        <m:r>
          <m:t>0.243</m:t>
        </m:r>
      </m:oMath>
      <w:r>
        <w:t xml:space="preserve">, sliced Wasserstein</w:t>
      </w:r>
      <w:r>
        <w:t xml:space="preserve"> </w:t>
      </w:r>
      <m:oMath>
        <m:r>
          <m:t>ρ</m:t>
        </m:r>
        <m:r>
          <m:rPr>
            <m:sty m:val="p"/>
          </m:rPr>
          <m:t>=</m:t>
        </m:r>
        <m:r>
          <m:t>0.525</m:t>
        </m:r>
      </m:oMath>
      <w:r>
        <w:t xml:space="preserve">); they remain an informative full-distribution complement, not a re-ranking. The covariance-shape term accounts for</w:t>
      </w:r>
      <w:r>
        <w:t xml:space="preserve"> </w:t>
      </w:r>
      <m:oMath>
        <m:r>
          <m:rPr>
            <m:sty m:val="p"/>
          </m:rPr>
          <m:t>≈</m:t>
        </m:r>
        <m:r>
          <m:t>79</m:t>
        </m:r>
        <m:r>
          <m:rPr>
            <m:sty m:val="p"/>
          </m:rPr>
          <m:t>%</m:t>
        </m:r>
      </m:oMath>
      <w:r>
        <w:t xml:space="preserve"> </w:t>
      </w:r>
      <w:r>
        <w:t xml:space="preserve">of the squared Gaussian-2-Wasserstein distance, and a replicate under the adjacent seed changes the largest per-SDG gap by at most 0.008 (Appendix </w:t>
      </w:r>
      <w:hyperlink w:anchor="app:distributional-table">
        <w:r>
          <w:rPr>
            <w:rStyle w:val="Hyperlink"/>
          </w:rPr>
          <w:t xml:space="preserve">10</w:t>
        </w:r>
      </w:hyperlink>
      <w:r>
        <w:t xml:space="preserve">).</w:t>
      </w:r>
    </w:p>
    <w:p>
      <w:pPr>
        <w:pStyle w:val="BodyText"/>
      </w:pPr>
      <w:r>
        <w:rPr>
          <w:bCs/>
          <w:b/>
        </w:rPr>
        <w:t xml:space="preserve">Unaudited upstream SDG filter:</w:t>
      </w:r>
      <w:r>
        <w:t xml:space="preserve"> </w:t>
      </w:r>
      <w:r>
        <w:t xml:space="preserve">The research corpus depends on OpenAlex’s native SDG-work classification to define the candidate universe before the four AI terms are applied (Section </w:t>
      </w:r>
      <w:hyperlink w:anchor="sec:research-corpus">
        <w:r>
          <w:rPr>
            <w:rStyle w:val="Hyperlink"/>
          </w:rPr>
          <w:t xml:space="preserve">3.3</w:t>
        </w:r>
      </w:hyperlink>
      <w:r>
        <w:t xml:space="preserve">). This filter’s precision and recall against ground-truth SDG relevance are not independently audited here, and the 2</w:t>
      </w:r>
      <w:r>
        <w:t xml:space="preserve">,</w:t>
      </w:r>
      <w:r>
        <w:t xml:space="preserve">536</w:t>
      </w:r>
      <w:r>
        <w:t xml:space="preserve">,</w:t>
      </w:r>
      <w:r>
        <w:t xml:space="preserve">771 retrieved abstracts reflect OpenAlex’s operational rather than validated definition of SDG relevance. The corpus is large enough that composition estimates are stable, but size alone does not confirm the filter is accurate. Auditing against a manually labelled sample is left for future work.</w:t>
      </w:r>
    </w:p>
    <w:p>
      <w:pPr>
        <w:pStyle w:val="BodyText"/>
      </w:pPr>
      <w:r>
        <w:rPr>
          <w:bCs/>
          <w:b/>
        </w:rPr>
        <w:t xml:space="preserve">Retrieval-method dependency:</w:t>
      </w:r>
      <w:r>
        <w:t xml:space="preserve"> </w:t>
      </w:r>
      <w:r>
        <w:t xml:space="preserve">The keyword-retrieved corpus trades recall for precision. Appendix </w:t>
      </w:r>
      <w:hyperlink w:anchor="app:concept-retrieval-sensitivity">
        <w:r>
          <w:rPr>
            <w:rStyle w:val="Hyperlink"/>
          </w:rPr>
          <w:t xml:space="preserve">7</w:t>
        </w:r>
      </w:hyperlink>
      <w:r>
        <w:t xml:space="preserve"> </w:t>
      </w:r>
      <w:r>
        <w:t xml:space="preserve">shows concept-retrieved papers (field-of-study membership) produce closely aligned gap rankings, with a lower SDG 4 share (</w:t>
      </w:r>
      <m:oMath>
        <m:r>
          <m:rPr>
            <m:sty m:val="p"/>
          </m:rPr>
          <m:t>−</m:t>
        </m:r>
      </m:oMath>
      <w:r>
        <w:t xml:space="preserve">7.3pp) the largest deviation between the two profiles. Re-running the full pipeline on concept-retrieved papers is the most direct path to eliminating this artefact and is left for future work. Additionally, that check (Appendix </w:t>
      </w:r>
      <w:hyperlink w:anchor="app:concept-retrieval-sensitivity">
        <w:r>
          <w:rPr>
            <w:rStyle w:val="Hyperlink"/>
          </w:rPr>
          <w:t xml:space="preserve">7</w:t>
        </w:r>
      </w:hyperlink>
      <w:r>
        <w:t xml:space="preserve">) reuses the register-adjusted space fitted on the keyword-retrieved corpus rather than re-fitting INLP on the concept-retrieved embeddings, assuming the research-policy register direction is stable across retrieval strategies. This assumption is untested. Re-fitting INLP natively on the concept-retrieved corpus is recommended before treating it as a fully independent robustness check.</w:t>
      </w:r>
    </w:p>
    <w:p>
      <w:pPr>
        <w:pStyle w:val="BodyText"/>
      </w:pPr>
      <w:r>
        <w:rPr>
          <w:bCs/>
          <w:b/>
        </w:rPr>
        <w:t xml:space="preserve">Concept-retrieved corpus is unfiltered for SDG relevance:</w:t>
      </w:r>
      <w:r>
        <w:t xml:space="preserve"> </w:t>
      </w:r>
      <w:r>
        <w:t xml:space="preserve">Unlike the primary keyword-retrieved corpus, which applies OpenAlex’s SDG work filter before the AI terms, the concept-retrieved robustness corpus (Appendix </w:t>
      </w:r>
      <w:hyperlink w:anchor="app:concept-retrieval-sensitivity">
        <w:r>
          <w:rPr>
            <w:rStyle w:val="Hyperlink"/>
          </w:rPr>
          <w:t xml:space="preserve">7</w:t>
        </w:r>
      </w:hyperlink>
      <w:r>
        <w:t xml:space="preserve">) restricts only to AI/ML field-of-study membership, with no SDG filter at retrieval. Its SDG labels are assigned post hoc by the trained classifier, so agreement with the keyword-retrieved corpus (Table </w:t>
      </w:r>
      <w:hyperlink w:anchor="tab:interaction">
        <w:r>
          <w:rPr>
            <w:rStyle w:val="Hyperlink"/>
          </w:rPr>
          <w:t xml:space="preserve">5</w:t>
        </w:r>
      </w:hyperlink>
      <w:r>
        <w:t xml:space="preserve">) shows stability of coverage-share ranking under a different retrieval strategy, not that the concept corpus is itself SDG-relevant. Whether this unfiltered retrieval destabilises the raw-gap estimate is examined in Appendix </w:t>
      </w:r>
      <w:hyperlink w:anchor="app:concept-retrieval-sensitivity">
        <w:r>
          <w:rPr>
            <w:rStyle w:val="Hyperlink"/>
          </w:rPr>
          <w:t xml:space="preserve">7</w:t>
        </w:r>
      </w:hyperlink>
      <w:r>
        <w:t xml:space="preserve">: the concept-retrieved configuration alone flips sign on H1a’s raw column while MiniLM and SciBERT do not, a pattern consistent with the concern but not conclusive. Applying a comparable SDG filter before treating the concept corpus as a fully independent validation is recommended. Follow-up works should either apply OpenAlex’s SDG filter and audit it for validation, or omit it and allow baseline non-SDG classification (Section </w:t>
      </w:r>
      <w:hyperlink w:anchor="sec:supervised-classifier">
        <w:r>
          <w:rPr>
            <w:rStyle w:val="Hyperlink"/>
          </w:rPr>
          <w:t xml:space="preserve">3.5</w:t>
        </w:r>
      </w:hyperlink>
      <w:r>
        <w:t xml:space="preserve">).</w:t>
      </w:r>
    </w:p>
    <w:p>
      <w:pPr>
        <w:pStyle w:val="BodyText"/>
      </w:pPr>
      <w:r>
        <w:rPr>
          <w:bCs/>
          <w:b/>
        </w:rPr>
        <w:t xml:space="preserve">Register adjustment is partial:</w:t>
      </w:r>
      <w:r>
        <w:t xml:space="preserve"> </w:t>
      </w:r>
      <w:r>
        <w:t xml:space="preserve">INLP removes a linear subspace that captures the dominant corpus-level register difference, but register is multi-layered</w:t>
      </w:r>
      <w:r>
        <w:t xml:space="preserve"> </w:t>
      </w:r>
      <w:r>
        <w:t xml:space="preserve">(Biber, 1988)</w:t>
      </w:r>
      <w:r>
        <w:t xml:space="preserve">. The register interpretation rests on a structural argument (SDG stratification ensures topic cannot leak into the removed direction; Section </w:t>
      </w:r>
      <w:hyperlink w:anchor="sec:register-adjustment-inlp">
        <w:r>
          <w:rPr>
            <w:rStyle w:val="Hyperlink"/>
          </w:rPr>
          <w:t xml:space="preserve">3.8</w:t>
        </w:r>
      </w:hyperlink>
      <w:r>
        <w:t xml:space="preserve">) plus partial empirical validation against independent linguistic markers (Appendix </w:t>
      </w:r>
      <w:hyperlink w:anchor="app:register-validation">
        <w:r>
          <w:rPr>
            <w:rStyle w:val="Hyperlink"/>
          </w:rPr>
          <w:t xml:space="preserve">13.2</w:t>
        </w:r>
      </w:hyperlink>
      <w:r>
        <w:t xml:space="preserve">). The validation finds a reduction of the corpus-level signal but not its complete elimination.</w:t>
      </w:r>
    </w:p>
    <w:p>
      <w:pPr>
        <w:pStyle w:val="BodyText"/>
      </w:pPr>
      <w:r>
        <w:rPr>
          <w:bCs/>
          <w:b/>
        </w:rPr>
        <w:t xml:space="preserve">Per-SDG assignment is approximate:</w:t>
      </w:r>
      <w:r>
        <w:t xml:space="preserve"> </w:t>
      </w:r>
      <w:r>
        <w:t xml:space="preserve">The hard argmax treats SDG discourse as separable, but the PCA space (Figure </w:t>
      </w:r>
      <w:hyperlink w:anchor="fig:pca-register-before-after">
        <w:r>
          <w:rPr>
            <w:rStyle w:val="Hyperlink"/>
          </w:rPr>
          <w:t xml:space="preserve">4</w:t>
        </w:r>
      </w:hyperlink>
      <w:r>
        <w:t xml:space="preserve">) shows real-world SDG discourse is fuzzy. Leave-one-out of SDG 4 (audited in Appendix </w:t>
      </w:r>
      <w:hyperlink w:anchor="app:sdg4-lexical-audit">
        <w:r>
          <w:rPr>
            <w:rStyle w:val="Hyperlink"/>
          </w:rPr>
          <w:t xml:space="preserve">8.1</w:t>
        </w:r>
      </w:hyperlink>
      <w:r>
        <w:t xml:space="preserve">) preserves the adjusted association (</w:t>
      </w:r>
      <m:oMath>
        <m:r>
          <m:t>ρ</m:t>
        </m:r>
        <m:r>
          <m:rPr>
            <m:sty m:val="p"/>
          </m:rPr>
          <m:t>=</m:t>
        </m:r>
        <m:r>
          <m:t>0.597</m:t>
        </m:r>
      </m:oMath>
      <w:r>
        <w:t xml:space="preserve">,</w:t>
      </w:r>
      <w:r>
        <w:t xml:space="preserve"> </w:t>
      </w:r>
      <m:oMath>
        <m:r>
          <m:t>p</m:t>
        </m:r>
        <m:r>
          <m:rPr>
            <m:sty m:val="p"/>
          </m:rPr>
          <m:t>=</m:t>
        </m:r>
        <m:r>
          <m:t>0.016</m:t>
        </m:r>
      </m:oMath>
      <w:r>
        <w:t xml:space="preserve">). Future work with multi-class SDG classification is recommended.</w:t>
      </w:r>
    </w:p>
    <w:p>
      <w:pPr>
        <w:pStyle w:val="BodyText"/>
      </w:pPr>
      <w:r>
        <w:rPr>
          <w:bCs/>
          <w:b/>
        </w:rPr>
        <w:t xml:space="preserve">Cross-sectional design:</w:t>
      </w:r>
      <w:r>
        <w:t xml:space="preserve"> </w:t>
      </w:r>
      <w:r>
        <w:t xml:space="preserve">The study observes one period (2018–2025) against a similarly timed policy corpus. It cannot assess whether alignment is improving or deteriorating, or whether specific events (e.g., the EU AI Act 2024, IPCC AR6 2022)</w:t>
      </w:r>
      <w:r>
        <w:t xml:space="preserve"> </w:t>
      </w:r>
      <w:r>
        <w:t xml:space="preserve">(European Union, 2024; IPCC, 2022)</w:t>
      </w:r>
      <w:r>
        <w:t xml:space="preserve"> </w:t>
      </w:r>
      <w:r>
        <w:t xml:space="preserve">shifted research framing.</w:t>
      </w:r>
    </w:p>
    <w:bookmarkEnd w:id="82"/>
    <w:bookmarkStart w:id="83" w:name="sec:framework-contribution"/>
    <w:p>
      <w:pPr>
        <w:pStyle w:val="Heading2"/>
      </w:pPr>
      <w:r>
        <w:t xml:space="preserve">Contribution and Implications</w:t>
      </w:r>
    </w:p>
    <w:p>
      <w:pPr>
        <w:pStyle w:val="FirstParagraph"/>
      </w:pPr>
      <w:r>
        <w:t xml:space="preserve">The primary contribution of this paper is the measurement framework, not the specific AI–SDG findings. The framework advances AI–SDG mapping from Level 1 (lexical correspondence) to Level 2 (observed semantic proximity), with explicit marking of Level 3 boundaries (Section </w:t>
      </w:r>
      <w:hyperlink w:anchor="sec:alignment-framework">
        <w:r>
          <w:rPr>
            <w:rStyle w:val="Hyperlink"/>
          </w:rPr>
          <w:t xml:space="preserve">2.3</w:t>
        </w:r>
      </w:hyperlink>
      <w:r>
        <w:t xml:space="preserve">). The cross-sensitivity transparency (Table </w:t>
      </w:r>
      <w:hyperlink w:anchor="tab:cross-sensitivity-robustness">
        <w:r>
          <w:rPr>
            <w:rStyle w:val="Hyperlink"/>
          </w:rPr>
          <w:t xml:space="preserve">20</w:t>
        </w:r>
      </w:hyperlink>
      <w:r>
        <w:t xml:space="preserve">) is a reusable template: instead of reporting a single gap ranking, it shows how stable every ranking position is across the measurement choices. The SDG-stratified INLP adaptation — training the corpus classifier on balanced topic–corpus strata so that no linear direction can encode both topic and register — is a methodological contribution applicable to any cross-corpus comparison where topic and register are confounded. The protocol is portable to any research-policy interface that shares a category system and embeds both sides in a common semantic space.</w:t>
      </w:r>
    </w:p>
    <w:p>
      <w:pPr>
        <w:pStyle w:val="BodyText"/>
      </w:pPr>
      <w:r>
        <w:t xml:space="preserve">The AI–SDG findings are a first application to be checked against a larger, more diverse policy corpus, not settled results. The findings reported here, the cancellation, the SDG 17 inversion, and the positive adjusted association, are properties of this specific pair of corpora at this moment in time.</w:t>
      </w:r>
    </w:p>
    <w:p>
      <w:pPr>
        <w:pStyle w:val="BodyText"/>
      </w:pPr>
      <w:r>
        <w:t xml:space="preserve">Beyond the measurement advance, the results carry a direct implication for how SDG engagement is read. The paper’s premise, that shared coverage is not shared framing, is intuitive, and the results confirm it: coverage and framing are separable, with only a correlation of</w:t>
      </w:r>
      <w:r>
        <w:t xml:space="preserve"> </w:t>
      </w:r>
      <m:oMath>
        <m:r>
          <m:t>ρ</m:t>
        </m:r>
        <m:r>
          <m:rPr>
            <m:sty m:val="p"/>
          </m:rPr>
          <m:t>=</m:t>
        </m:r>
        <m:r>
          <m:t>0.544</m:t>
        </m:r>
        <m:r>
          <m:t>​</m:t>
        </m:r>
      </m:oMath>
      <w:r>
        <w:t xml:space="preserve"> </w:t>
      </w:r>
      <w:r>
        <w:t xml:space="preserve">between them. Coverage, the Level 1 metric existing studies report, captures only a weak form of salience; it does not address credibility or legitimacy</w:t>
      </w:r>
      <w:r>
        <w:t xml:space="preserve"> </w:t>
      </w:r>
      <w:r>
        <w:t xml:space="preserve">(Cash et al., 2003)</w:t>
      </w:r>
      <w:r>
        <w:t xml:space="preserve">. The adjusted gap is a Level 2 metric that begins to measure framing compatibility. The high-gap SDGs (17, 3, 16, 9, 13) are candidates for boundary-organising practices</w:t>
      </w:r>
      <w:r>
        <w:t xml:space="preserve"> </w:t>
      </w:r>
      <w:r>
        <w:t xml:space="preserve">(Guston, 2001)</w:t>
      </w:r>
      <w:r>
        <w:t xml:space="preserve">: policy synthesis briefs, joint workshops, or funder-required summaries. Cash et al. </w:t>
      </w:r>
      <w:r>
        <w:t xml:space="preserve">(Cash et al., 2003)</w:t>
      </w:r>
      <w:r>
        <w:t xml:space="preserve"> </w:t>
      </w:r>
      <w:r>
        <w:t xml:space="preserve">caution that translation alone cannot resolve the tradeoffs among salience, credibility, and legitimacy.</w:t>
      </w:r>
    </w:p>
    <w:bookmarkEnd w:id="83"/>
    <w:bookmarkEnd w:id="84"/>
    <w:bookmarkStart w:id="85" w:name="sec:conclusion"/>
    <w:p>
      <w:pPr>
        <w:pStyle w:val="Heading1"/>
      </w:pPr>
      <w:r>
        <w:t xml:space="preserve">Conclusion</w:t>
      </w:r>
    </w:p>
    <w:p>
      <w:pPr>
        <w:pStyle w:val="FirstParagraph"/>
      </w:pPr>
      <w:r>
        <w:t xml:space="preserve">The Introduction asked how academic AI-for-sustainability research and institutional policy discourse differ in SDG coverage and semantic framing, and how these two dimensions are related. This paper demonstrated that coverage divergence (which SDGs each community prioritises) and within-SDG semantic framing divergence (how differently they discuss the same goal) are separable dimensions that can diverge independently. The linkage is asymmetric: policy coverage is the strongest directional predictor of framing divergence (positive in 9/9 configurations), while research coverage shows no consistent signal. Where policy attention concentrates, the discourse resembles Mode 2 knowledge production</w:t>
      </w:r>
      <w:r>
        <w:t xml:space="preserve"> </w:t>
      </w:r>
      <w:r>
        <w:t xml:space="preserve">(Gibbons et al., 1994)</w:t>
      </w:r>
      <w:r>
        <w:t xml:space="preserve">, and its framings sit further from research norms. Both regularities fit the account of two distinct knowledge cultures addressing the same goals</w:t>
      </w:r>
      <w:r>
        <w:t xml:space="preserve"> </w:t>
      </w:r>
      <w:r>
        <w:t xml:space="preserve">(Caplan, 1979; Cash et al., 2003)</w:t>
      </w:r>
      <w:r>
        <w:t xml:space="preserve">.</w:t>
      </w:r>
    </w:p>
    <w:p>
      <w:pPr>
        <w:pStyle w:val="BodyText"/>
      </w:pPr>
      <w:r>
        <w:t xml:space="preserve">The takeaway for practice is that an SDG label is not evidence of alignment: a tag records that a text is about a goal, not that it frames the goal the way another community does. The register decomposition shows embedding distance, like keyword matching, is a composite signal inflated by genre for 16 of 17 SDGs, with SDG 17 the stark exception where institutional vocabulary masks the deepest topic divergence. Because funders and policymakers read SDG counts as proof of engagement</w:t>
      </w:r>
      <w:r>
        <w:t xml:space="preserve"> </w:t>
      </w:r>
      <w:r>
        <w:t xml:space="preserve">(Heilinger et al., 2024; Heras-Saizarbitoria et al., 2022)</w:t>
      </w:r>
      <w:r>
        <w:t xml:space="preserve">, the two-dimensional reading developed here — coverage alongside framing, with the register component made explicit — is needed to interpret that engagement correctly.</w:t>
      </w:r>
    </w:p>
    <w:p>
      <w:pPr>
        <w:pStyle w:val="BodyText"/>
      </w:pPr>
      <w:r>
        <w:t xml:space="preserve">The asymmetric corpus construction is itself suggestive: the difficulty of building a symmetric AI-SDG policy corpus may reflect that</w:t>
      </w:r>
      <w:r>
        <w:t xml:space="preserve"> </w:t>
      </w:r>
      <w:r>
        <w:t xml:space="preserve">“</w:t>
      </w:r>
      <w:r>
        <w:t xml:space="preserve">AI and the SDGs</w:t>
      </w:r>
      <w:r>
        <w:t xml:space="preserve">”</w:t>
      </w:r>
      <w:r>
        <w:t xml:space="preserve"> </w:t>
      </w:r>
      <w:r>
        <w:t xml:space="preserve">is not yet an established organising category in policy discourse the way it already is in research — an inferred, not measured, institutional gap (Section </w:t>
      </w:r>
      <w:hyperlink w:anchor="sec:level0">
        <w:r>
          <w:rPr>
            <w:rStyle w:val="Hyperlink"/>
          </w:rPr>
          <w:t xml:space="preserve">5.4</w:t>
        </w:r>
      </w:hyperlink>
      <w:r>
        <w:t xml:space="preserve">). Level 3, whether the divergences documented here reflect productive exploration, institutional failure, or different knowledge cultures pursuing different mandates, requires qualitative, institutional, and deliberative methods that lie beyond the scope of embedding analysis.</w:t>
      </w:r>
    </w:p>
    <w:bookmarkEnd w:id="85"/>
    <w:bookmarkStart w:id="88" w:name="app:concept-retrieval-sensitivity"/>
    <w:p>
      <w:pPr>
        <w:pStyle w:val="Heading1"/>
      </w:pPr>
      <w:r>
        <w:t xml:space="preserve">Concept-based Research Retrieval</w:t>
      </w:r>
    </w:p>
    <w:p>
      <w:pPr>
        <w:pStyle w:val="FirstParagraph"/>
      </w:pPr>
      <w:r>
        <w:t xml:space="preserve">This section reports results of using the concept-retrieved research corpus. This test uses field-of-study membership for the same two AI fields, mirroring the OECD.AI definition</w:t>
      </w:r>
      <w:r>
        <w:t xml:space="preserve"> </w:t>
      </w:r>
      <w:r>
        <w:t xml:space="preserve">(OECD, 2024)</w:t>
      </w:r>
      <w:r>
        <w:t xml:space="preserve">, and re-scored the resulting corpus through the identical pipeline (segmentation, Section </w:t>
      </w:r>
      <w:hyperlink w:anchor="sec:segmentation">
        <w:r>
          <w:rPr>
            <w:rStyle w:val="Hyperlink"/>
          </w:rPr>
          <w:t xml:space="preserve">3.1</w:t>
        </w:r>
      </w:hyperlink>
      <w:r>
        <w:t xml:space="preserve">; classifier, Section </w:t>
      </w:r>
      <w:hyperlink w:anchor="sec:supervised-classifier">
        <w:r>
          <w:rPr>
            <w:rStyle w:val="Hyperlink"/>
          </w:rPr>
          <w:t xml:space="preserve">3.5</w:t>
        </w:r>
      </w:hyperlink>
      <w:r>
        <w:t xml:space="preserve">). No SDG filter was applied at retrieval. See Section </w:t>
      </w:r>
      <w:hyperlink w:anchor="sec:limitations">
        <w:r>
          <w:rPr>
            <w:rStyle w:val="Hyperlink"/>
          </w:rPr>
          <w:t xml:space="preserve">5.5</w:t>
        </w:r>
      </w:hyperlink>
      <w:r>
        <w:t xml:space="preserve"> </w:t>
      </w:r>
      <w:r>
        <w:t xml:space="preserve">for this limitation. Concept retrieval used OpenAlex concept tags for Artificial Intelligence and Machine Learning, capped at 100</w:t>
      </w:r>
      <w:r>
        <w:t xml:space="preserve">,</w:t>
      </w:r>
      <w:r>
        <w:t xml:space="preserve">000 papers total. This scale sits within the variance plateau reported in Appendix </w:t>
      </w:r>
      <w:hyperlink w:anchor="app:sample-stability">
        <w:r>
          <w:rPr>
            <w:rStyle w:val="Hyperlink"/>
          </w:rPr>
          <w:t xml:space="preserve">11</w:t>
        </w:r>
      </w:hyperlink>
      <w:r>
        <w:t xml:space="preserve"> </w:t>
      </w:r>
      <w:r>
        <w:t xml:space="preserve">(coverage gap 0.056 and mean within-SDG semantic gap (raw) 0.342, consistent with the 2</w:t>
      </w:r>
      <w:r>
        <w:t xml:space="preserve">,</w:t>
      </w:r>
      <w:r>
        <w:t xml:space="preserve">000</w:t>
      </w:r>
      <w:r>
        <w:t xml:space="preserve">,</w:t>
      </w:r>
      <w:r>
        <w:t xml:space="preserve">000-paper estimates of 0.056 and 0.340) and exceeds every corpus size used in prior SDG classification and mapping benchmarks: the OSDG community dataset (30,532 texts)</w:t>
      </w:r>
      <w:r>
        <w:t xml:space="preserve"> </w:t>
      </w:r>
      <w:r>
        <w:t xml:space="preserve">(Pukelis et al., 2022)</w:t>
      </w:r>
      <w:r>
        <w:t xml:space="preserve">, the SDG benchmark encoder evaluation corpus (35,001 excerpts)</w:t>
      </w:r>
      <w:r>
        <w:t xml:space="preserve"> </w:t>
      </w:r>
      <w:r>
        <w:t xml:space="preserve">(Gjorgjevikj et al., 2025)</w:t>
      </w:r>
      <w:r>
        <w:t xml:space="preserve">, the SDGi corpus (20,267 segments)</w:t>
      </w:r>
      <w:r>
        <w:t xml:space="preserve"> </w:t>
      </w:r>
      <w:r>
        <w:t xml:space="preserve">(SDGi, 2024)</w:t>
      </w:r>
      <w:r>
        <w:t xml:space="preserve">, the Aurora expert-validated set (4,971 texts)</w:t>
      </w:r>
      <w:r>
        <w:t xml:space="preserve"> </w:t>
      </w:r>
      <w:r>
        <w:t xml:space="preserve">(Vanderfeesten et al., 2020)</w:t>
      </w:r>
      <w:r>
        <w:t xml:space="preserve">, and the</w:t>
      </w:r>
      <w:r>
        <w:t xml:space="preserve"> </w:t>
      </w:r>
      <w:r>
        <w:t xml:space="preserve">Kashnitsky et al. (2024)</w:t>
      </w:r>
      <w:r>
        <w:t xml:space="preserve"> </w:t>
      </w:r>
      <w:r>
        <w:t xml:space="preserve">benchmark (6,000 papers)—while remaining far smaller than the full research corpus of 2</w:t>
      </w:r>
      <w:r>
        <w:t xml:space="preserve">,</w:t>
      </w:r>
      <w:r>
        <w:t xml:space="preserve">536</w:t>
      </w:r>
      <w:r>
        <w:t xml:space="preserve">,</w:t>
      </w:r>
      <w:r>
        <w:t xml:space="preserve">771 abstracts, making it a computationally tractable substrate for OpenAlex concept tagging.</w:t>
      </w:r>
    </w:p>
    <w:p>
      <w:pPr>
        <w:pStyle w:val="BodyText"/>
      </w:pPr>
      <w:r>
        <w:t xml:space="preserve">Table </w:t>
      </w:r>
      <w:hyperlink w:anchor="tab:concept-coverage">
        <w:r>
          <w:rPr>
            <w:rStyle w:val="Hyperlink"/>
          </w:rPr>
          <w:t xml:space="preserve">6</w:t>
        </w:r>
      </w:hyperlink>
      <w:r>
        <w:t xml:space="preserve"> </w:t>
      </w:r>
      <w:r>
        <w:t xml:space="preserve">compares SDG coverage shares between the keyword-retrieved and concept-retrieved corpora. The two profiles are closely aligned (Spearman</w:t>
      </w:r>
      <w:r>
        <w:t xml:space="preserve"> </w:t>
      </w:r>
      <m:oMath>
        <m:r>
          <m:t>ρ</m:t>
        </m:r>
        <m:r>
          <m:rPr>
            <m:sty m:val="p"/>
          </m:rPr>
          <m:t>=</m:t>
        </m:r>
        <m:r>
          <m:t>0.948</m:t>
        </m:r>
      </m:oMath>
      <w:r>
        <w:t xml:space="preserve">, Kendall</w:t>
      </w:r>
      <w:r>
        <w:t xml:space="preserve"> </w:t>
      </w:r>
      <m:oMath>
        <m:r>
          <m:t>τ</m:t>
        </m:r>
        <m:r>
          <m:rPr>
            <m:sty m:val="p"/>
          </m:rPr>
          <m:t>=</m:t>
        </m:r>
        <m:r>
          <m:t>0.868</m:t>
        </m:r>
      </m:oMath>
      <w:r>
        <w:t xml:space="preserve">). The largest deviations are SDG 4 (</w:t>
      </w:r>
      <m:oMath>
        <m:r>
          <m:rPr>
            <m:sty m:val="p"/>
          </m:rPr>
          <m:t>−</m:t>
        </m:r>
      </m:oMath>
      <w:r>
        <w:t xml:space="preserve">7.3pp, the known ML-vocabulary artefact, Appendix </w:t>
      </w:r>
      <w:hyperlink w:anchor="app:sdg4-lexical-audit">
        <w:r>
          <w:rPr>
            <w:rStyle w:val="Hyperlink"/>
          </w:rPr>
          <w:t xml:space="preserve">8.1</w:t>
        </w:r>
      </w:hyperlink>
      <w:r>
        <w:t xml:space="preserve">) and SDG 9 (</w:t>
      </w:r>
      <m:oMath>
        <m:r>
          <m:rPr>
            <m:sty m:val="p"/>
          </m:rPr>
          <m:t>+</m:t>
        </m:r>
        <m:r>
          <m:t>5.8</m:t>
        </m:r>
      </m:oMath>
      <w:r>
        <w:t xml:space="preserve">pp). Within-SDG coverage-gap and semantic-gap rankings are also stable against the keyword baseline (coverage-gap rank</w:t>
      </w:r>
      <w:r>
        <w:t xml:space="preserve"> </w:t>
      </w:r>
      <m:oMath>
        <m:r>
          <m:t>ρ</m:t>
        </m:r>
        <m:r>
          <m:rPr>
            <m:sty m:val="p"/>
          </m:rPr>
          <m:t>=</m:t>
        </m:r>
        <m:r>
          <m:t>0.868</m:t>
        </m:r>
      </m:oMath>
      <w:r>
        <w:t xml:space="preserve">; semantic-gap rank</w:t>
      </w:r>
      <w:r>
        <w:t xml:space="preserve"> </w:t>
      </w:r>
      <m:oMath>
        <m:r>
          <m:t>ρ</m:t>
        </m:r>
        <m:r>
          <m:rPr>
            <m:sty m:val="p"/>
          </m:rPr>
          <m:t>=</m:t>
        </m:r>
        <m:r>
          <m:t>0.814</m:t>
        </m:r>
      </m:oMath>
      <w:r>
        <w:t xml:space="preserve">, Table </w:t>
      </w:r>
      <w:hyperlink w:anchor="tab:cross-sensitivity-robustness">
        <w:r>
          <w:rPr>
            <w:rStyle w:val="Hyperlink"/>
          </w:rPr>
          <w:t xml:space="preserve">20</w:t>
        </w:r>
      </w:hyperlink>
      <w:r>
        <w:t xml:space="preserve">). The main findings are therefore reported as robust to query-term choice, while both corpora remain conditional on their respective retrieval strategies.</w:t>
      </w:r>
    </w:p>
    <w:p>
      <w:pPr>
        <w:pStyle w:val="BodyText"/>
      </w:pPr>
      <w:r>
        <w:t xml:space="preserve">The unfiltered-retrieval concern also manifests in the interaction grid (Table </w:t>
      </w:r>
      <w:hyperlink w:anchor="tab:interaction">
        <w:r>
          <w:rPr>
            <w:rStyle w:val="Hyperlink"/>
          </w:rPr>
          <w:t xml:space="preserve">5</w:t>
        </w:r>
      </w:hyperlink>
      <w:r>
        <w:t xml:space="preserve">). On H1a’s raw semantic-gap column, the concept-retrieved configuration is the only one whose sign flips against the rest of the encoder–classifier grid (Concept LR: +0.108, versus negative values in the other eight configurations), while the MiniLM and SciBERT tracks — also different encoders — show no comparable sign flip. (H1c’s raw column is mixed across all configs, so no single track uniquely flips there.) This does not prove the unfiltered-retrieval concern causes the instability, but it is the pattern that concern would predict, and MiniLM/SciBERT show no comparable instability despite also being different encoders. Time constraints prevented applying a comparable SDG filter to this alternative corpus; applying one is recommended before treating it as a fully independent validation.</w:t>
      </w:r>
    </w:p>
    <w:bookmarkStart w:id="86" w:name="tab:concept-coverage"/>
    <w:p>
      <w:pPr>
        <w:pStyle w:val="TableCaption"/>
      </w:pPr>
      <w:r>
        <w:t xml:space="preserve">SDG coverage-share comparison: keyword-retrieved versus concept-retrieved (AI/ML field-of-study) research corpus.</w:t>
      </w:r>
    </w:p>
    <w:tbl>
      <w:tblPr>
        <w:tblStyle w:val="Table"/>
        <w:tblW w:type="auto" w:w="0"/>
        <w:tblLook w:firstRow="1" w:lastRow="0" w:firstColumn="0" w:lastColumn="0" w:noHBand="0" w:noVBand="0" w:val="0020"/>
        <w:jc w:val="start"/>
        <w:tblCaption w:val="SDG coverage-share comparison: keyword-retrieved versus concept-retrieved (AI/ML field-of-study) research corpus."/>
      </w:tblPr>
      <w:tblGrid>
        <w:gridCol w:w="1980"/>
        <w:gridCol w:w="1980"/>
        <w:gridCol w:w="1980"/>
        <w:gridCol w:w="1980"/>
      </w:tblGrid>
      <w:tr>
        <w:trPr>
          <w:tblHeader w:val="true"/>
        </w:trPr>
        <w:tc>
          <w:tcPr/>
          <w:p>
            <w:pPr>
              <w:pStyle w:val="Compact"/>
              <w:jc w:val="left"/>
            </w:pPr>
            <w:r>
              <w:t xml:space="preserve">SDG</w:t>
            </w:r>
          </w:p>
        </w:tc>
        <w:tc>
          <w:tcPr/>
          <w:p>
            <w:pPr>
              <w:pStyle w:val="Compact"/>
              <w:jc w:val="right"/>
            </w:pPr>
            <w:r>
              <w:t xml:space="preserve">Keyword %</w:t>
            </w:r>
          </w:p>
        </w:tc>
        <w:tc>
          <w:tcPr/>
          <w:p>
            <w:pPr>
              <w:pStyle w:val="Compact"/>
              <w:jc w:val="right"/>
            </w:pPr>
            <w:r>
              <w:t xml:space="preserve">Concept %</w:t>
            </w:r>
          </w:p>
        </w:tc>
        <w:tc>
          <w:tcPr/>
          <w:p>
            <w:pPr>
              <w:pStyle w:val="Compact"/>
              <w:jc w:val="right"/>
            </w:pPr>
            <m:oMath>
              <m:r>
                <m:t>Δ</m:t>
              </m:r>
            </m:oMath>
          </w:p>
        </w:tc>
      </w:tr>
      <w:tr>
        <w:tc>
          <w:tcPr/>
          <w:p>
            <w:pPr>
              <w:pStyle w:val="Compact"/>
              <w:jc w:val="left"/>
            </w:pPr>
            <w:r>
              <w:t xml:space="preserve">1</w:t>
            </w:r>
          </w:p>
        </w:tc>
        <w:tc>
          <w:tcPr/>
          <w:p>
            <w:pPr>
              <w:pStyle w:val="Compact"/>
              <w:jc w:val="right"/>
            </w:pPr>
            <w:r>
              <w:t xml:space="preserve">0.4</w:t>
            </w:r>
          </w:p>
        </w:tc>
        <w:tc>
          <w:tcPr/>
          <w:p>
            <w:pPr>
              <w:pStyle w:val="Compact"/>
              <w:jc w:val="right"/>
            </w:pPr>
            <w:r>
              <w:t xml:space="preserve">0.7</w:t>
            </w:r>
          </w:p>
        </w:tc>
        <w:tc>
          <w:tcPr/>
          <w:p>
            <w:pPr>
              <w:pStyle w:val="Compact"/>
              <w:jc w:val="right"/>
            </w:pPr>
            <w:r>
              <w:t xml:space="preserve">+0.3</w:t>
            </w:r>
          </w:p>
        </w:tc>
      </w:tr>
      <w:tr>
        <w:tc>
          <w:tcPr/>
          <w:p>
            <w:pPr>
              <w:pStyle w:val="Compact"/>
              <w:jc w:val="left"/>
            </w:pPr>
            <w:r>
              <w:t xml:space="preserve">2</w:t>
            </w:r>
          </w:p>
        </w:tc>
        <w:tc>
          <w:tcPr/>
          <w:p>
            <w:pPr>
              <w:pStyle w:val="Compact"/>
              <w:jc w:val="right"/>
            </w:pPr>
            <w:r>
              <w:t xml:space="preserve">2.4</w:t>
            </w:r>
          </w:p>
        </w:tc>
        <w:tc>
          <w:tcPr/>
          <w:p>
            <w:pPr>
              <w:pStyle w:val="Compact"/>
              <w:jc w:val="right"/>
            </w:pPr>
            <w:r>
              <w:t xml:space="preserve">1.8</w:t>
            </w:r>
          </w:p>
        </w:tc>
        <w:tc>
          <w:tcPr/>
          <w:p>
            <w:pPr>
              <w:pStyle w:val="Compact"/>
              <w:jc w:val="right"/>
            </w:pPr>
            <w:r>
              <w:t xml:space="preserve">-0.6</w:t>
            </w:r>
          </w:p>
        </w:tc>
      </w:tr>
      <w:tr>
        <w:tc>
          <w:tcPr/>
          <w:p>
            <w:pPr>
              <w:pStyle w:val="Compact"/>
              <w:jc w:val="left"/>
            </w:pPr>
            <w:r>
              <w:t xml:space="preserve">3</w:t>
            </w:r>
          </w:p>
        </w:tc>
        <w:tc>
          <w:tcPr/>
          <w:p>
            <w:pPr>
              <w:pStyle w:val="Compact"/>
              <w:jc w:val="right"/>
            </w:pPr>
            <w:r>
              <w:t xml:space="preserve">25.7</w:t>
            </w:r>
          </w:p>
        </w:tc>
        <w:tc>
          <w:tcPr/>
          <w:p>
            <w:pPr>
              <w:pStyle w:val="Compact"/>
              <w:jc w:val="right"/>
            </w:pPr>
            <w:r>
              <w:t xml:space="preserve">25.7</w:t>
            </w:r>
          </w:p>
        </w:tc>
        <w:tc>
          <w:tcPr/>
          <w:p>
            <w:pPr>
              <w:pStyle w:val="Compact"/>
              <w:jc w:val="right"/>
            </w:pPr>
            <w:r>
              <w:t xml:space="preserve">-0.0</w:t>
            </w:r>
          </w:p>
        </w:tc>
      </w:tr>
      <w:tr>
        <w:tc>
          <w:tcPr/>
          <w:p>
            <w:pPr>
              <w:pStyle w:val="Compact"/>
              <w:jc w:val="left"/>
            </w:pPr>
            <w:r>
              <w:t xml:space="preserve">4</w:t>
            </w:r>
          </w:p>
        </w:tc>
        <w:tc>
          <w:tcPr/>
          <w:p>
            <w:pPr>
              <w:pStyle w:val="Compact"/>
              <w:jc w:val="right"/>
            </w:pPr>
            <w:r>
              <w:t xml:space="preserve">15.6</w:t>
            </w:r>
          </w:p>
        </w:tc>
        <w:tc>
          <w:tcPr/>
          <w:p>
            <w:pPr>
              <w:pStyle w:val="Compact"/>
              <w:jc w:val="right"/>
            </w:pPr>
            <w:r>
              <w:t xml:space="preserve">8.3</w:t>
            </w:r>
          </w:p>
        </w:tc>
        <w:tc>
          <w:tcPr/>
          <w:p>
            <w:pPr>
              <w:pStyle w:val="Compact"/>
              <w:jc w:val="right"/>
            </w:pPr>
            <w:r>
              <w:t xml:space="preserve">-7.3</w:t>
            </w:r>
          </w:p>
        </w:tc>
      </w:tr>
      <w:tr>
        <w:tc>
          <w:tcPr/>
          <w:p>
            <w:pPr>
              <w:pStyle w:val="Compact"/>
              <w:jc w:val="left"/>
            </w:pPr>
            <w:r>
              <w:t xml:space="preserve">5</w:t>
            </w:r>
          </w:p>
        </w:tc>
        <w:tc>
          <w:tcPr/>
          <w:p>
            <w:pPr>
              <w:pStyle w:val="Compact"/>
              <w:jc w:val="right"/>
            </w:pPr>
            <w:r>
              <w:t xml:space="preserve">2.0</w:t>
            </w:r>
          </w:p>
        </w:tc>
        <w:tc>
          <w:tcPr/>
          <w:p>
            <w:pPr>
              <w:pStyle w:val="Compact"/>
              <w:jc w:val="right"/>
            </w:pPr>
            <w:r>
              <w:t xml:space="preserve">1.7</w:t>
            </w:r>
          </w:p>
        </w:tc>
        <w:tc>
          <w:tcPr/>
          <w:p>
            <w:pPr>
              <w:pStyle w:val="Compact"/>
              <w:jc w:val="right"/>
            </w:pPr>
            <w:r>
              <w:t xml:space="preserve">-0.2</w:t>
            </w:r>
          </w:p>
        </w:tc>
      </w:tr>
      <w:tr>
        <w:tc>
          <w:tcPr/>
          <w:p>
            <w:pPr>
              <w:pStyle w:val="Compact"/>
              <w:jc w:val="left"/>
            </w:pPr>
            <w:r>
              <w:t xml:space="preserve">6</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-0.2</w:t>
            </w:r>
          </w:p>
        </w:tc>
      </w:tr>
      <w:tr>
        <w:tc>
          <w:tcPr/>
          <w:p>
            <w:pPr>
              <w:pStyle w:val="Compact"/>
              <w:jc w:val="left"/>
            </w:pPr>
            <w:r>
              <w:t xml:space="preserve">7</w:t>
            </w:r>
          </w:p>
        </w:tc>
        <w:tc>
          <w:tcPr/>
          <w:p>
            <w:pPr>
              <w:pStyle w:val="Compact"/>
              <w:jc w:val="right"/>
            </w:pPr>
            <w:r>
              <w:t xml:space="preserve">4.1</w:t>
            </w:r>
          </w:p>
        </w:tc>
        <w:tc>
          <w:tcPr/>
          <w:p>
            <w:pPr>
              <w:pStyle w:val="Compact"/>
              <w:jc w:val="right"/>
            </w:pPr>
            <w:r>
              <w:t xml:space="preserve">4.7</w:t>
            </w:r>
          </w:p>
        </w:tc>
        <w:tc>
          <w:tcPr/>
          <w:p>
            <w:pPr>
              <w:pStyle w:val="Compact"/>
              <w:jc w:val="right"/>
            </w:pPr>
            <w:r>
              <w:t xml:space="preserve">+0.6</w:t>
            </w:r>
          </w:p>
        </w:tc>
      </w:tr>
      <w:tr>
        <w:tc>
          <w:tcPr/>
          <w:p>
            <w:pPr>
              <w:pStyle w:val="Compact"/>
              <w:jc w:val="left"/>
            </w:pPr>
            <w:r>
              <w:t xml:space="preserve">8</w:t>
            </w:r>
          </w:p>
        </w:tc>
        <w:tc>
          <w:tcPr/>
          <w:p>
            <w:pPr>
              <w:pStyle w:val="Compact"/>
              <w:jc w:val="right"/>
            </w:pPr>
            <w:r>
              <w:t xml:space="preserve">2.2</w:t>
            </w:r>
          </w:p>
        </w:tc>
        <w:tc>
          <w:tcPr/>
          <w:p>
            <w:pPr>
              <w:pStyle w:val="Compact"/>
              <w:jc w:val="right"/>
            </w:pPr>
            <w:r>
              <w:t xml:space="preserve">2.3</w:t>
            </w:r>
          </w:p>
        </w:tc>
        <w:tc>
          <w:tcPr/>
          <w:p>
            <w:pPr>
              <w:pStyle w:val="Compact"/>
              <w:jc w:val="right"/>
            </w:pPr>
            <w:r>
              <w:t xml:space="preserve">+0.1</w:t>
            </w:r>
          </w:p>
        </w:tc>
      </w:tr>
      <w:tr>
        <w:tc>
          <w:tcPr/>
          <w:p>
            <w:pPr>
              <w:pStyle w:val="Compact"/>
              <w:jc w:val="left"/>
            </w:pPr>
            <w:r>
              <w:t xml:space="preserve">9</w:t>
            </w:r>
          </w:p>
        </w:tc>
        <w:tc>
          <w:tcPr/>
          <w:p>
            <w:pPr>
              <w:pStyle w:val="Compact"/>
              <w:jc w:val="right"/>
            </w:pPr>
            <w:r>
              <w:t xml:space="preserve">20.1</w:t>
            </w:r>
          </w:p>
        </w:tc>
        <w:tc>
          <w:tcPr/>
          <w:p>
            <w:pPr>
              <w:pStyle w:val="Compact"/>
              <w:jc w:val="right"/>
            </w:pPr>
            <w:r>
              <w:t xml:space="preserve">25.9</w:t>
            </w:r>
          </w:p>
        </w:tc>
        <w:tc>
          <w:tcPr/>
          <w:p>
            <w:pPr>
              <w:pStyle w:val="Compact"/>
              <w:jc w:val="right"/>
            </w:pPr>
            <w:r>
              <w:t xml:space="preserve">+5.8</w:t>
            </w:r>
          </w:p>
        </w:tc>
      </w:tr>
      <w:tr>
        <w:tc>
          <w:tcPr/>
          <w:p>
            <w:pPr>
              <w:pStyle w:val="Compact"/>
              <w:jc w:val="left"/>
            </w:pPr>
            <w:r>
              <w:t xml:space="preserve">10</w:t>
            </w:r>
          </w:p>
        </w:tc>
        <w:tc>
          <w:tcPr/>
          <w:p>
            <w:pPr>
              <w:pStyle w:val="Compact"/>
              <w:jc w:val="right"/>
            </w:pPr>
            <w:r>
              <w:t xml:space="preserve">0.9</w:t>
            </w:r>
          </w:p>
        </w:tc>
        <w:tc>
          <w:tcPr/>
          <w:p>
            <w:pPr>
              <w:pStyle w:val="Compact"/>
              <w:jc w:val="right"/>
            </w:pPr>
            <w:r>
              <w:t xml:space="preserve">0.8</w:t>
            </w:r>
          </w:p>
        </w:tc>
        <w:tc>
          <w:tcPr/>
          <w:p>
            <w:pPr>
              <w:pStyle w:val="Compact"/>
              <w:jc w:val="right"/>
            </w:pPr>
            <w:r>
              <w:t xml:space="preserve">-0.1</w:t>
            </w:r>
          </w:p>
        </w:tc>
      </w:tr>
      <w:tr>
        <w:tc>
          <w:tcPr/>
          <w:p>
            <w:pPr>
              <w:pStyle w:val="Compact"/>
              <w:jc w:val="left"/>
            </w:pPr>
            <w:r>
              <w:t xml:space="preserve">11</w:t>
            </w:r>
          </w:p>
        </w:tc>
        <w:tc>
          <w:tcPr/>
          <w:p>
            <w:pPr>
              <w:pStyle w:val="Compact"/>
              <w:jc w:val="right"/>
            </w:pPr>
            <w:r>
              <w:t xml:space="preserve">5.1</w:t>
            </w:r>
          </w:p>
        </w:tc>
        <w:tc>
          <w:tcPr/>
          <w:p>
            <w:pPr>
              <w:pStyle w:val="Compact"/>
              <w:jc w:val="right"/>
            </w:pPr>
            <w:r>
              <w:t xml:space="preserve">8.0</w:t>
            </w:r>
          </w:p>
        </w:tc>
        <w:tc>
          <w:tcPr/>
          <w:p>
            <w:pPr>
              <w:pStyle w:val="Compact"/>
              <w:jc w:val="right"/>
            </w:pPr>
            <w:r>
              <w:t xml:space="preserve">+2.9</w:t>
            </w:r>
          </w:p>
        </w:tc>
      </w:tr>
      <w:tr>
        <w:tc>
          <w:tcPr/>
          <w:p>
            <w:pPr>
              <w:pStyle w:val="Compact"/>
              <w:jc w:val="left"/>
            </w:pPr>
            <w:r>
              <w:t xml:space="preserve">12</w:t>
            </w:r>
          </w:p>
        </w:tc>
        <w:tc>
          <w:tcPr/>
          <w:p>
            <w:pPr>
              <w:pStyle w:val="Compact"/>
              <w:jc w:val="right"/>
            </w:pPr>
            <w:r>
              <w:t xml:space="preserve">1.5</w:t>
            </w:r>
          </w:p>
        </w:tc>
        <w:tc>
          <w:tcPr/>
          <w:p>
            <w:pPr>
              <w:pStyle w:val="Compact"/>
              <w:jc w:val="right"/>
            </w:pPr>
            <w:r>
              <w:t xml:space="preserve">2.7</w:t>
            </w:r>
          </w:p>
        </w:tc>
        <w:tc>
          <w:tcPr/>
          <w:p>
            <w:pPr>
              <w:pStyle w:val="Compact"/>
              <w:jc w:val="right"/>
            </w:pPr>
            <w:r>
              <w:t xml:space="preserve">+1.2</w:t>
            </w:r>
          </w:p>
        </w:tc>
      </w:tr>
      <w:tr>
        <w:tc>
          <w:tcPr/>
          <w:p>
            <w:pPr>
              <w:pStyle w:val="Compact"/>
              <w:jc w:val="left"/>
            </w:pPr>
            <w:r>
              <w:t xml:space="preserve">13</w:t>
            </w:r>
          </w:p>
        </w:tc>
        <w:tc>
          <w:tcPr/>
          <w:p>
            <w:pPr>
              <w:pStyle w:val="Compact"/>
              <w:jc w:val="right"/>
            </w:pPr>
            <w:r>
              <w:t xml:space="preserve">3.7</w:t>
            </w:r>
          </w:p>
        </w:tc>
        <w:tc>
          <w:tcPr/>
          <w:p>
            <w:pPr>
              <w:pStyle w:val="Compact"/>
              <w:jc w:val="right"/>
            </w:pPr>
            <w:r>
              <w:t xml:space="preserve">4.2</w:t>
            </w:r>
          </w:p>
        </w:tc>
        <w:tc>
          <w:tcPr/>
          <w:p>
            <w:pPr>
              <w:pStyle w:val="Compact"/>
              <w:jc w:val="right"/>
            </w:pPr>
            <w:r>
              <w:t xml:space="preserve">+0.5</w:t>
            </w:r>
          </w:p>
        </w:tc>
      </w:tr>
      <w:tr>
        <w:tc>
          <w:tcPr/>
          <w:p>
            <w:pPr>
              <w:pStyle w:val="Compact"/>
              <w:jc w:val="left"/>
            </w:pPr>
            <w:r>
              <w:t xml:space="preserve">14</w:t>
            </w:r>
          </w:p>
        </w:tc>
        <w:tc>
          <w:tcPr/>
          <w:p>
            <w:pPr>
              <w:pStyle w:val="Compact"/>
              <w:jc w:val="right"/>
            </w:pPr>
            <w:r>
              <w:t xml:space="preserve">1.6</w:t>
            </w:r>
          </w:p>
        </w:tc>
        <w:tc>
          <w:tcPr/>
          <w:p>
            <w:pPr>
              <w:pStyle w:val="Compact"/>
              <w:jc w:val="right"/>
            </w:pPr>
            <w:r>
              <w:t xml:space="preserve">1.3</w:t>
            </w:r>
          </w:p>
        </w:tc>
        <w:tc>
          <w:tcPr/>
          <w:p>
            <w:pPr>
              <w:pStyle w:val="Compact"/>
              <w:jc w:val="right"/>
            </w:pPr>
            <w:r>
              <w:t xml:space="preserve">-0.3</w:t>
            </w:r>
          </w:p>
        </w:tc>
      </w:tr>
      <w:tr>
        <w:tc>
          <w:tcPr/>
          <w:p>
            <w:pPr>
              <w:pStyle w:val="Compact"/>
              <w:jc w:val="left"/>
            </w:pPr>
            <w:r>
              <w:t xml:space="preserve">15</w:t>
            </w:r>
          </w:p>
        </w:tc>
        <w:tc>
          <w:tcPr/>
          <w:p>
            <w:pPr>
              <w:pStyle w:val="Compact"/>
              <w:jc w:val="right"/>
            </w:pPr>
            <w:r>
              <w:t xml:space="preserve">2.2</w:t>
            </w:r>
          </w:p>
        </w:tc>
        <w:tc>
          <w:tcPr/>
          <w:p>
            <w:pPr>
              <w:pStyle w:val="Compact"/>
              <w:jc w:val="right"/>
            </w:pPr>
            <w:r>
              <w:t xml:space="preserve">2.1</w:t>
            </w:r>
          </w:p>
        </w:tc>
        <w:tc>
          <w:tcPr/>
          <w:p>
            <w:pPr>
              <w:pStyle w:val="Compact"/>
              <w:jc w:val="right"/>
            </w:pPr>
            <w:r>
              <w:t xml:space="preserve">-0.1</w:t>
            </w:r>
          </w:p>
        </w:tc>
      </w:tr>
      <w:tr>
        <w:tc>
          <w:tcPr/>
          <w:p>
            <w:pPr>
              <w:pStyle w:val="Compact"/>
              <w:jc w:val="left"/>
            </w:pPr>
            <w:r>
              <w:t xml:space="preserve">16</w:t>
            </w:r>
          </w:p>
        </w:tc>
        <w:tc>
          <w:tcPr/>
          <w:p>
            <w:pPr>
              <w:pStyle w:val="Compact"/>
              <w:jc w:val="right"/>
            </w:pPr>
            <w:r>
              <w:t xml:space="preserve">11.2</w:t>
            </w:r>
          </w:p>
        </w:tc>
        <w:tc>
          <w:tcPr/>
          <w:p>
            <w:pPr>
              <w:pStyle w:val="Compact"/>
              <w:jc w:val="right"/>
            </w:pPr>
            <w:r>
              <w:t xml:space="preserve">8.8</w:t>
            </w:r>
          </w:p>
        </w:tc>
        <w:tc>
          <w:tcPr/>
          <w:p>
            <w:pPr>
              <w:pStyle w:val="Compact"/>
              <w:jc w:val="right"/>
            </w:pPr>
            <w:r>
              <w:t xml:space="preserve">-2.4</w:t>
            </w:r>
          </w:p>
        </w:tc>
      </w:tr>
      <w:tr>
        <w:tc>
          <w:tcPr/>
          <w:p>
            <w:pPr>
              <w:pStyle w:val="Compact"/>
              <w:jc w:val="left"/>
            </w:pPr>
            <w:r>
              <w:t xml:space="preserve">17</w:t>
            </w:r>
          </w:p>
        </w:tc>
        <w:tc>
          <w:tcPr/>
          <w:p>
            <w:pPr>
              <w:pStyle w:val="Compact"/>
              <w:jc w:val="right"/>
            </w:pPr>
            <w:r>
              <w:t xml:space="preserve">0.3</w:t>
            </w:r>
          </w:p>
        </w:tc>
        <w:tc>
          <w:tcPr/>
          <w:p>
            <w:pPr>
              <w:pStyle w:val="Compact"/>
              <w:jc w:val="right"/>
            </w:pPr>
            <w:r>
              <w:t xml:space="preserve">0.2</w:t>
            </w:r>
          </w:p>
        </w:tc>
        <w:tc>
          <w:tcPr/>
          <w:p>
            <w:pPr>
              <w:pStyle w:val="Compact"/>
              <w:jc w:val="right"/>
            </w:pPr>
            <w:r>
              <w:t xml:space="preserve">-0.0</w:t>
            </w:r>
          </w:p>
        </w:tc>
      </w:tr>
      <w:tr>
        <w:tc>
          <w:tcPr>
            <w:gridSpan w:val="4"/>
          </w:tcPr>
          <w:p>
            <w:pPr>
              <w:pStyle w:val="Compact"/>
              <w:jc w:val="left"/>
            </w:pPr>
            <w:r>
              <w:t xml:space="preserve">Spearman</w:t>
            </w:r>
            <w:r>
              <w:t xml:space="preserve"> </w:t>
            </w:r>
            <m:oMath>
              <m:r>
                <m:t>ρ</m:t>
              </m:r>
            </m:oMath>
            <w:r>
              <w:t xml:space="preserve"> </w:t>
            </w:r>
            <w:r>
              <w:t xml:space="preserve">= 0.948; Kendall</w:t>
            </w:r>
            <w:r>
              <w:t xml:space="preserve"> </w:t>
            </w:r>
            <m:oMath>
              <m:r>
                <m:t>τ</m:t>
              </m:r>
            </m:oMath>
            <w:r>
              <w:t xml:space="preserve"> </w:t>
            </w:r>
            <w:r>
              <w:t xml:space="preserve">= 0.868</w:t>
            </w:r>
          </w:p>
        </w:tc>
      </w:tr>
    </w:tbl>
    <w:bookmarkEnd w:id="86"/>
    <w:p>
      <w:pPr>
        <w:pStyle w:val="BodyText"/>
      </w:pPr>
      <w:r>
        <w:rPr>
          <w:iCs/>
          <w:i/>
        </w:rPr>
        <w:t xml:space="preserve">Notes:</w:t>
      </w:r>
      <w:r>
        <w:t xml:space="preserve"> </w:t>
      </w:r>
      <m:oMath>
        <m:r>
          <m:t>Δ</m:t>
        </m:r>
      </m:oMath>
      <w:r>
        <w:t xml:space="preserve"> </w:t>
      </w:r>
      <w:r>
        <w:t xml:space="preserve">is concept minus keyword share in percentage points.</w:t>
      </w:r>
    </w:p>
    <w:p>
      <w:pPr>
        <w:pStyle w:val="BodyText"/>
      </w:pPr>
      <w:r>
        <w:t xml:space="preserve">Table </w:t>
      </w:r>
      <w:hyperlink w:anchor="tab:reference-concept">
        <w:r>
          <w:rPr>
            <w:rStyle w:val="Hyperlink"/>
          </w:rPr>
          <w:t xml:space="preserve">7</w:t>
        </w:r>
      </w:hyperlink>
      <w:r>
        <w:t xml:space="preserve"> </w:t>
      </w:r>
      <w:r>
        <w:t xml:space="preserve">reproduces the per-SDG reference values (Section </w:t>
      </w:r>
      <w:hyperlink w:anchor="sec:interaction">
        <w:r>
          <w:rPr>
            <w:rStyle w:val="Hyperlink"/>
          </w:rPr>
          <w:t xml:space="preserve">4.4</w:t>
        </w:r>
      </w:hyperlink>
      <w:r>
        <w:t xml:space="preserve">) for the concept-retrieved corpus: the semantic-gap family (raw, adjusted, register component) and the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 These are the per-SDG inputs behind the Concept rows in the interaction grid (Table </w:t>
      </w:r>
      <w:hyperlink w:anchor="tab:interaction">
        <w:r>
          <w:rPr>
            <w:rStyle w:val="Hyperlink"/>
          </w:rPr>
          <w:t xml:space="preserve">5</w:t>
        </w:r>
      </w:hyperlink>
      <w:r>
        <w:t xml:space="preserve">) and the cross-sensitivity tables.</w:t>
      </w:r>
    </w:p>
    <w:bookmarkStart w:id="87" w:name="tab:reference-concept"/>
    <w:p>
      <w:pPr>
        <w:pStyle w:val="TableCaption"/>
      </w:pPr>
      <w:r>
        <w:t xml:space="preserve">Concept-retrieved corpus — per-SDG reference values (semantic-gap and coverage-predictor families).</w:t>
      </w:r>
    </w:p>
    <w:tbl>
      <w:tblPr>
        <w:tblStyle w:val="Table"/>
        <w:tblW w:type="auto" w:w="0"/>
        <w:tblLook w:firstRow="1" w:lastRow="0" w:firstColumn="0" w:lastColumn="0" w:noHBand="0" w:noVBand="0" w:val="0020"/>
        <w:jc w:val="start"/>
        <w:tblCaption w:val="Concept-retrieved corpus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0.827</w:t>
            </w:r>
          </w:p>
        </w:tc>
        <w:tc>
          <w:tcPr/>
          <w:p>
            <w:pPr>
              <w:pStyle w:val="Compact"/>
              <w:jc w:val="right"/>
            </w:pPr>
            <w:r>
              <w:t xml:space="preserve">0.440</w:t>
            </w:r>
          </w:p>
        </w:tc>
        <w:tc>
          <w:tcPr/>
          <w:p>
            <w:pPr>
              <w:pStyle w:val="Compact"/>
              <w:jc w:val="right"/>
            </w:pPr>
            <w:r>
              <w:t xml:space="preserve">+0.387</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0.7</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0.428</w:t>
            </w:r>
          </w:p>
        </w:tc>
        <w:tc>
          <w:tcPr/>
          <w:p>
            <w:pPr>
              <w:pStyle w:val="Compact"/>
              <w:jc w:val="right"/>
            </w:pPr>
            <w:r>
              <w:t xml:space="preserve">0.137</w:t>
            </w:r>
          </w:p>
        </w:tc>
        <w:tc>
          <w:tcPr/>
          <w:p>
            <w:pPr>
              <w:pStyle w:val="Compact"/>
              <w:jc w:val="right"/>
            </w:pPr>
            <w:r>
              <w:t xml:space="preserve">+0.291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1.8</w:t>
            </w:r>
          </w:p>
        </w:tc>
        <w:tc>
          <w:tcPr/>
          <w:p>
            <w:pPr>
              <w:pStyle w:val="Compact"/>
              <w:jc w:val="right"/>
            </w:pPr>
            <w:r>
              <w:t xml:space="preserve">4.3</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0.663</w:t>
            </w:r>
          </w:p>
        </w:tc>
        <w:tc>
          <w:tcPr/>
          <w:p>
            <w:pPr>
              <w:pStyle w:val="Compact"/>
              <w:jc w:val="right"/>
            </w:pPr>
            <w:r>
              <w:t xml:space="preserve">0.454</w:t>
            </w:r>
          </w:p>
        </w:tc>
        <w:tc>
          <w:tcPr/>
          <w:p>
            <w:pPr>
              <w:pStyle w:val="Compact"/>
              <w:jc w:val="right"/>
            </w:pPr>
            <w:r>
              <w:t xml:space="preserve">+0.209</w:t>
            </w:r>
          </w:p>
        </w:tc>
        <w:tc>
          <w:tcPr/>
          <w:p>
            <w:pPr>
              <w:pStyle w:val="Compact"/>
              <w:jc w:val="right"/>
            </w:pPr>
            <w:r>
              <w:t xml:space="preserve">21.0</w:t>
            </w:r>
          </w:p>
        </w:tc>
        <w:tc>
          <w:tcPr/>
          <w:p>
            <w:pPr>
              <w:pStyle w:val="Compact"/>
              <w:jc w:val="right"/>
            </w:pPr>
            <w:r>
              <w:t xml:space="preserve">+21.0</w:t>
            </w:r>
          </w:p>
        </w:tc>
        <w:tc>
          <w:tcPr/>
          <w:p>
            <w:pPr>
              <w:pStyle w:val="Compact"/>
              <w:jc w:val="right"/>
            </w:pPr>
            <w:r>
              <w:t xml:space="preserve">25.7</w:t>
            </w:r>
          </w:p>
        </w:tc>
        <w:tc>
          <w:tcPr/>
          <w:p>
            <w:pPr>
              <w:pStyle w:val="Compact"/>
              <w:jc w:val="right"/>
            </w:pPr>
            <w:r>
              <w:t xml:space="preserve">4.7</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0.402</w:t>
            </w:r>
          </w:p>
        </w:tc>
        <w:tc>
          <w:tcPr/>
          <w:p>
            <w:pPr>
              <w:pStyle w:val="Compact"/>
              <w:jc w:val="right"/>
            </w:pPr>
            <w:r>
              <w:t xml:space="preserve">0.224</w:t>
            </w:r>
          </w:p>
        </w:tc>
        <w:tc>
          <w:tcPr/>
          <w:p>
            <w:pPr>
              <w:pStyle w:val="Compact"/>
              <w:jc w:val="right"/>
            </w:pPr>
            <w:r>
              <w:t xml:space="preserve">+0.178</w:t>
            </w:r>
          </w:p>
        </w:tc>
        <w:tc>
          <w:tcPr/>
          <w:p>
            <w:pPr>
              <w:pStyle w:val="Compact"/>
              <w:jc w:val="right"/>
            </w:pPr>
            <w:r>
              <w:t xml:space="preserve">3.5</w:t>
            </w:r>
          </w:p>
        </w:tc>
        <w:tc>
          <w:tcPr/>
          <w:p>
            <w:pPr>
              <w:pStyle w:val="Compact"/>
              <w:jc w:val="right"/>
            </w:pPr>
            <w:r>
              <w:t xml:space="preserve">+3.5</w:t>
            </w:r>
          </w:p>
        </w:tc>
        <w:tc>
          <w:tcPr/>
          <w:p>
            <w:pPr>
              <w:pStyle w:val="Compact"/>
              <w:jc w:val="right"/>
            </w:pPr>
            <w:r>
              <w:t xml:space="preserve">8.3</w:t>
            </w:r>
          </w:p>
        </w:tc>
        <w:tc>
          <w:tcPr/>
          <w:p>
            <w:pPr>
              <w:pStyle w:val="Compact"/>
              <w:jc w:val="right"/>
            </w:pPr>
            <w:r>
              <w:t xml:space="preserve">4.8</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0.575</w:t>
            </w:r>
          </w:p>
        </w:tc>
        <w:tc>
          <w:tcPr/>
          <w:p>
            <w:pPr>
              <w:pStyle w:val="Compact"/>
              <w:jc w:val="right"/>
            </w:pPr>
            <w:r>
              <w:t xml:space="preserve">0.333</w:t>
            </w:r>
          </w:p>
        </w:tc>
        <w:tc>
          <w:tcPr/>
          <w:p>
            <w:pPr>
              <w:pStyle w:val="Compact"/>
              <w:jc w:val="right"/>
            </w:pPr>
            <w:r>
              <w:t xml:space="preserve">+0.241</w:t>
            </w:r>
          </w:p>
        </w:tc>
        <w:tc>
          <w:tcPr/>
          <w:p>
            <w:pPr>
              <w:pStyle w:val="Compact"/>
              <w:jc w:val="right"/>
            </w:pPr>
            <w:r>
              <w:t xml:space="preserve">3.3</w:t>
            </w:r>
          </w:p>
        </w:tc>
        <w:tc>
          <w:tcPr/>
          <w:p>
            <w:pPr>
              <w:pStyle w:val="Compact"/>
              <w:jc w:val="right"/>
            </w:pPr>
            <w:r>
              <w:t xml:space="preserve">-3.3</w:t>
            </w:r>
          </w:p>
        </w:tc>
        <w:tc>
          <w:tcPr/>
          <w:p>
            <w:pPr>
              <w:pStyle w:val="Compact"/>
              <w:jc w:val="right"/>
            </w:pPr>
            <w:r>
              <w:t xml:space="preserve">1.7</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0.384</w:t>
            </w:r>
          </w:p>
        </w:tc>
        <w:tc>
          <w:tcPr/>
          <w:p>
            <w:pPr>
              <w:pStyle w:val="Compact"/>
              <w:jc w:val="right"/>
            </w:pPr>
            <w:r>
              <w:t xml:space="preserve">0.180</w:t>
            </w:r>
          </w:p>
        </w:tc>
        <w:tc>
          <w:tcPr/>
          <w:p>
            <w:pPr>
              <w:pStyle w:val="Compact"/>
              <w:jc w:val="right"/>
            </w:pPr>
            <w:r>
              <w:t xml:space="preserve">+0.204</w:t>
            </w:r>
          </w:p>
        </w:tc>
        <w:tc>
          <w:tcPr/>
          <w:p>
            <w:pPr>
              <w:pStyle w:val="Compact"/>
              <w:jc w:val="right"/>
            </w:pPr>
            <w:r>
              <w:t xml:space="preserve">2.9</w:t>
            </w:r>
          </w:p>
        </w:tc>
        <w:tc>
          <w:tcPr/>
          <w:p>
            <w:pPr>
              <w:pStyle w:val="Compact"/>
              <w:jc w:val="right"/>
            </w:pPr>
            <w:r>
              <w:t xml:space="preserve">-2.9</w:t>
            </w:r>
          </w:p>
        </w:tc>
        <w:tc>
          <w:tcPr/>
          <w:p>
            <w:pPr>
              <w:pStyle w:val="Compact"/>
              <w:jc w:val="right"/>
            </w:pPr>
            <w:r>
              <w:t xml:space="preserve">0.8</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0.514</w:t>
            </w:r>
          </w:p>
        </w:tc>
        <w:tc>
          <w:tcPr/>
          <w:p>
            <w:pPr>
              <w:pStyle w:val="Compact"/>
              <w:jc w:val="right"/>
            </w:pPr>
            <w:r>
              <w:t xml:space="preserve">0.242</w:t>
            </w:r>
          </w:p>
        </w:tc>
        <w:tc>
          <w:tcPr/>
          <w:p>
            <w:pPr>
              <w:pStyle w:val="Compact"/>
              <w:jc w:val="right"/>
            </w:pPr>
            <w:r>
              <w:t xml:space="preserve">+0.272</w:t>
            </w:r>
          </w:p>
        </w:tc>
        <w:tc>
          <w:tcPr/>
          <w:p>
            <w:pPr>
              <w:pStyle w:val="Compact"/>
              <w:jc w:val="right"/>
            </w:pPr>
            <w:r>
              <w:t xml:space="preserve">0.4</w:t>
            </w:r>
          </w:p>
        </w:tc>
        <w:tc>
          <w:tcPr/>
          <w:p>
            <w:pPr>
              <w:pStyle w:val="Compact"/>
              <w:jc w:val="right"/>
            </w:pPr>
            <w:r>
              <w:t xml:space="preserve">+0.4</w:t>
            </w:r>
          </w:p>
        </w:tc>
        <w:tc>
          <w:tcPr/>
          <w:p>
            <w:pPr>
              <w:pStyle w:val="Compact"/>
              <w:jc w:val="right"/>
            </w:pPr>
            <w:r>
              <w:t xml:space="preserve">4.7</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0.625</w:t>
            </w:r>
          </w:p>
        </w:tc>
        <w:tc>
          <w:tcPr/>
          <w:p>
            <w:pPr>
              <w:pStyle w:val="Compact"/>
              <w:jc w:val="right"/>
            </w:pPr>
            <w:r>
              <w:t xml:space="preserve">0.363</w:t>
            </w:r>
          </w:p>
        </w:tc>
        <w:tc>
          <w:tcPr/>
          <w:p>
            <w:pPr>
              <w:pStyle w:val="Compact"/>
              <w:jc w:val="right"/>
            </w:pPr>
            <w:r>
              <w:t xml:space="preserve">+0.262</w:t>
            </w:r>
          </w:p>
        </w:tc>
        <w:tc>
          <w:tcPr/>
          <w:p>
            <w:pPr>
              <w:pStyle w:val="Compact"/>
              <w:jc w:val="right"/>
            </w:pPr>
            <w:r>
              <w:t xml:space="preserve">2.0</w:t>
            </w:r>
          </w:p>
        </w:tc>
        <w:tc>
          <w:tcPr/>
          <w:p>
            <w:pPr>
              <w:pStyle w:val="Compact"/>
              <w:jc w:val="right"/>
            </w:pPr>
            <w:r>
              <w:t xml:space="preserve">-2.0</w:t>
            </w:r>
          </w:p>
        </w:tc>
        <w:tc>
          <w:tcPr/>
          <w:p>
            <w:pPr>
              <w:pStyle w:val="Compact"/>
              <w:jc w:val="right"/>
            </w:pPr>
            <w:r>
              <w:t xml:space="preserve">2.3</w:t>
            </w:r>
          </w:p>
        </w:tc>
        <w:tc>
          <w:tcPr/>
          <w:p>
            <w:pPr>
              <w:pStyle w:val="Compact"/>
              <w:jc w:val="right"/>
            </w:pPr>
            <w:r>
              <w:t xml:space="preserve">4.3</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0.421</w:t>
            </w:r>
          </w:p>
        </w:tc>
        <w:tc>
          <w:tcPr/>
          <w:p>
            <w:pPr>
              <w:pStyle w:val="Compact"/>
              <w:jc w:val="right"/>
            </w:pPr>
            <w:r>
              <w:t xml:space="preserve">0.330</w:t>
            </w:r>
          </w:p>
        </w:tc>
        <w:tc>
          <w:tcPr/>
          <w:p>
            <w:pPr>
              <w:pStyle w:val="Compact"/>
              <w:jc w:val="right"/>
            </w:pPr>
            <w:r>
              <w:t xml:space="preserve">+0.092</w:t>
            </w:r>
          </w:p>
        </w:tc>
        <w:tc>
          <w:tcPr/>
          <w:p>
            <w:pPr>
              <w:pStyle w:val="Compact"/>
              <w:jc w:val="right"/>
            </w:pPr>
            <w:r>
              <w:t xml:space="preserve">21.6</w:t>
            </w:r>
          </w:p>
        </w:tc>
        <w:tc>
          <w:tcPr/>
          <w:p>
            <w:pPr>
              <w:pStyle w:val="Compact"/>
              <w:jc w:val="right"/>
            </w:pPr>
            <w:r>
              <w:t xml:space="preserve">+21.6</w:t>
            </w:r>
          </w:p>
        </w:tc>
        <w:tc>
          <w:tcPr/>
          <w:p>
            <w:pPr>
              <w:pStyle w:val="Compact"/>
              <w:jc w:val="right"/>
            </w:pPr>
            <w:r>
              <w:t xml:space="preserve">25.9</w:t>
            </w:r>
          </w:p>
        </w:tc>
        <w:tc>
          <w:tcPr/>
          <w:p>
            <w:pPr>
              <w:pStyle w:val="Compact"/>
              <w:jc w:val="right"/>
            </w:pPr>
            <w:r>
              <w:t xml:space="preserve">4.3</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0.458</w:t>
            </w:r>
          </w:p>
        </w:tc>
        <w:tc>
          <w:tcPr/>
          <w:p>
            <w:pPr>
              <w:pStyle w:val="Compact"/>
              <w:jc w:val="right"/>
            </w:pPr>
            <w:r>
              <w:t xml:space="preserve">0.312</w:t>
            </w:r>
          </w:p>
        </w:tc>
        <w:tc>
          <w:tcPr/>
          <w:p>
            <w:pPr>
              <w:pStyle w:val="Compact"/>
              <w:jc w:val="right"/>
            </w:pPr>
            <w:r>
              <w:t xml:space="preserve">+0.146</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0.8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0.693</w:t>
            </w:r>
          </w:p>
        </w:tc>
        <w:tc>
          <w:tcPr/>
          <w:p>
            <w:pPr>
              <w:pStyle w:val="Compact"/>
              <w:jc w:val="right"/>
            </w:pPr>
            <w:r>
              <w:t xml:space="preserve">0.458</w:t>
            </w:r>
          </w:p>
        </w:tc>
        <w:tc>
          <w:tcPr/>
          <w:p>
            <w:pPr>
              <w:pStyle w:val="Compact"/>
              <w:jc w:val="right"/>
            </w:pPr>
            <w:r>
              <w:t xml:space="preserve">+0.236</w:t>
            </w:r>
          </w:p>
        </w:tc>
        <w:tc>
          <w:tcPr/>
          <w:p>
            <w:pPr>
              <w:pStyle w:val="Compact"/>
              <w:jc w:val="right"/>
            </w:pPr>
            <w:r>
              <w:t xml:space="preserve">2.7</w:t>
            </w:r>
          </w:p>
        </w:tc>
        <w:tc>
          <w:tcPr/>
          <w:p>
            <w:pPr>
              <w:pStyle w:val="Compact"/>
              <w:jc w:val="right"/>
            </w:pPr>
            <w:r>
              <w:t xml:space="preserve">+2.7</w:t>
            </w:r>
          </w:p>
        </w:tc>
        <w:tc>
          <w:tcPr/>
          <w:p>
            <w:pPr>
              <w:pStyle w:val="Compact"/>
              <w:jc w:val="right"/>
            </w:pPr>
            <w:r>
              <w:t xml:space="preserve">8.0</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0.400</w:t>
            </w:r>
          </w:p>
        </w:tc>
        <w:tc>
          <w:tcPr/>
          <w:p>
            <w:pPr>
              <w:pStyle w:val="Compact"/>
              <w:jc w:val="right"/>
            </w:pPr>
            <w:r>
              <w:t xml:space="preserve">0.280</w:t>
            </w:r>
          </w:p>
        </w:tc>
        <w:tc>
          <w:tcPr/>
          <w:p>
            <w:pPr>
              <w:pStyle w:val="Compact"/>
              <w:jc w:val="right"/>
            </w:pPr>
            <w:r>
              <w:t xml:space="preserve">+0.120</w:t>
            </w:r>
          </w:p>
        </w:tc>
        <w:tc>
          <w:tcPr/>
          <w:p>
            <w:pPr>
              <w:pStyle w:val="Compact"/>
              <w:jc w:val="right"/>
            </w:pPr>
            <w:r>
              <w:t xml:space="preserve">0.9</w:t>
            </w:r>
          </w:p>
        </w:tc>
        <w:tc>
          <w:tcPr/>
          <w:p>
            <w:pPr>
              <w:pStyle w:val="Compact"/>
              <w:jc w:val="right"/>
            </w:pPr>
            <w:r>
              <w:t xml:space="preserve">-0.9</w:t>
            </w:r>
          </w:p>
        </w:tc>
        <w:tc>
          <w:tcPr/>
          <w:p>
            <w:pPr>
              <w:pStyle w:val="Compact"/>
              <w:jc w:val="right"/>
            </w:pPr>
            <w:r>
              <w:t xml:space="preserve">2.7</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0.598</w:t>
            </w:r>
          </w:p>
        </w:tc>
        <w:tc>
          <w:tcPr/>
          <w:p>
            <w:pPr>
              <w:pStyle w:val="Compact"/>
              <w:jc w:val="right"/>
            </w:pPr>
            <w:r>
              <w:t xml:space="preserve">0.266</w:t>
            </w:r>
          </w:p>
        </w:tc>
        <w:tc>
          <w:tcPr/>
          <w:p>
            <w:pPr>
              <w:pStyle w:val="Compact"/>
              <w:jc w:val="right"/>
            </w:pPr>
            <w:r>
              <w:t xml:space="preserve">+0.332</w:t>
            </w:r>
          </w:p>
        </w:tc>
        <w:tc>
          <w:tcPr/>
          <w:p>
            <w:pPr>
              <w:pStyle w:val="Compact"/>
              <w:jc w:val="right"/>
            </w:pPr>
            <w:r>
              <w:t xml:space="preserve">7.1</w:t>
            </w:r>
          </w:p>
        </w:tc>
        <w:tc>
          <w:tcPr/>
          <w:p>
            <w:pPr>
              <w:pStyle w:val="Compact"/>
              <w:jc w:val="right"/>
            </w:pPr>
            <w:r>
              <w:t xml:space="preserve">-7.1</w:t>
            </w:r>
          </w:p>
        </w:tc>
        <w:tc>
          <w:tcPr/>
          <w:p>
            <w:pPr>
              <w:pStyle w:val="Compact"/>
              <w:jc w:val="right"/>
            </w:pPr>
            <w:r>
              <w:t xml:space="preserve">4.2</w:t>
            </w:r>
          </w:p>
        </w:tc>
        <w:tc>
          <w:tcPr/>
          <w:p>
            <w:pPr>
              <w:pStyle w:val="Compact"/>
              <w:jc w:val="right"/>
            </w:pPr>
            <w:r>
              <w:t xml:space="preserve">11.3</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0.504</w:t>
            </w:r>
          </w:p>
        </w:tc>
        <w:tc>
          <w:tcPr/>
          <w:p>
            <w:pPr>
              <w:pStyle w:val="Compact"/>
              <w:jc w:val="right"/>
            </w:pPr>
            <w:r>
              <w:t xml:space="preserve">0.253</w:t>
            </w:r>
          </w:p>
        </w:tc>
        <w:tc>
          <w:tcPr/>
          <w:p>
            <w:pPr>
              <w:pStyle w:val="Compact"/>
              <w:jc w:val="right"/>
            </w:pPr>
            <w:r>
              <w:t xml:space="preserve">+0.251</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1.3</w:t>
            </w:r>
          </w:p>
        </w:tc>
        <w:tc>
          <w:tcPr/>
          <w:p>
            <w:pPr>
              <w:pStyle w:val="Compact"/>
              <w:jc w:val="right"/>
            </w:pPr>
            <w:r>
              <w:t xml:space="preserve">3.8</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0.346</w:t>
            </w:r>
          </w:p>
        </w:tc>
        <w:tc>
          <w:tcPr/>
          <w:p>
            <w:pPr>
              <w:pStyle w:val="Compact"/>
              <w:jc w:val="right"/>
            </w:pPr>
            <w:r>
              <w:t xml:space="preserve">0.139</w:t>
            </w:r>
          </w:p>
        </w:tc>
        <w:tc>
          <w:tcPr/>
          <w:p>
            <w:pPr>
              <w:pStyle w:val="Compact"/>
              <w:jc w:val="right"/>
            </w:pPr>
            <w:r>
              <w:t xml:space="preserve">+0.207</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0.541</w:t>
            </w:r>
          </w:p>
        </w:tc>
        <w:tc>
          <w:tcPr/>
          <w:p>
            <w:pPr>
              <w:pStyle w:val="Compact"/>
              <w:jc w:val="right"/>
            </w:pPr>
            <w:r>
              <w:t xml:space="preserve">0.327</w:t>
            </w:r>
          </w:p>
        </w:tc>
        <w:tc>
          <w:tcPr/>
          <w:p>
            <w:pPr>
              <w:pStyle w:val="Compact"/>
              <w:jc w:val="right"/>
            </w:pPr>
            <w:r>
              <w:t xml:space="preserve">+0.214</w:t>
            </w:r>
          </w:p>
        </w:tc>
        <w:tc>
          <w:tcPr/>
          <w:p>
            <w:pPr>
              <w:pStyle w:val="Compact"/>
              <w:jc w:val="right"/>
            </w:pPr>
            <w:r>
              <w:t xml:space="preserve">8.5</w:t>
            </w:r>
          </w:p>
        </w:tc>
        <w:tc>
          <w:tcPr/>
          <w:p>
            <w:pPr>
              <w:pStyle w:val="Compact"/>
              <w:jc w:val="right"/>
            </w:pPr>
            <w:r>
              <w:t xml:space="preserve">-8.5</w:t>
            </w:r>
          </w:p>
        </w:tc>
        <w:tc>
          <w:tcPr/>
          <w:p>
            <w:pPr>
              <w:pStyle w:val="Compact"/>
              <w:jc w:val="right"/>
            </w:pPr>
            <w:r>
              <w:t xml:space="preserve">8.8</w:t>
            </w:r>
          </w:p>
        </w:tc>
        <w:tc>
          <w:tcPr/>
          <w:p>
            <w:pPr>
              <w:pStyle w:val="Compact"/>
              <w:jc w:val="right"/>
            </w:pPr>
            <w:r>
              <w:t xml:space="preserve">17.3</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0.312</w:t>
            </w:r>
          </w:p>
        </w:tc>
        <w:tc>
          <w:tcPr/>
          <w:p>
            <w:pPr>
              <w:pStyle w:val="Compact"/>
              <w:jc w:val="right"/>
            </w:pPr>
            <w:r>
              <w:t xml:space="preserve">0.521</w:t>
            </w:r>
          </w:p>
        </w:tc>
        <w:tc>
          <w:tcPr/>
          <w:p>
            <w:pPr>
              <w:pStyle w:val="Compact"/>
              <w:jc w:val="right"/>
            </w:pPr>
            <w:r>
              <w:t xml:space="preserve">-0.210</w:t>
            </w:r>
          </w:p>
        </w:tc>
        <w:tc>
          <w:tcPr/>
          <w:p>
            <w:pPr>
              <w:pStyle w:val="Compact"/>
              <w:jc w:val="right"/>
            </w:pPr>
            <w:r>
              <w:t xml:space="preserve">11.5</w:t>
            </w:r>
          </w:p>
        </w:tc>
        <w:tc>
          <w:tcPr/>
          <w:p>
            <w:pPr>
              <w:pStyle w:val="Compact"/>
              <w:jc w:val="right"/>
            </w:pPr>
            <w:r>
              <w:t xml:space="preserve">-11.5</w:t>
            </w:r>
          </w:p>
        </w:tc>
        <w:tc>
          <w:tcPr/>
          <w:p>
            <w:pPr>
              <w:pStyle w:val="Compact"/>
              <w:jc w:val="right"/>
            </w:pPr>
            <w:r>
              <w:t xml:space="preserve">0.2</w:t>
            </w:r>
          </w:p>
        </w:tc>
        <w:tc>
          <w:tcPr/>
          <w:p>
            <w:pPr>
              <w:pStyle w:val="Compact"/>
              <w:jc w:val="right"/>
            </w:pPr>
            <w:r>
              <w:t xml:space="preserve">11.7</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0.511</w:t>
            </w:r>
          </w:p>
        </w:tc>
        <w:tc>
          <w:tcPr/>
          <w:p>
            <w:pPr>
              <w:pStyle w:val="Compact"/>
              <w:jc w:val="right"/>
            </w:pPr>
            <w:r>
              <w:t xml:space="preserve">0.309</w:t>
            </w:r>
          </w:p>
        </w:tc>
        <w:tc>
          <w:tcPr/>
          <w:p>
            <w:pPr>
              <w:pStyle w:val="Compact"/>
              <w:jc w:val="right"/>
            </w:pPr>
            <w:r>
              <w:t xml:space="preserve">+0.202</w:t>
            </w:r>
          </w:p>
        </w:tc>
        <w:tc>
          <w:tcPr/>
          <w:p>
            <w:pPr>
              <w:pStyle w:val="Compact"/>
              <w:jc w:val="right"/>
            </w:pPr>
            <w:r>
              <w:t xml:space="preserve">5.8</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87"/>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 The concept-retrieved corpus reuses the MPNet register-adjusted space (Section </w:t>
      </w:r>
      <w:hyperlink w:anchor="sec:register-adjustment-inlp">
        <w:r>
          <w:rPr>
            <w:rStyle w:val="Hyperlink"/>
          </w:rPr>
          <w:t xml:space="preserve">3.8</w:t>
        </w:r>
      </w:hyperlink>
      <w:r>
        <w:t xml:space="preserve">).</w:t>
      </w:r>
    </w:p>
    <w:bookmarkEnd w:id="88"/>
    <w:bookmarkStart w:id="95" w:name="app:centroid-diagnostics"/>
    <w:p>
      <w:pPr>
        <w:pStyle w:val="Heading1"/>
      </w:pPr>
      <w:r>
        <w:t xml:space="preserve">Diagnostics for Reference Classifier</w:t>
      </w:r>
    </w:p>
    <w:bookmarkStart w:id="90" w:name="app:sdg4-lexical-audit"/>
    <w:p>
      <w:pPr>
        <w:pStyle w:val="Heading2"/>
      </w:pPr>
      <w:r>
        <w:t xml:space="preserve">SDG 4 Lexical Artefact Audit: The ML</w:t>
      </w:r>
      <w:r>
        <w:t xml:space="preserve"> </w:t>
      </w:r>
      <w:r>
        <w:t xml:space="preserve">‘</w:t>
      </w:r>
      <w:r>
        <w:t xml:space="preserve">Learning</w:t>
      </w:r>
      <w:r>
        <w:t xml:space="preserve">’</w:t>
      </w:r>
      <w:r>
        <w:t xml:space="preserve"> </w:t>
      </w:r>
      <w:r>
        <w:t xml:space="preserve">Overlap</w:t>
      </w:r>
    </w:p>
    <w:p>
      <w:pPr>
        <w:pStyle w:val="FirstParagraph"/>
      </w:pPr>
      <w:r>
        <w:t xml:space="preserve">SDG 4 is the only goal audited because it is the only one carrying an a priori lexical-overlap concern:</w:t>
      </w:r>
      <w:r>
        <w:t xml:space="preserve"> </w:t>
      </w:r>
      <w:r>
        <w:t xml:space="preserve">“</w:t>
      </w:r>
      <w:r>
        <w:t xml:space="preserve">learning</w:t>
      </w:r>
      <w:r>
        <w:t xml:space="preserve">”</w:t>
      </w:r>
      <w:r>
        <w:t xml:space="preserve"> </w:t>
      </w:r>
      <w:r>
        <w:t xml:space="preserve">is shared ML and education vocabulary, and prior AI–SDG inventories place SDG 4 outside the leading tier of SDG 3 and SDG 7</w:t>
      </w:r>
      <w:r>
        <w:t xml:space="preserve"> </w:t>
      </w:r>
      <w:r>
        <w:t xml:space="preserve">(Singh et al., 2024; Cowls et al., 2021; Nedungadi et al., 2024)</w:t>
      </w:r>
      <w:r>
        <w:t xml:space="preserve"> </w:t>
      </w:r>
      <w:r>
        <w:t xml:space="preserve">(in</w:t>
      </w:r>
      <w:r>
        <w:t xml:space="preserve"> </w:t>
      </w:r>
      <w:r>
        <w:t xml:space="preserve">Singh et al. (2024)</w:t>
      </w:r>
      <w:r>
        <w:t xml:space="preserve">’s 20,511-document corpus SDG 4 ranks third of 17 with 2,312 publications versus 6,829 for SDG 3 and 6,683 for SDG 7), so its third-place research share here is suspect on independent grounds. The audit does not relabel records. It tests whether the concern is empirically plausible.</w:t>
      </w:r>
    </w:p>
    <w:p>
      <w:pPr>
        <w:pStyle w:val="BodyText"/>
      </w:pPr>
      <w:r>
        <w:t xml:space="preserve">The keyword groups are defined as follows. The ML group comprises 14 terms:</w:t>
      </w:r>
      <w:r>
        <w:t xml:space="preserve"> </w:t>
      </w:r>
      <w:r>
        <w:rPr>
          <w:iCs/>
          <w:i/>
        </w:rPr>
        <w:t xml:space="preserve">machine learning, deep learning, reinforcement learning, supervised learning, unsupervised learning, neural network, model, models, train, trained, training, algorithm, classification, prediction</w:t>
      </w:r>
      <w:r>
        <w:t xml:space="preserve">. The education group comprises 17 terms:</w:t>
      </w:r>
      <w:r>
        <w:t xml:space="preserve"> </w:t>
      </w:r>
      <w:r>
        <w:rPr>
          <w:iCs/>
          <w:i/>
        </w:rPr>
        <w:t xml:space="preserve">education, educational, school, schools, student, students, teacher, teachers, classroom, curriculum, learning outcome, pedagogy, university, universities, course, courses, teaching</w:t>
      </w:r>
      <w:r>
        <w:t xml:space="preserve">. Note that bare</w:t>
      </w:r>
      <w:r>
        <w:t xml:space="preserve"> </w:t>
      </w:r>
      <w:r>
        <w:t xml:space="preserve">“</w:t>
      </w:r>
      <w:r>
        <w:t xml:space="preserve">learning</w:t>
      </w:r>
      <w:r>
        <w:t xml:space="preserve">”</w:t>
      </w:r>
      <w:r>
        <w:t xml:space="preserve"> </w:t>
      </w:r>
      <w:r>
        <w:t xml:space="preserve">is not a matched term on either side. It appears only within compound phrases (</w:t>
      </w:r>
      <w:r>
        <w:rPr>
          <w:iCs/>
          <w:i/>
        </w:rPr>
        <w:t xml:space="preserve">machine learning</w:t>
      </w:r>
      <w:r>
        <w:t xml:space="preserve"> </w:t>
      </w:r>
      <w:r>
        <w:t xml:space="preserve">on the ML side,</w:t>
      </w:r>
      <w:r>
        <w:t xml:space="preserve"> </w:t>
      </w:r>
      <w:r>
        <w:rPr>
          <w:iCs/>
          <w:i/>
        </w:rPr>
        <w:t xml:space="preserve">learning outcome</w:t>
      </w:r>
      <w:r>
        <w:t xml:space="preserve"> </w:t>
      </w:r>
      <w:r>
        <w:t xml:space="preserve">on the education side), reconciling the subsection title with the actual matching behaviour. Matching is case-insensitive, whole-word (</w:t>
      </w:r>
      <w:r>
        <w:rPr>
          <w:rStyle w:val="VerbatimChar"/>
        </w:rPr>
        <w:t xml:space="preserve">\b...\b</w:t>
      </w:r>
      <w:r>
        <w:t xml:space="preserve"> </w:t>
      </w:r>
      <w:r>
        <w:t xml:space="preserve">regex), and unstemmed, applied to the segmented title+abstract research text. A record is classified as</w:t>
      </w:r>
      <w:r>
        <w:t xml:space="preserve"> </w:t>
      </w:r>
      <w:r>
        <w:t xml:space="preserve">“</w:t>
      </w:r>
      <w:r>
        <w:t xml:space="preserve">both</w:t>
      </w:r>
      <w:r>
        <w:t xml:space="preserve">”</w:t>
      </w:r>
      <w:r>
        <w:t xml:space="preserve"> </w:t>
      </w:r>
      <w:r>
        <w:t xml:space="preserve">if it contains at least one term from each group; otherwise it is ML-only, education-only, or neither. The machine-readable keyword lists and aggregate counts are stored in</w:t>
      </w:r>
      <w:r>
        <w:t xml:space="preserve"> </w:t>
      </w:r>
      <w:r>
        <w:rPr>
          <w:rStyle w:val="VerbatimChar"/>
        </w:rPr>
        <w:t xml:space="preserve">4_outputs/appendix/mpnet/a3_sdg4_audit/data/sdg4_lexical_audit_summary.json</w:t>
      </w:r>
      <w:r>
        <w:t xml:space="preserve">.</w:t>
      </w:r>
    </w:p>
    <w:p>
      <w:pPr>
        <w:pStyle w:val="BodyText"/>
      </w:pPr>
      <w:r>
        <w:t xml:space="preserve">Two methodological caveats apply. First, the audit operates at the segment level (3,105,144 rows, one per text segment), not the paper level. Roughly 34% of multi-segment papers carry differing labels across their segments, so segment-level percentages are segment-weighted and may overrepresent long abstracts. The matched non-SDG 4 sample is a seed-42 reservoir draw from non-SDG-4 segment rows. Second, the ML list intentionally includes generic method vocabulary (</w:t>
      </w:r>
      <w:r>
        <w:rPr>
          <w:iCs/>
          <w:i/>
        </w:rPr>
        <w:t xml:space="preserve">model, training, algorithm</w:t>
      </w:r>
      <w:r>
        <w:t xml:space="preserve">) that is near-universal in an AI corpus. The diagnostic signal is therefore not the ML-presence rate itself but the education-versus-ML asymmetry across subsets (44.4% education-only in SDG 4 versus 4.0% and 2.5% in the comparison sets).</w:t>
      </w:r>
    </w:p>
    <w:p>
      <w:pPr>
        <w:pStyle w:val="BodyText"/>
      </w:pPr>
      <w:r>
        <w:t xml:space="preserve">Table </w:t>
      </w:r>
      <w:hyperlink w:anchor="tab:sdg4-lexical-audit">
        <w:r>
          <w:rPr>
            <w:rStyle w:val="Hyperlink"/>
          </w:rPr>
          <w:t xml:space="preserve">8</w:t>
        </w:r>
      </w:hyperlink>
      <w:r>
        <w:t xml:space="preserve"> </w:t>
      </w:r>
      <w:r>
        <w:t xml:space="preserve">compares the lexical composition of SDG 4-assigned research with a matched non-SDG 4 sample and with SDG 9, using these two keyword groups. The result is a negative test of the false-positive hypothesis: education-specific vocabulary alone covers 44.4% of SDG 4-assigned records and overlaps ML vocabulary in a further 23.8%, while only 11.8% are ML-only. The comparison sets are inverted, with ML-only vocabulary dominating the non-SDG 4 sample and the SDG 9 set (50.3% and 61.5%). The SDG 4 signal is therefore not the same technical language that drives SDG 9. But the 23.8%</w:t>
      </w:r>
      <w:r>
        <w:t xml:space="preserve"> </w:t>
      </w:r>
      <w:r>
        <w:t xml:space="preserve">“</w:t>
      </w:r>
      <w:r>
        <w:t xml:space="preserve">both</w:t>
      </w:r>
      <w:r>
        <w:t xml:space="preserve">”</w:t>
      </w:r>
      <w:r>
        <w:t xml:space="preserve"> </w:t>
      </w:r>
      <w:r>
        <w:t xml:space="preserve">share (versus 2.6% and 2.9% elsewhere) shows the two vocabularies do overlap materially within the SDG 4-assigned set.</w:t>
      </w:r>
    </w:p>
    <w:p>
      <w:pPr>
        <w:pStyle w:val="BodyText"/>
      </w:pPr>
      <w:r>
        <w:t xml:space="preserve">The main analysis therefore retains the canonical LR argmax assignment but continues to treat SDG 4 as artefact-affected. The most accurate reading is a learning-related assignment whose interpretation is blurred by lexical overlap: neither</w:t>
      </w:r>
      <w:r>
        <w:t xml:space="preserve"> </w:t>
      </w:r>
      <w:r>
        <w:t xml:space="preserve">“</w:t>
      </w:r>
      <w:r>
        <w:t xml:space="preserve">clean education</w:t>
      </w:r>
      <w:r>
        <w:t xml:space="preserve">”</w:t>
      </w:r>
      <w:r>
        <w:t xml:space="preserve"> </w:t>
      </w:r>
      <w:r>
        <w:t xml:space="preserve">nor</w:t>
      </w:r>
      <w:r>
        <w:t xml:space="preserve"> </w:t>
      </w:r>
      <w:r>
        <w:t xml:space="preserve">“</w:t>
      </w:r>
      <w:r>
        <w:t xml:space="preserve">pure ML artefact.</w:t>
      </w:r>
      <w:r>
        <w:t xml:space="preserve">”</w:t>
      </w:r>
    </w:p>
    <w:bookmarkStart w:id="89" w:name="tab:sdg4-lexical-audit"/>
    <w:p>
      <w:pPr>
        <w:pStyle w:val="TableCaption"/>
      </w:pPr>
      <w:r>
        <w:t xml:space="preserve">SDG 4 lexical artefact audit.</w:t>
      </w:r>
    </w:p>
    <w:tbl>
      <w:tblPr>
        <w:tblStyle w:val="Table"/>
        <w:tblW w:type="auto" w:w="0"/>
        <w:tblLook w:firstRow="0" w:lastRow="0" w:firstColumn="0" w:lastColumn="0" w:noHBand="0" w:noVBand="0" w:val="0000"/>
        <w:jc w:val="start"/>
        <w:tblCaption w:val="SDG 4 lexical artefact audit."/>
      </w:tblPr>
      <w:tblGrid>
        <w:gridCol w:w="1320"/>
        <w:gridCol w:w="1320"/>
        <w:gridCol w:w="1320"/>
        <w:gridCol w:w="1320"/>
        <w:gridCol w:w="1320"/>
        <w:gridCol w:w="1320"/>
      </w:tblGrid>
      <w:tr>
        <w:tc>
          <w:tcPr/>
          <w:p>
            <w:pPr>
              <w:pStyle w:val="Compact"/>
              <w:jc w:val="left"/>
            </w:pPr>
            <w:r>
              <w:t xml:space="preserve">Corpus subset</w:t>
            </w:r>
          </w:p>
        </w:tc>
        <w:tc>
          <w:tcPr/>
          <w:p>
            <w:pPr>
              <w:pStyle w:val="Compact"/>
              <w:jc w:val="right"/>
            </w:pPr>
            <w:r>
              <w:t xml:space="preserve">N</w:t>
            </w:r>
          </w:p>
        </w:tc>
        <w:tc>
          <w:tcPr/>
          <w:p>
            <w:pPr>
              <w:pStyle w:val="Compact"/>
              <w:jc w:val="right"/>
            </w:pPr>
            <w:r>
              <w:t xml:space="preserve">ML-only %</w:t>
            </w:r>
          </w:p>
        </w:tc>
        <w:tc>
          <w:tcPr/>
          <w:p>
            <w:pPr>
              <w:pStyle w:val="Compact"/>
              <w:jc w:val="right"/>
            </w:pPr>
            <w:r>
              <w:t xml:space="preserve">Education-only %</w:t>
            </w:r>
          </w:p>
        </w:tc>
        <w:tc>
          <w:tcPr/>
          <w:p>
            <w:pPr>
              <w:pStyle w:val="Compact"/>
              <w:jc w:val="right"/>
            </w:pPr>
            <w:r>
              <w:t xml:space="preserve">Both %</w:t>
            </w:r>
          </w:p>
        </w:tc>
        <w:tc>
          <w:tcPr/>
          <w:p>
            <w:pPr>
              <w:pStyle w:val="Compact"/>
            </w:pPr>
          </w:p>
        </w:tc>
      </w:tr>
      <w:tr>
        <w:tc>
          <w:tcPr/>
          <w:p>
            <w:pPr>
              <w:pStyle w:val="Compact"/>
              <w:jc w:val="left"/>
            </w:pPr>
            <w:r>
              <w:t xml:space="preserve">unclear %</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 4-assigned research</w:t>
            </w:r>
          </w:p>
        </w:tc>
        <w:tc>
          <w:tcPr/>
          <w:p>
            <w:pPr>
              <w:pStyle w:val="Compact"/>
              <w:jc w:val="right"/>
            </w:pPr>
            <w:r>
              <w:t xml:space="preserve">470002</w:t>
            </w:r>
          </w:p>
        </w:tc>
        <w:tc>
          <w:tcPr/>
          <w:p>
            <w:pPr>
              <w:pStyle w:val="Compact"/>
              <w:jc w:val="right"/>
            </w:pPr>
            <w:r>
              <w:t xml:space="preserve">11.8</w:t>
            </w:r>
          </w:p>
        </w:tc>
        <w:tc>
          <w:tcPr/>
          <w:p>
            <w:pPr>
              <w:pStyle w:val="Compact"/>
              <w:jc w:val="right"/>
            </w:pPr>
            <w:r>
              <w:t xml:space="preserve">44.4</w:t>
            </w:r>
          </w:p>
        </w:tc>
        <w:tc>
          <w:tcPr/>
          <w:p>
            <w:pPr>
              <w:pStyle w:val="Compact"/>
              <w:jc w:val="right"/>
            </w:pPr>
            <w:r>
              <w:t xml:space="preserve">23.8</w:t>
            </w:r>
          </w:p>
        </w:tc>
        <w:tc>
          <w:tcPr/>
          <w:p>
            <w:pPr>
              <w:pStyle w:val="Compact"/>
              <w:jc w:val="right"/>
            </w:pPr>
            <w:r>
              <w:t xml:space="preserve">19.9</w:t>
            </w:r>
          </w:p>
        </w:tc>
      </w:tr>
      <w:tr>
        <w:tc>
          <w:tcPr/>
          <w:p>
            <w:pPr>
              <w:pStyle w:val="Compact"/>
              <w:jc w:val="left"/>
            </w:pPr>
            <w:r>
              <w:t xml:space="preserve">Non-SDG4 research sample</w:t>
            </w:r>
          </w:p>
        </w:tc>
        <w:tc>
          <w:tcPr/>
          <w:p>
            <w:pPr>
              <w:pStyle w:val="Compact"/>
              <w:jc w:val="right"/>
            </w:pPr>
            <w:r>
              <w:t xml:space="preserve">470002</w:t>
            </w:r>
          </w:p>
        </w:tc>
        <w:tc>
          <w:tcPr/>
          <w:p>
            <w:pPr>
              <w:pStyle w:val="Compact"/>
              <w:jc w:val="right"/>
            </w:pPr>
            <w:r>
              <w:t xml:space="preserve">50.3</w:t>
            </w:r>
          </w:p>
        </w:tc>
        <w:tc>
          <w:tcPr/>
          <w:p>
            <w:pPr>
              <w:pStyle w:val="Compact"/>
              <w:jc w:val="right"/>
            </w:pPr>
            <w:r>
              <w:t xml:space="preserve">4.0</w:t>
            </w:r>
          </w:p>
        </w:tc>
        <w:tc>
          <w:tcPr/>
          <w:p>
            <w:pPr>
              <w:pStyle w:val="Compact"/>
              <w:jc w:val="right"/>
            </w:pPr>
            <w:r>
              <w:t xml:space="preserve">2.6</w:t>
            </w:r>
          </w:p>
        </w:tc>
        <w:tc>
          <w:tcPr/>
          <w:p>
            <w:pPr>
              <w:pStyle w:val="Compact"/>
              <w:jc w:val="right"/>
            </w:pPr>
            <w:r>
              <w:t xml:space="preserve">43.1</w:t>
            </w:r>
          </w:p>
        </w:tc>
      </w:tr>
      <w:tr>
        <w:tc>
          <w:tcPr/>
          <w:p>
            <w:pPr>
              <w:pStyle w:val="Compact"/>
              <w:jc w:val="left"/>
            </w:pPr>
            <w:r>
              <w:t xml:space="preserve">SDG 9-assigned research</w:t>
            </w:r>
          </w:p>
        </w:tc>
        <w:tc>
          <w:tcPr/>
          <w:p>
            <w:pPr>
              <w:pStyle w:val="Compact"/>
              <w:jc w:val="right"/>
            </w:pPr>
            <w:r>
              <w:t xml:space="preserve">577833</w:t>
            </w:r>
          </w:p>
        </w:tc>
        <w:tc>
          <w:tcPr/>
          <w:p>
            <w:pPr>
              <w:pStyle w:val="Compact"/>
              <w:jc w:val="right"/>
            </w:pPr>
            <w:r>
              <w:t xml:space="preserve">61.5</w:t>
            </w:r>
          </w:p>
        </w:tc>
        <w:tc>
          <w:tcPr/>
          <w:p>
            <w:pPr>
              <w:pStyle w:val="Compact"/>
              <w:jc w:val="right"/>
            </w:pPr>
            <w:r>
              <w:t xml:space="preserve">2.5</w:t>
            </w:r>
          </w:p>
        </w:tc>
        <w:tc>
          <w:tcPr/>
          <w:p>
            <w:pPr>
              <w:pStyle w:val="Compact"/>
              <w:jc w:val="right"/>
            </w:pPr>
            <w:r>
              <w:t xml:space="preserve">2.9</w:t>
            </w:r>
          </w:p>
        </w:tc>
        <w:tc>
          <w:tcPr/>
          <w:p>
            <w:pPr>
              <w:pStyle w:val="Compact"/>
              <w:jc w:val="right"/>
            </w:pPr>
            <w:r>
              <w:t xml:space="preserve">33.1</w:t>
            </w:r>
          </w:p>
        </w:tc>
      </w:tr>
    </w:tbl>
    <w:bookmarkEnd w:id="89"/>
    <w:p>
      <w:pPr>
        <w:pStyle w:val="BodyText"/>
      </w:pPr>
      <w:r>
        <w:rPr>
          <w:iCs/>
          <w:i/>
        </w:rPr>
        <w:t xml:space="preserve">Notes:</w:t>
      </w:r>
      <w:r>
        <w:t xml:space="preserve"> </w:t>
      </w:r>
      <w:r>
        <w:t xml:space="preserve">The audit only checks whether SDG 4-assigned research is disproportionately dominated by machine-learning vocabulary, education vocabulary, or both.</w:t>
      </w:r>
    </w:p>
    <w:bookmarkEnd w:id="90"/>
    <w:bookmarkStart w:id="94" w:name="app:centroid-similarity"/>
    <w:p>
      <w:pPr>
        <w:pStyle w:val="Heading2"/>
      </w:pPr>
      <w:r>
        <w:t xml:space="preserve">Centroid Similarity</w:t>
      </w:r>
    </w:p>
    <w:p>
      <w:pPr>
        <w:pStyle w:val="FirstParagraph"/>
      </w:pPr>
      <w:r>
        <w:t xml:space="preserve">This subsection reports the pairwise cosine-similarity heatmap (Figure </w:t>
      </w:r>
      <w:hyperlink w:anchor="fig:centroid-similarity-matrix">
        <w:r>
          <w:rPr>
            <w:rStyle w:val="Hyperlink"/>
          </w:rPr>
          <w:t xml:space="preserve">7</w:t>
        </w:r>
      </w:hyperlink>
      <w:r>
        <w:t xml:space="preserve">) for the 17 canonical SDG centroids. The centroids are the per-SDG mean training embeddings (L2-normalised) used by the LR classifier.</w:t>
      </w:r>
    </w:p>
    <w:p>
      <w:pPr>
        <w:pStyle w:val="CaptionedFigure"/>
      </w:pPr>
      <w:r>
        <w:drawing>
          <wp:inline>
            <wp:extent cx="5334000" cy="4578433"/>
            <wp:effectExtent b="0" l="0" r="0" t="0"/>
            <wp:docPr descr="" title="" id="92" name="Picture"/>
            <a:graphic>
              <a:graphicData uri="http://schemas.openxmlformats.org/drawingml/2006/picture">
                <pic:pic>
                  <pic:nvPicPr>
                    <pic:cNvPr descr="fig8_centroid_similarity_heatmap.png" id="93" name="Picture"/>
                    <pic:cNvPicPr>
                      <a:picLocks noChangeArrowheads="1" noChangeAspect="1"/>
                    </pic:cNvPicPr>
                  </pic:nvPicPr>
                  <pic:blipFill>
                    <a:blip r:embed="rId91"/>
                    <a:stretch>
                      <a:fillRect/>
                    </a:stretch>
                  </pic:blipFill>
                  <pic:spPr bwMode="auto">
                    <a:xfrm>
                      <a:off x="0" y="0"/>
                      <a:ext cx="5334000" cy="4578433"/>
                    </a:xfrm>
                    <a:prstGeom prst="rect">
                      <a:avLst/>
                    </a:prstGeom>
                    <a:noFill/>
                    <a:ln w="9525">
                      <a:noFill/>
                      <a:headEnd/>
                      <a:tailEnd/>
                    </a:ln>
                  </pic:spPr>
                </pic:pic>
              </a:graphicData>
            </a:graphic>
          </wp:inline>
        </w:drawing>
      </w:r>
    </w:p>
    <w:p>
      <w:pPr>
        <w:pStyle w:val="ImageCaption"/>
      </w:pPr>
      <w:r>
        <w:t xml:space="preserve">Pairwise cosine similarity between canonical SDG centroids (lower triangle).</w:t>
      </w:r>
    </w:p>
    <w:p>
      <w:pPr>
        <w:pStyle w:val="BodyText"/>
      </w:pPr>
      <w:r>
        <w:t xml:space="preserve">Figure </w:t>
      </w:r>
      <w:hyperlink w:anchor="fig:centroid-similarity-matrix">
        <w:r>
          <w:rPr>
            <w:rStyle w:val="Hyperlink"/>
          </w:rPr>
          <w:t xml:space="preserve">7</w:t>
        </w:r>
      </w:hyperlink>
      <w:r>
        <w:t xml:space="preserve"> </w:t>
      </w:r>
      <w:r>
        <w:t xml:space="preserve">shows the full 17</w:t>
      </w:r>
      <m:oMath>
        <m:r>
          <m:rPr>
            <m:sty m:val="p"/>
          </m:rPr>
          <m:t>×</m:t>
        </m:r>
      </m:oMath>
      <w:r>
        <w:t xml:space="preserve">17 similarity grid. Reading the grid, three observations stand out. First, the diagonal dominates: most centroids are far more similar to themselves than to any neighbour, which is why the supervised LR classifier (Table </w:t>
      </w:r>
      <w:hyperlink w:anchor="tab:validation">
        <w:r>
          <w:rPr>
            <w:rStyle w:val="Hyperlink"/>
          </w:rPr>
          <w:t xml:space="preserve">3</w:t>
        </w:r>
      </w:hyperlink>
      <w:r>
        <w:t xml:space="preserve">) can build on this well-separated base to reach 0.816. Second, a small set of off-diagonal cells is elevated: SDG 11’s centroid neighbours SDG 9 (cosine 0.744), SDG 8 lies near SDGs 1 and 10 (cosine 0.808 and 0.862), and SDGs 1 and 10 are themselves the closest off-diagonal pair (cosine 0.931) – these are the proximities that make the SDG 10 and SDG 8 scores in Section </w:t>
      </w:r>
      <w:hyperlink w:anchor="sec:validation">
        <w:r>
          <w:rPr>
            <w:rStyle w:val="Hyperlink"/>
          </w:rPr>
          <w:t xml:space="preserve">4.1</w:t>
        </w:r>
      </w:hyperlink>
      <w:r>
        <w:t xml:space="preserve"> </w:t>
      </w:r>
      <w:r>
        <w:t xml:space="preserve">indicative rather than exact. Third, SDG 17 is the outlier: its row and column are the flattest, and its nearest neighbour is SDG 13 (cosine 0.821), reflecting the overlap between climate and partnership discourse noted in Section </w:t>
      </w:r>
      <w:hyperlink w:anchor="sec:validation">
        <w:r>
          <w:rPr>
            <w:rStyle w:val="Hyperlink"/>
          </w:rPr>
          <w:t xml:space="preserve">4.1</w:t>
        </w:r>
      </w:hyperlink>
      <w:r>
        <w:t xml:space="preserve">.</w:t>
      </w:r>
    </w:p>
    <w:bookmarkEnd w:id="94"/>
    <w:bookmarkEnd w:id="95"/>
    <w:bookmarkStart w:id="97" w:name="app:semantic-gap-text-interpretability"/>
    <w:p>
      <w:pPr>
        <w:pStyle w:val="Heading1"/>
      </w:pPr>
      <w:r>
        <w:t xml:space="preserve">Lexical Illustration of the Semantic Gap</w:t>
      </w:r>
    </w:p>
    <w:p>
      <w:pPr>
        <w:pStyle w:val="FirstParagraph"/>
      </w:pPr>
      <w:r>
        <w:t xml:space="preserve">Table </w:t>
      </w:r>
      <w:hyperlink w:anchor="Xb5f46f72c0b4de0e21636b87797eca5bfe52583">
        <w:r>
          <w:rPr>
            <w:rStyle w:val="Hyperlink"/>
          </w:rPr>
          <w:t xml:space="preserve">9</w:t>
        </w:r>
      </w:hyperlink>
      <w:r>
        <w:t xml:space="preserve"> </w:t>
      </w:r>
      <w:r>
        <w:t xml:space="preserve">lists the ten TF-IDF-weighted unigrams and bigrams most distinctive of the research and policy sides for each SDG, computed on deterministic samples of texts assigned to each SDG. Two groups of stopwords are excluded because they reflect the retrieval strategy (Section </w:t>
      </w:r>
      <w:hyperlink w:anchor="app:concept-retrieval-sensitivity">
        <w:r>
          <w:rPr>
            <w:rStyle w:val="Hyperlink"/>
          </w:rPr>
          <w:t xml:space="preserve">7</w:t>
        </w:r>
      </w:hyperlink>
      <w:r>
        <w:t xml:space="preserve">) rather than SDG-specific framing: generic ML-methodology vocabulary (</w:t>
      </w:r>
      <w:r>
        <w:rPr>
          <w:iCs/>
          <w:i/>
        </w:rPr>
        <w:t xml:space="preserve">model</w:t>
      </w:r>
      <w:r>
        <w:t xml:space="preserve">,</w:t>
      </w:r>
      <w:r>
        <w:t xml:space="preserve"> </w:t>
      </w:r>
      <w:r>
        <w:rPr>
          <w:iCs/>
          <w:i/>
        </w:rPr>
        <w:t xml:space="preserve">models</w:t>
      </w:r>
      <w:r>
        <w:t xml:space="preserve">,</w:t>
      </w:r>
      <w:r>
        <w:t xml:space="preserve"> </w:t>
      </w:r>
      <w:r>
        <w:rPr>
          <w:iCs/>
          <w:i/>
        </w:rPr>
        <w:t xml:space="preserve">learning</w:t>
      </w:r>
      <w:r>
        <w:t xml:space="preserve">,</w:t>
      </w:r>
      <w:r>
        <w:t xml:space="preserve"> </w:t>
      </w:r>
      <w:r>
        <w:rPr>
          <w:iCs/>
          <w:i/>
        </w:rPr>
        <w:t xml:space="preserve">neural</w:t>
      </w:r>
      <w:r>
        <w:t xml:space="preserve">,</w:t>
      </w:r>
      <w:r>
        <w:t xml:space="preserve"> </w:t>
      </w:r>
      <w:r>
        <w:rPr>
          <w:iCs/>
          <w:i/>
        </w:rPr>
        <w:t xml:space="preserve">deep</w:t>
      </w:r>
      <w:r>
        <w:t xml:space="preserve">,</w:t>
      </w:r>
      <w:r>
        <w:t xml:space="preserve"> </w:t>
      </w:r>
      <w:r>
        <w:rPr>
          <w:iCs/>
          <w:i/>
        </w:rPr>
        <w:t xml:space="preserve">machine</w:t>
      </w:r>
      <w:r>
        <w:t xml:space="preserve">,</w:t>
      </w:r>
      <w:r>
        <w:t xml:space="preserve"> </w:t>
      </w:r>
      <w:r>
        <w:rPr>
          <w:iCs/>
          <w:i/>
        </w:rPr>
        <w:t xml:space="preserve">algorithm</w:t>
      </w:r>
      <w:r>
        <w:t xml:space="preserve">,</w:t>
      </w:r>
      <w:r>
        <w:t xml:space="preserve"> </w:t>
      </w:r>
      <w:r>
        <w:rPr>
          <w:iCs/>
          <w:i/>
        </w:rPr>
        <w:t xml:space="preserve">algorithms</w:t>
      </w:r>
      <w:r>
        <w:t xml:space="preserve">,</w:t>
      </w:r>
      <w:r>
        <w:t xml:space="preserve"> </w:t>
      </w:r>
      <w:r>
        <w:rPr>
          <w:iCs/>
          <w:i/>
        </w:rPr>
        <w:t xml:space="preserve">method</w:t>
      </w:r>
      <w:r>
        <w:t xml:space="preserve">,</w:t>
      </w:r>
      <w:r>
        <w:t xml:space="preserve"> </w:t>
      </w:r>
      <w:r>
        <w:rPr>
          <w:iCs/>
          <w:i/>
        </w:rPr>
        <w:t xml:space="preserve">methods</w:t>
      </w:r>
      <w:r>
        <w:t xml:space="preserve">,</w:t>
      </w:r>
      <w:r>
        <w:t xml:space="preserve"> </w:t>
      </w:r>
      <w:r>
        <w:rPr>
          <w:iCs/>
          <w:i/>
        </w:rPr>
        <w:t xml:space="preserve">proposed</w:t>
      </w:r>
      <w:r>
        <w:t xml:space="preserve">,</w:t>
      </w:r>
      <w:r>
        <w:t xml:space="preserve"> </w:t>
      </w:r>
      <w:r>
        <w:rPr>
          <w:iCs/>
          <w:i/>
        </w:rPr>
        <w:t xml:space="preserve">network</w:t>
      </w:r>
      <w:r>
        <w:t xml:space="preserve">,</w:t>
      </w:r>
      <w:r>
        <w:t xml:space="preserve"> </w:t>
      </w:r>
      <w:r>
        <w:rPr>
          <w:iCs/>
          <w:i/>
        </w:rPr>
        <w:t xml:space="preserve">networks</w:t>
      </w:r>
      <w:r>
        <w:t xml:space="preserve">,</w:t>
      </w:r>
      <w:r>
        <w:t xml:space="preserve"> </w:t>
      </w:r>
      <w:r>
        <w:rPr>
          <w:iCs/>
          <w:i/>
        </w:rPr>
        <w:t xml:space="preserve">accuracy</w:t>
      </w:r>
      <w:r>
        <w:t xml:space="preserve">,</w:t>
      </w:r>
      <w:r>
        <w:t xml:space="preserve"> </w:t>
      </w:r>
      <w:r>
        <w:rPr>
          <w:iCs/>
          <w:i/>
        </w:rPr>
        <w:t xml:space="preserve">performance</w:t>
      </w:r>
      <w:r>
        <w:t xml:space="preserve">,</w:t>
      </w:r>
      <w:r>
        <w:t xml:space="preserve"> </w:t>
      </w:r>
      <w:r>
        <w:rPr>
          <w:iCs/>
          <w:i/>
        </w:rPr>
        <w:t xml:space="preserve">training</w:t>
      </w:r>
      <w:r>
        <w:t xml:space="preserve">,</w:t>
      </w:r>
      <w:r>
        <w:t xml:space="preserve"> </w:t>
      </w:r>
      <w:r>
        <w:rPr>
          <w:iCs/>
          <w:i/>
        </w:rPr>
        <w:t xml:space="preserve">classification</w:t>
      </w:r>
      <w:r>
        <w:t xml:space="preserve">,</w:t>
      </w:r>
      <w:r>
        <w:t xml:space="preserve"> </w:t>
      </w:r>
      <w:r>
        <w:rPr>
          <w:iCs/>
          <w:i/>
        </w:rPr>
        <w:t xml:space="preserve">feature</w:t>
      </w:r>
      <w:r>
        <w:t xml:space="preserve">,</w:t>
      </w:r>
      <w:r>
        <w:t xml:space="preserve"> </w:t>
      </w:r>
      <w:r>
        <w:rPr>
          <w:iCs/>
          <w:i/>
        </w:rPr>
        <w:t xml:space="preserve">features</w:t>
      </w:r>
      <w:r>
        <w:t xml:space="preserve">,</w:t>
      </w:r>
      <w:r>
        <w:t xml:space="preserve"> </w:t>
      </w:r>
      <w:r>
        <w:rPr>
          <w:iCs/>
          <w:i/>
        </w:rPr>
        <w:t xml:space="preserve">layer</w:t>
      </w:r>
      <w:r>
        <w:t xml:space="preserve">,</w:t>
      </w:r>
      <w:r>
        <w:t xml:space="preserve"> </w:t>
      </w:r>
      <w:r>
        <w:rPr>
          <w:iCs/>
          <w:i/>
        </w:rPr>
        <w:t xml:space="preserve">layers</w:t>
      </w:r>
      <w:r>
        <w:t xml:space="preserve">,</w:t>
      </w:r>
      <w:r>
        <w:t xml:space="preserve"> </w:t>
      </w:r>
      <w:r>
        <w:rPr>
          <w:iCs/>
          <w:i/>
        </w:rPr>
        <w:t xml:space="preserve">dataset</w:t>
      </w:r>
      <w:r>
        <w:t xml:space="preserve">,</w:t>
      </w:r>
      <w:r>
        <w:t xml:space="preserve"> </w:t>
      </w:r>
      <w:r>
        <w:rPr>
          <w:iCs/>
          <w:i/>
        </w:rPr>
        <w:t xml:space="preserve">datasets</w:t>
      </w:r>
      <w:r>
        <w:t xml:space="preserve">,</w:t>
      </w:r>
      <w:r>
        <w:t xml:space="preserve"> </w:t>
      </w:r>
      <w:r>
        <w:rPr>
          <w:iCs/>
          <w:i/>
        </w:rPr>
        <w:t xml:space="preserve">analysis</w:t>
      </w:r>
      <w:r>
        <w:t xml:space="preserve">,</w:t>
      </w:r>
      <w:r>
        <w:t xml:space="preserve"> </w:t>
      </w:r>
      <w:r>
        <w:rPr>
          <w:iCs/>
          <w:i/>
        </w:rPr>
        <w:t xml:space="preserve">prediction</w:t>
      </w:r>
      <w:r>
        <w:t xml:space="preserve">,</w:t>
      </w:r>
      <w:r>
        <w:t xml:space="preserve"> </w:t>
      </w:r>
      <w:r>
        <w:rPr>
          <w:iCs/>
          <w:i/>
        </w:rPr>
        <w:t xml:space="preserve">findings</w:t>
      </w:r>
      <w:r>
        <w:t xml:space="preserve">,</w:t>
      </w:r>
      <w:r>
        <w:t xml:space="preserve"> </w:t>
      </w:r>
      <w:r>
        <w:rPr>
          <w:iCs/>
          <w:i/>
        </w:rPr>
        <w:t xml:space="preserve">factors</w:t>
      </w:r>
      <w:r>
        <w:t xml:space="preserve">,</w:t>
      </w:r>
      <w:r>
        <w:t xml:space="preserve"> </w:t>
      </w:r>
      <w:r>
        <w:rPr>
          <w:iCs/>
          <w:i/>
        </w:rPr>
        <w:t xml:space="preserve">regression</w:t>
      </w:r>
      <w:r>
        <w:t xml:space="preserve">,</w:t>
      </w:r>
      <w:r>
        <w:t xml:space="preserve"> </w:t>
      </w:r>
      <w:r>
        <w:rPr>
          <w:iCs/>
          <w:i/>
        </w:rPr>
        <w:t xml:space="preserve">based</w:t>
      </w:r>
      <w:r>
        <w:t xml:space="preserve">,</w:t>
      </w:r>
      <w:r>
        <w:t xml:space="preserve"> </w:t>
      </w:r>
      <w:r>
        <w:rPr>
          <w:iCs/>
          <w:i/>
        </w:rPr>
        <w:t xml:space="preserve">effect</w:t>
      </w:r>
      <w:r>
        <w:t xml:space="preserve">,</w:t>
      </w:r>
      <w:r>
        <w:t xml:space="preserve"> </w:t>
      </w:r>
      <w:r>
        <w:rPr>
          <w:iCs/>
          <w:i/>
        </w:rPr>
        <w:t xml:space="preserve">variables</w:t>
      </w:r>
      <w:r>
        <w:t xml:space="preserve">,</w:t>
      </w:r>
      <w:r>
        <w:t xml:space="preserve"> </w:t>
      </w:r>
      <w:r>
        <w:rPr>
          <w:iCs/>
          <w:i/>
        </w:rPr>
        <w:t xml:space="preserve">used</w:t>
      </w:r>
      <w:r>
        <w:t xml:space="preserve">,</w:t>
      </w:r>
      <w:r>
        <w:t xml:space="preserve"> </w:t>
      </w:r>
      <w:r>
        <w:rPr>
          <w:iCs/>
          <w:i/>
        </w:rPr>
        <w:t xml:space="preserve">associated</w:t>
      </w:r>
      <w:r>
        <w:t xml:space="preserve">,</w:t>
      </w:r>
      <w:r>
        <w:t xml:space="preserve"> </w:t>
      </w:r>
      <w:r>
        <w:rPr>
          <w:iCs/>
          <w:i/>
        </w:rPr>
        <w:t xml:space="preserve">different</w:t>
      </w:r>
      <w:r>
        <w:t xml:space="preserve">) and generic structural terms (</w:t>
      </w:r>
      <w:r>
        <w:rPr>
          <w:iCs/>
          <w:i/>
        </w:rPr>
        <w:t xml:space="preserve">abstract</w:t>
      </w:r>
      <w:r>
        <w:t xml:space="preserve">,</w:t>
      </w:r>
      <w:r>
        <w:t xml:space="preserve"> </w:t>
      </w:r>
      <w:r>
        <w:rPr>
          <w:iCs/>
          <w:i/>
        </w:rPr>
        <w:t xml:space="preserve">article</w:t>
      </w:r>
      <w:r>
        <w:t xml:space="preserve">,</w:t>
      </w:r>
      <w:r>
        <w:t xml:space="preserve"> </w:t>
      </w:r>
      <w:r>
        <w:rPr>
          <w:iCs/>
          <w:i/>
        </w:rPr>
        <w:t xml:space="preserve">chapter</w:t>
      </w:r>
      <w:r>
        <w:t xml:space="preserve">,</w:t>
      </w:r>
      <w:r>
        <w:t xml:space="preserve"> </w:t>
      </w:r>
      <w:r>
        <w:rPr>
          <w:iCs/>
          <w:i/>
        </w:rPr>
        <w:t xml:space="preserve">data</w:t>
      </w:r>
      <w:r>
        <w:t xml:space="preserve">,</w:t>
      </w:r>
      <w:r>
        <w:t xml:space="preserve"> </w:t>
      </w:r>
      <w:r>
        <w:rPr>
          <w:iCs/>
          <w:i/>
        </w:rPr>
        <w:t xml:space="preserve">development</w:t>
      </w:r>
      <w:r>
        <w:t xml:space="preserve">,</w:t>
      </w:r>
      <w:r>
        <w:t xml:space="preserve"> </w:t>
      </w:r>
      <w:r>
        <w:rPr>
          <w:iCs/>
          <w:i/>
        </w:rPr>
        <w:t xml:space="preserve">figure</w:t>
      </w:r>
      <w:r>
        <w:t xml:space="preserve">,</w:t>
      </w:r>
      <w:r>
        <w:t xml:space="preserve"> </w:t>
      </w:r>
      <w:r>
        <w:rPr>
          <w:iCs/>
          <w:i/>
        </w:rPr>
        <w:t xml:space="preserve">goal</w:t>
      </w:r>
      <w:r>
        <w:t xml:space="preserve">,</w:t>
      </w:r>
      <w:r>
        <w:t xml:space="preserve"> </w:t>
      </w:r>
      <w:r>
        <w:rPr>
          <w:iCs/>
          <w:i/>
        </w:rPr>
        <w:t xml:space="preserve">goals</w:t>
      </w:r>
      <w:r>
        <w:t xml:space="preserve">,</w:t>
      </w:r>
      <w:r>
        <w:t xml:space="preserve"> </w:t>
      </w:r>
      <w:r>
        <w:rPr>
          <w:iCs/>
          <w:i/>
        </w:rPr>
        <w:t xml:space="preserve">paper</w:t>
      </w:r>
      <w:r>
        <w:t xml:space="preserve">,</w:t>
      </w:r>
      <w:r>
        <w:t xml:space="preserve"> </w:t>
      </w:r>
      <w:r>
        <w:rPr>
          <w:iCs/>
          <w:i/>
        </w:rPr>
        <w:t xml:space="preserve">research</w:t>
      </w:r>
      <w:r>
        <w:t xml:space="preserve">,</w:t>
      </w:r>
      <w:r>
        <w:t xml:space="preserve"> </w:t>
      </w:r>
      <w:r>
        <w:rPr>
          <w:iCs/>
          <w:i/>
        </w:rPr>
        <w:t xml:space="preserve">result</w:t>
      </w:r>
      <w:r>
        <w:t xml:space="preserve">,</w:t>
      </w:r>
      <w:r>
        <w:t xml:space="preserve"> </w:t>
      </w:r>
      <w:r>
        <w:rPr>
          <w:iCs/>
          <w:i/>
        </w:rPr>
        <w:t xml:space="preserve">results</w:t>
      </w:r>
      <w:r>
        <w:t xml:space="preserve">,</w:t>
      </w:r>
      <w:r>
        <w:t xml:space="preserve"> </w:t>
      </w:r>
      <w:r>
        <w:rPr>
          <w:iCs/>
          <w:i/>
        </w:rPr>
        <w:t xml:space="preserve">sdg</w:t>
      </w:r>
      <w:r>
        <w:t xml:space="preserve">,</w:t>
      </w:r>
      <w:r>
        <w:t xml:space="preserve"> </w:t>
      </w:r>
      <w:r>
        <w:rPr>
          <w:iCs/>
          <w:i/>
        </w:rPr>
        <w:t xml:space="preserve">sdgs</w:t>
      </w:r>
      <w:r>
        <w:t xml:space="preserve">,</w:t>
      </w:r>
      <w:r>
        <w:t xml:space="preserve"> </w:t>
      </w:r>
      <w:r>
        <w:rPr>
          <w:iCs/>
          <w:i/>
        </w:rPr>
        <w:t xml:space="preserve">study</w:t>
      </w:r>
      <w:r>
        <w:t xml:space="preserve">,</w:t>
      </w:r>
      <w:r>
        <w:t xml:space="preserve"> </w:t>
      </w:r>
      <w:r>
        <w:rPr>
          <w:iCs/>
          <w:i/>
        </w:rPr>
        <w:t xml:space="preserve">sustainable</w:t>
      </w:r>
      <w:r>
        <w:t xml:space="preserve">,</w:t>
      </w:r>
      <w:r>
        <w:t xml:space="preserve"> </w:t>
      </w:r>
      <w:r>
        <w:rPr>
          <w:iCs/>
          <w:i/>
        </w:rPr>
        <w:t xml:space="preserve">table</w:t>
      </w:r>
      <w:r>
        <w:t xml:space="preserve">,</w:t>
      </w:r>
      <w:r>
        <w:t xml:space="preserve"> </w:t>
      </w:r>
      <w:r>
        <w:rPr>
          <w:iCs/>
          <w:i/>
        </w:rPr>
        <w:t xml:space="preserve">text</w:t>
      </w:r>
      <w:r>
        <w:t xml:space="preserve">,</w:t>
      </w:r>
      <w:r>
        <w:t xml:space="preserve"> </w:t>
      </w:r>
      <w:r>
        <w:rPr>
          <w:iCs/>
          <w:i/>
        </w:rPr>
        <w:t xml:space="preserve">using</w:t>
      </w:r>
      <w:r>
        <w:t xml:space="preserve">). No further analysis is performed on these terms. The table is included for illustrative reference only.</w:t>
      </w:r>
    </w:p>
    <w:bookmarkStart w:id="96" w:name="Xb5f46f72c0b4de0e21636b87797eca5bfe52583"/>
    <w:p>
      <w:pPr>
        <w:pStyle w:val="TableCaption"/>
      </w:pPr>
      <w:r>
        <w:t xml:space="preserve">Distinctive TF-IDF terms for all 17 SDGs.</w:t>
      </w:r>
    </w:p>
    <w:tbl>
      <w:tblPr>
        <w:tblStyle w:val="Table"/>
        <w:tblW w:type="auto" w:w="0"/>
        <w:tblLook w:firstRow="1" w:lastRow="0" w:firstColumn="0" w:lastColumn="0" w:noHBand="0" w:noVBand="0" w:val="0020"/>
        <w:jc w:val="start"/>
        <w:tblCaption w:val="Distinctive TF-IDF terms for all 17 SDGs."/>
      </w:tblPr>
      <w:tblGrid>
        <w:gridCol w:w="1980"/>
        <w:gridCol w:w="1980"/>
        <w:gridCol w:w="1980"/>
        <w:gridCol w:w="1980"/>
      </w:tblGrid>
      <w:tr>
        <w:trPr>
          <w:tblHeader w:val="true"/>
        </w:trPr>
        <w:tc>
          <w:tcPr/>
          <w:p>
            <w:pPr>
              <w:pStyle w:val="Compact"/>
              <w:jc w:val="left"/>
            </w:pPr>
            <w:r>
              <w:t xml:space="preserve">SDG</w:t>
            </w:r>
          </w:p>
        </w:tc>
        <w:tc>
          <w:tcPr/>
          <w:p>
            <w:pPr>
              <w:pStyle w:val="Compact"/>
              <w:jc w:val="center"/>
            </w:pPr>
            <w:r>
              <w:t xml:space="preserve">Gap</w:t>
            </w:r>
          </w:p>
        </w:tc>
        <w:tc>
          <w:tcPr/>
          <w:p>
            <w:pPr>
              <w:pStyle w:val="Compact"/>
              <w:jc w:val="left"/>
            </w:pPr>
            <w:r>
              <w:t xml:space="preserve">Research-side distinctive terms</w:t>
            </w:r>
          </w:p>
        </w:tc>
        <w:tc>
          <w:tcPr/>
          <w:p>
            <w:pPr>
              <w:pStyle w:val="Compact"/>
              <w:jc w:val="left"/>
            </w:pPr>
            <w:r>
              <w:t xml:space="preserve">Policy-side distinctive terms</w:t>
            </w:r>
          </w:p>
        </w:tc>
      </w:tr>
      <w:tr>
        <w:tc>
          <w:tcPr/>
          <w:p>
            <w:pPr>
              <w:pStyle w:val="Compact"/>
              <w:jc w:val="left"/>
            </w:pPr>
            <w:r>
              <w:t xml:space="preserve">1</w:t>
            </w:r>
          </w:p>
        </w:tc>
        <w:tc>
          <w:tcPr/>
          <w:p>
            <w:pPr>
              <w:pStyle w:val="Compact"/>
              <w:jc w:val="center"/>
            </w:pPr>
            <w:r>
              <w:t xml:space="preserve">0.415</w:t>
            </w:r>
          </w:p>
        </w:tc>
        <w:tc>
          <w:tcPr/>
          <w:p>
            <w:pPr>
              <w:pStyle w:val="Compact"/>
              <w:jc w:val="left"/>
            </w:pPr>
            <w:r>
              <w:t xml:space="preserve">alleviation, china, approach, zakat, satellite, household, studies, indonesia, literature, relationship</w:t>
            </w:r>
          </w:p>
        </w:tc>
        <w:tc>
          <w:tcPr/>
          <w:p>
            <w:pPr>
              <w:pStyle w:val="Compact"/>
              <w:jc w:val="left"/>
            </w:pPr>
            <w:r>
              <w:t xml:space="preserve">social, cent, national, people, protection, services, population, vulnerable, living, million</w:t>
            </w:r>
          </w:p>
        </w:tc>
      </w:tr>
      <w:tr>
        <w:tc>
          <w:tcPr/>
          <w:p>
            <w:pPr>
              <w:pStyle w:val="Compact"/>
              <w:jc w:val="left"/>
            </w:pPr>
            <w:r>
              <w:t xml:space="preserve">2</w:t>
            </w:r>
          </w:p>
        </w:tc>
        <w:tc>
          <w:tcPr/>
          <w:p>
            <w:pPr>
              <w:pStyle w:val="Compact"/>
              <w:jc w:val="center"/>
            </w:pPr>
            <w:r>
              <w:t xml:space="preserve">0.299</w:t>
            </w:r>
          </w:p>
        </w:tc>
        <w:tc>
          <w:tcPr/>
          <w:p>
            <w:pPr>
              <w:pStyle w:val="Compact"/>
              <w:jc w:val="left"/>
            </w:pPr>
            <w:r>
              <w:t xml:space="preserve">crop, detection, plant, diseases, images, leaf, precision, techniques, soil, yield</w:t>
            </w:r>
          </w:p>
        </w:tc>
        <w:tc>
          <w:tcPr/>
          <w:p>
            <w:pPr>
              <w:pStyle w:val="Compact"/>
              <w:jc w:val="left"/>
            </w:pPr>
            <w:r>
              <w:t xml:space="preserve">population, food, children, prevalence, worst, access, hunger, million, births, ratio</w:t>
            </w:r>
          </w:p>
        </w:tc>
      </w:tr>
      <w:tr>
        <w:tc>
          <w:tcPr/>
          <w:p>
            <w:pPr>
              <w:pStyle w:val="Compact"/>
              <w:jc w:val="left"/>
            </w:pPr>
            <w:r>
              <w:t xml:space="preserve">3</w:t>
            </w:r>
          </w:p>
        </w:tc>
        <w:tc>
          <w:tcPr/>
          <w:p>
            <w:pPr>
              <w:pStyle w:val="Compact"/>
              <w:jc w:val="center"/>
            </w:pPr>
            <w:r>
              <w:t xml:space="preserve">0.494</w:t>
            </w:r>
          </w:p>
        </w:tc>
        <w:tc>
          <w:tcPr/>
          <w:p>
            <w:pPr>
              <w:pStyle w:val="Compact"/>
              <w:jc w:val="left"/>
            </w:pPr>
            <w:r>
              <w:t xml:space="preserve">patients, cancer, cells, images, clinical, detection, disease, potential, genes, predict</w:t>
            </w:r>
          </w:p>
        </w:tc>
        <w:tc>
          <w:tcPr/>
          <w:p>
            <w:pPr>
              <w:pStyle w:val="Compact"/>
              <w:jc w:val="left"/>
            </w:pPr>
            <w:r>
              <w:t xml:space="preserve">health, services, care, national, population, births, mortality, rate, people, access</w:t>
            </w:r>
          </w:p>
        </w:tc>
      </w:tr>
      <w:tr>
        <w:tc>
          <w:tcPr/>
          <w:p>
            <w:pPr>
              <w:pStyle w:val="Compact"/>
              <w:jc w:val="left"/>
            </w:pPr>
            <w:r>
              <w:t xml:space="preserve">4</w:t>
            </w:r>
          </w:p>
        </w:tc>
        <w:tc>
          <w:tcPr/>
          <w:p>
            <w:pPr>
              <w:pStyle w:val="Compact"/>
              <w:jc w:val="center"/>
            </w:pPr>
            <w:r>
              <w:t xml:space="preserve">0.267</w:t>
            </w:r>
          </w:p>
        </w:tc>
        <w:tc>
          <w:tcPr/>
          <w:p>
            <w:pPr>
              <w:pStyle w:val="Compact"/>
              <w:jc w:val="left"/>
            </w:pPr>
            <w:r>
              <w:t xml:space="preserve">cognitive, brain, neurons, sleep, agricultural, food, cells, motor, memory, poor</w:t>
            </w:r>
          </w:p>
        </w:tc>
        <w:tc>
          <w:tcPr/>
          <w:p>
            <w:pPr>
              <w:pStyle w:val="Compact"/>
              <w:jc w:val="left"/>
            </w:pPr>
            <w:r>
              <w:t xml:space="preserve">education, school, secondary, primary, national, quality, children, percent, access, vocational</w:t>
            </w:r>
          </w:p>
        </w:tc>
      </w:tr>
      <w:tr>
        <w:tc>
          <w:tcPr/>
          <w:p>
            <w:pPr>
              <w:pStyle w:val="Compact"/>
              <w:jc w:val="left"/>
            </w:pPr>
            <w:r>
              <w:t xml:space="preserve">5</w:t>
            </w:r>
          </w:p>
        </w:tc>
        <w:tc>
          <w:tcPr/>
          <w:p>
            <w:pPr>
              <w:pStyle w:val="Compact"/>
              <w:jc w:val="center"/>
            </w:pPr>
            <w:r>
              <w:t xml:space="preserve">0.278</w:t>
            </w:r>
          </w:p>
        </w:tc>
        <w:tc>
          <w:tcPr/>
          <w:p>
            <w:pPr>
              <w:pStyle w:val="Compact"/>
              <w:jc w:val="left"/>
            </w:pPr>
            <w:r>
              <w:t xml:space="preserve">menstrual, poor, pain, mothers, differences, relationship, patients, fertility, stress, sex</w:t>
            </w:r>
          </w:p>
        </w:tc>
        <w:tc>
          <w:tcPr/>
          <w:p>
            <w:pPr>
              <w:pStyle w:val="Compact"/>
              <w:jc w:val="left"/>
            </w:pPr>
            <w:r>
              <w:t xml:space="preserve">gender, violence, equality, national, rights, girls, men, cent, sexual, domestic</w:t>
            </w:r>
          </w:p>
        </w:tc>
      </w:tr>
      <w:tr>
        <w:tc>
          <w:tcPr/>
          <w:p>
            <w:pPr>
              <w:pStyle w:val="Compact"/>
              <w:jc w:val="left"/>
            </w:pPr>
            <w:r>
              <w:t xml:space="preserve">6</w:t>
            </w:r>
          </w:p>
        </w:tc>
        <w:tc>
          <w:tcPr/>
          <w:p>
            <w:pPr>
              <w:pStyle w:val="Compact"/>
              <w:jc w:val="center"/>
            </w:pPr>
            <w:r>
              <w:t xml:space="preserve">0.292</w:t>
            </w:r>
          </w:p>
        </w:tc>
        <w:tc>
          <w:tcPr/>
          <w:p>
            <w:pPr>
              <w:pStyle w:val="Compact"/>
              <w:jc w:val="left"/>
            </w:pPr>
            <w:r>
              <w:t xml:space="preserve">irrigation, soil, agricultural, crop, salinity, agriculture, sup, potential, sub, yield</w:t>
            </w:r>
          </w:p>
        </w:tc>
        <w:tc>
          <w:tcPr/>
          <w:p>
            <w:pPr>
              <w:pStyle w:val="Compact"/>
              <w:jc w:val="left"/>
            </w:pPr>
            <w:r>
              <w:t xml:space="preserve">sanitation, access, drinking, supply, national, wastewater, cent, services, population, clean</w:t>
            </w:r>
          </w:p>
        </w:tc>
      </w:tr>
      <w:tr>
        <w:tc>
          <w:tcPr/>
          <w:p>
            <w:pPr>
              <w:pStyle w:val="Compact"/>
              <w:jc w:val="left"/>
            </w:pPr>
            <w:r>
              <w:t xml:space="preserve">7</w:t>
            </w:r>
          </w:p>
        </w:tc>
        <w:tc>
          <w:tcPr/>
          <w:p>
            <w:pPr>
              <w:pStyle w:val="Compact"/>
              <w:jc w:val="center"/>
            </w:pPr>
            <w:r>
              <w:t xml:space="preserve">0.428</w:t>
            </w:r>
          </w:p>
        </w:tc>
        <w:tc>
          <w:tcPr/>
          <w:p>
            <w:pPr>
              <w:pStyle w:val="Compact"/>
              <w:jc w:val="left"/>
            </w:pPr>
            <w:r>
              <w:t xml:space="preserve">agricultural, poverty, agriculture, battery, optimization, approach, load, drying, poor, artificial</w:t>
            </w:r>
          </w:p>
        </w:tc>
        <w:tc>
          <w:tcPr/>
          <w:p>
            <w:pPr>
              <w:pStyle w:val="Compact"/>
              <w:jc w:val="left"/>
            </w:pPr>
            <w:r>
              <w:t xml:space="preserve">access, electricity, renewable, clean, worst best, population, affordable, index worst, cent, national</w:t>
            </w:r>
          </w:p>
        </w:tc>
      </w:tr>
      <w:tr>
        <w:tc>
          <w:tcPr/>
          <w:p>
            <w:pPr>
              <w:pStyle w:val="Compact"/>
              <w:jc w:val="left"/>
            </w:pPr>
            <w:r>
              <w:t xml:space="preserve">8</w:t>
            </w:r>
          </w:p>
        </w:tc>
        <w:tc>
          <w:tcPr/>
          <w:p>
            <w:pPr>
              <w:pStyle w:val="Compact"/>
              <w:jc w:val="center"/>
            </w:pPr>
            <w:r>
              <w:t xml:space="preserve">0.387</w:t>
            </w:r>
          </w:p>
        </w:tc>
        <w:tc>
          <w:tcPr/>
          <w:p>
            <w:pPr>
              <w:pStyle w:val="Compact"/>
              <w:jc w:val="left"/>
            </w:pPr>
            <w:r>
              <w:t xml:space="preserve">detection, image, food, recognition, leaf, plant, cnn, convolutional, disease, techniques</w:t>
            </w:r>
          </w:p>
        </w:tc>
        <w:tc>
          <w:tcPr/>
          <w:p>
            <w:pPr>
              <w:pStyle w:val="Compact"/>
              <w:jc w:val="left"/>
            </w:pPr>
            <w:r>
              <w:t xml:space="preserve">growth, employment, gdp, worst, labour, best, economic, cent, government, tourism</w:t>
            </w:r>
          </w:p>
        </w:tc>
      </w:tr>
      <w:tr>
        <w:tc>
          <w:tcPr/>
          <w:p>
            <w:pPr>
              <w:pStyle w:val="Compact"/>
              <w:jc w:val="left"/>
            </w:pPr>
            <w:r>
              <w:t xml:space="preserve">9</w:t>
            </w:r>
          </w:p>
        </w:tc>
        <w:tc>
          <w:tcPr/>
          <w:p>
            <w:pPr>
              <w:pStyle w:val="Compact"/>
              <w:jc w:val="center"/>
            </w:pPr>
            <w:r>
              <w:t xml:space="preserve">0.314</w:t>
            </w:r>
          </w:p>
        </w:tc>
        <w:tc>
          <w:tcPr/>
          <w:p>
            <w:pPr>
              <w:pStyle w:val="Compact"/>
              <w:jc w:val="left"/>
            </w:pPr>
            <w:r>
              <w:t xml:space="preserve">agricultural, agriculture, iot, detection, food, crop, plant, farming, farmers, soil</w:t>
            </w:r>
          </w:p>
        </w:tc>
        <w:tc>
          <w:tcPr/>
          <w:p>
            <w:pPr>
              <w:pStyle w:val="Compact"/>
              <w:jc w:val="left"/>
            </w:pPr>
            <w:r>
              <w:t xml:space="preserve">infrastructure, innovation, national, government, public, countries, strategy, access, population, intelligence</w:t>
            </w:r>
          </w:p>
        </w:tc>
      </w:tr>
      <w:tr>
        <w:tc>
          <w:tcPr/>
          <w:p>
            <w:pPr>
              <w:pStyle w:val="Compact"/>
              <w:jc w:val="left"/>
            </w:pPr>
            <w:r>
              <w:t xml:space="preserve">10</w:t>
            </w:r>
          </w:p>
        </w:tc>
        <w:tc>
          <w:tcPr/>
          <w:p>
            <w:pPr>
              <w:pStyle w:val="Compact"/>
              <w:jc w:val="center"/>
            </w:pPr>
            <w:r>
              <w:t xml:space="preserve">0.271</w:t>
            </w:r>
          </w:p>
        </w:tc>
        <w:tc>
          <w:tcPr/>
          <w:p>
            <w:pPr>
              <w:pStyle w:val="Compact"/>
              <w:jc w:val="left"/>
            </w:pPr>
            <w:r>
              <w:t xml:space="preserve">wealth, income inequality, effects, evidence, studies, que, distribution, literature, mobility, poor</w:t>
            </w:r>
          </w:p>
        </w:tc>
        <w:tc>
          <w:tcPr/>
          <w:p>
            <w:pPr>
              <w:pStyle w:val="Compact"/>
              <w:jc w:val="left"/>
            </w:pPr>
            <w:r>
              <w:t xml:space="preserve">people, rights, countries, migration, national, cent, disabilities, persons, discrimination, target</w:t>
            </w:r>
          </w:p>
        </w:tc>
      </w:tr>
      <w:tr>
        <w:tc>
          <w:tcPr/>
          <w:p>
            <w:pPr>
              <w:pStyle w:val="Compact"/>
              <w:jc w:val="left"/>
            </w:pPr>
            <w:r>
              <w:t xml:space="preserve">11</w:t>
            </w:r>
          </w:p>
        </w:tc>
        <w:tc>
          <w:tcPr/>
          <w:p>
            <w:pPr>
              <w:pStyle w:val="Compact"/>
              <w:jc w:val="center"/>
            </w:pPr>
            <w:r>
              <w:t xml:space="preserve">0.449</w:t>
            </w:r>
          </w:p>
        </w:tc>
        <w:tc>
          <w:tcPr/>
          <w:p>
            <w:pPr>
              <w:pStyle w:val="Compact"/>
              <w:jc w:val="left"/>
            </w:pPr>
            <w:r>
              <w:t xml:space="preserve">detection, image, accident, traffic, object, poor, recognition, spatial, fusion, agricultural</w:t>
            </w:r>
          </w:p>
        </w:tc>
        <w:tc>
          <w:tcPr/>
          <w:p>
            <w:pPr>
              <w:pStyle w:val="Compact"/>
              <w:jc w:val="left"/>
            </w:pPr>
            <w:r>
              <w:t xml:space="preserve">housing, city, urban, transport, cities, public, waste, national, plan, green</w:t>
            </w:r>
          </w:p>
        </w:tc>
      </w:tr>
      <w:tr>
        <w:tc>
          <w:tcPr/>
          <w:p>
            <w:pPr>
              <w:pStyle w:val="Compact"/>
              <w:jc w:val="left"/>
            </w:pPr>
            <w:r>
              <w:t xml:space="preserve">12</w:t>
            </w:r>
          </w:p>
        </w:tc>
        <w:tc>
          <w:tcPr/>
          <w:p>
            <w:pPr>
              <w:pStyle w:val="Compact"/>
              <w:jc w:val="center"/>
            </w:pPr>
            <w:r>
              <w:t xml:space="preserve">0.296</w:t>
            </w:r>
          </w:p>
        </w:tc>
        <w:tc>
          <w:tcPr/>
          <w:p>
            <w:pPr>
              <w:pStyle w:val="Compact"/>
              <w:jc w:val="left"/>
            </w:pPr>
            <w:r>
              <w:t xml:space="preserve">food, agricultural, detection, quality, potential, behavior, samples, organic, design, compounds</w:t>
            </w:r>
          </w:p>
        </w:tc>
        <w:tc>
          <w:tcPr/>
          <w:p>
            <w:pPr>
              <w:pStyle w:val="Compact"/>
              <w:jc w:val="left"/>
            </w:pPr>
            <w:r>
              <w:t xml:space="preserve">waste, consumption, national, recycling, production, procurement, management, public, economy, circular</w:t>
            </w:r>
          </w:p>
        </w:tc>
      </w:tr>
      <w:tr>
        <w:tc>
          <w:tcPr/>
          <w:p>
            <w:pPr>
              <w:pStyle w:val="Compact"/>
              <w:jc w:val="left"/>
            </w:pPr>
            <w:r>
              <w:t xml:space="preserve">13</w:t>
            </w:r>
          </w:p>
        </w:tc>
        <w:tc>
          <w:tcPr/>
          <w:p>
            <w:pPr>
              <w:pStyle w:val="Compact"/>
              <w:jc w:val="center"/>
            </w:pPr>
            <w:r>
              <w:t xml:space="preserve">0.480</w:t>
            </w:r>
          </w:p>
        </w:tc>
        <w:tc>
          <w:tcPr/>
          <w:p>
            <w:pPr>
              <w:pStyle w:val="Compact"/>
              <w:jc w:val="left"/>
            </w:pPr>
            <w:r>
              <w:t xml:space="preserve">soil, agricultural, crop, moisture, drought, sub, rice, stress, agriculture, yield</w:t>
            </w:r>
          </w:p>
        </w:tc>
        <w:tc>
          <w:tcPr/>
          <w:p>
            <w:pPr>
              <w:pStyle w:val="Compact"/>
              <w:jc w:val="left"/>
            </w:pPr>
            <w:r>
              <w:t xml:space="preserve">climate, change, emissions, countries, national, action, global, energy, nations, united</w:t>
            </w:r>
          </w:p>
        </w:tc>
      </w:tr>
      <w:tr>
        <w:tc>
          <w:tcPr/>
          <w:p>
            <w:pPr>
              <w:pStyle w:val="Compact"/>
              <w:jc w:val="left"/>
            </w:pPr>
            <w:r>
              <w:t xml:space="preserve">14</w:t>
            </w:r>
          </w:p>
        </w:tc>
        <w:tc>
          <w:tcPr/>
          <w:p>
            <w:pPr>
              <w:pStyle w:val="Compact"/>
              <w:jc w:val="center"/>
            </w:pPr>
            <w:r>
              <w:t xml:space="preserve">0.358</w:t>
            </w:r>
          </w:p>
        </w:tc>
        <w:tc>
          <w:tcPr/>
          <w:p>
            <w:pPr>
              <w:pStyle w:val="Compact"/>
              <w:jc w:val="left"/>
            </w:pPr>
            <w:r>
              <w:t xml:space="preserve">detection, images, aquaculture, food, bacterial, shrimp, cells, imaging, farming, techniques</w:t>
            </w:r>
          </w:p>
        </w:tc>
        <w:tc>
          <w:tcPr/>
          <w:p>
            <w:pPr>
              <w:pStyle w:val="Compact"/>
              <w:jc w:val="left"/>
            </w:pPr>
            <w:r>
              <w:t xml:space="preserve">marine, fish caught, biodiversity, rate, ocean, worst, population, sea, embodied, coastal</w:t>
            </w:r>
          </w:p>
        </w:tc>
      </w:tr>
      <w:tr>
        <w:tc>
          <w:tcPr/>
          <w:p>
            <w:pPr>
              <w:pStyle w:val="Compact"/>
              <w:jc w:val="left"/>
            </w:pPr>
            <w:r>
              <w:t xml:space="preserve">15</w:t>
            </w:r>
          </w:p>
        </w:tc>
        <w:tc>
          <w:tcPr/>
          <w:p>
            <w:pPr>
              <w:pStyle w:val="Compact"/>
              <w:jc w:val="center"/>
            </w:pPr>
            <w:r>
              <w:t xml:space="preserve">0.239</w:t>
            </w:r>
          </w:p>
        </w:tc>
        <w:tc>
          <w:tcPr/>
          <w:p>
            <w:pPr>
              <w:pStyle w:val="Compact"/>
              <w:jc w:val="left"/>
            </w:pPr>
            <w:r>
              <w:t xml:space="preserve">soil, crop, agricultural, plant, spectral, images, sensing, detection, remote, field</w:t>
            </w:r>
          </w:p>
        </w:tc>
        <w:tc>
          <w:tcPr/>
          <w:p>
            <w:pPr>
              <w:pStyle w:val="Compact"/>
              <w:jc w:val="left"/>
            </w:pPr>
            <w:r>
              <w:t xml:space="preserve">biodiversity, forest, worst, national, protected, population, area, freshwater, species, best</w:t>
            </w:r>
          </w:p>
        </w:tc>
      </w:tr>
      <w:tr>
        <w:tc>
          <w:tcPr/>
          <w:p>
            <w:pPr>
              <w:pStyle w:val="Compact"/>
              <w:jc w:val="left"/>
            </w:pPr>
            <w:r>
              <w:t xml:space="preserve">16</w:t>
            </w:r>
          </w:p>
        </w:tc>
        <w:tc>
          <w:tcPr/>
          <w:p>
            <w:pPr>
              <w:pStyle w:val="Compact"/>
              <w:jc w:val="center"/>
            </w:pPr>
            <w:r>
              <w:t xml:space="preserve">0.329</w:t>
            </w:r>
          </w:p>
        </w:tc>
        <w:tc>
          <w:tcPr/>
          <w:p>
            <w:pPr>
              <w:pStyle w:val="Compact"/>
              <w:jc w:val="left"/>
            </w:pPr>
            <w:r>
              <w:t xml:space="preserve">poor, food, covid-, pain, image, detection, social, studies, patients, brain</w:t>
            </w:r>
          </w:p>
        </w:tc>
        <w:tc>
          <w:tcPr/>
          <w:p>
            <w:pPr>
              <w:pStyle w:val="Compact"/>
              <w:jc w:val="left"/>
            </w:pPr>
            <w:r>
              <w:t xml:space="preserve">international, nations, peace, rights, united, security, human, law, world, global</w:t>
            </w:r>
          </w:p>
        </w:tc>
      </w:tr>
      <w:tr>
        <w:tc>
          <w:tcPr/>
          <w:p>
            <w:pPr>
              <w:pStyle w:val="Compact"/>
              <w:jc w:val="left"/>
            </w:pPr>
            <w:r>
              <w:t xml:space="preserve">17</w:t>
            </w:r>
          </w:p>
        </w:tc>
        <w:tc>
          <w:tcPr/>
          <w:p>
            <w:pPr>
              <w:pStyle w:val="Compact"/>
              <w:jc w:val="center"/>
            </w:pPr>
            <w:r>
              <w:t xml:space="preserve">0.177</w:t>
            </w:r>
          </w:p>
        </w:tc>
        <w:tc>
          <w:tcPr/>
          <w:p>
            <w:pPr>
              <w:pStyle w:val="Compact"/>
              <w:jc w:val="left"/>
            </w:pPr>
            <w:r>
              <w:t xml:space="preserve">sentiment, tweets, covid-, twitter, social, agricultural, dan, yang, zakat, media</w:t>
            </w:r>
          </w:p>
        </w:tc>
        <w:tc>
          <w:tcPr/>
          <w:p>
            <w:pPr>
              <w:pStyle w:val="Compact"/>
              <w:jc w:val="left"/>
            </w:pPr>
            <w:r>
              <w:t xml:space="preserve">countries, oecd, international, nations, united, agenda, report, financing, global, challenges</w:t>
            </w:r>
          </w:p>
        </w:tc>
      </w:tr>
    </w:tbl>
    <w:bookmarkEnd w:id="96"/>
    <w:p>
      <w:pPr>
        <w:pStyle w:val="BodyText"/>
      </w:pPr>
      <w:r>
        <w:rPr>
          <w:iCs/>
          <w:i/>
        </w:rPr>
        <w:t xml:space="preserve">Notes:</w:t>
      </w:r>
      <w:r>
        <w:t xml:space="preserve"> </w:t>
      </w:r>
      <w:r>
        <w:t xml:space="preserve">Terms are TF-IDF-weighted unigrams and bigrams from deterministic samples of research and policy texts assigned to each SDG.</w:t>
      </w:r>
    </w:p>
    <w:bookmarkEnd w:id="97"/>
    <w:bookmarkStart w:id="101" w:name="app:distributional-table"/>
    <w:p>
      <w:pPr>
        <w:pStyle w:val="Heading1"/>
      </w:pPr>
      <w:r>
        <w:t xml:space="preserve">Distance-Functional Robustness Table</w:t>
      </w:r>
    </w:p>
    <w:p>
      <w:pPr>
        <w:pStyle w:val="FirstParagraph"/>
      </w:pPr>
      <w:r>
        <w:t xml:space="preserve">Table </w:t>
      </w:r>
      <w:hyperlink w:anchor="tab:distributional-gap">
        <w:r>
          <w:rPr>
            <w:rStyle w:val="Hyperlink"/>
          </w:rPr>
          <w:t xml:space="preserve">10</w:t>
        </w:r>
      </w:hyperlink>
      <w:r>
        <w:t xml:space="preserve"> </w:t>
      </w:r>
      <w:r>
        <w:t xml:space="preserve">reports the per-SDG research–policy gap under the full battery of distribution-aware metrics, together with the primary semantic gap. Part 1 covers the full-corpus exact metrics (sliced Wasserstein, Chamfer, Hausdorff, Gaussian-2-Wasserstein, Grassmann, linear MMD); part 2 covers the sampled metrics (exact EMD, Sinkhorn, energy, squared RBF MMD, C2ST AUC) plus the sampled semantic gap. The final row of each part reports Spearman</w:t>
      </w:r>
      <w:r>
        <w:t xml:space="preserve"> </w:t>
      </w:r>
      <m:oMath>
        <m:r>
          <m:t>ρ</m:t>
        </m:r>
      </m:oMath>
      <w:r>
        <w:t xml:space="preserve"> </w:t>
      </w:r>
      <w:r>
        <w:t xml:space="preserve">between each metric’s ranking and the primary (adjusted) ranking.</w:t>
      </w:r>
    </w:p>
    <w:p>
      <w:pPr>
        <w:pStyle w:val="BodyText"/>
      </w:pPr>
      <w:r>
        <w:rPr>
          <w:bCs/>
          <w:b/>
        </w:rPr>
        <w:t xml:space="preserve">Why the raw robustness result does not carry over:</w:t>
      </w:r>
      <w:r>
        <w:t xml:space="preserve"> </w:t>
      </w:r>
      <w:r>
        <w:t xml:space="preserve">Under raw embeddings the distribution-aware metrics appeared to preserve the semantic gap ranking (</w:t>
      </w:r>
      <m:oMath>
        <m:r>
          <m:t>ρ</m:t>
        </m:r>
        <m:r>
          <m:rPr>
            <m:sty m:val="p"/>
          </m:rPr>
          <m:t>=</m:t>
        </m:r>
        <m:r>
          <m:t>0.44</m:t>
        </m:r>
      </m:oMath>
      <w:r>
        <w:t xml:space="preserve">–</w:t>
      </w:r>
      <m:oMath>
        <m:r>
          <m:t>0.91</m:t>
        </m:r>
      </m:oMath>
      <w:r>
        <w:t xml:space="preserve">), an agreement driven by the shared</w:t>
      </w:r>
      <w:r>
        <w:t xml:space="preserve"> </w:t>
      </w:r>
      <w:r>
        <w:rPr>
          <w:iCs/>
          <w:i/>
        </w:rPr>
        <w:t xml:space="preserve">register</w:t>
      </w:r>
      <w:r>
        <w:t xml:space="preserve"> </w:t>
      </w:r>
      <w:r>
        <w:t xml:space="preserve">component rather than by topic. Decomposing the raw gap into adjusted semantic gap</w:t>
      </w:r>
      <w:r>
        <w:t xml:space="preserve"> </w:t>
      </w:r>
      <m:oMath>
        <m:r>
          <m:rPr>
            <m:sty m:val="p"/>
          </m:rPr>
          <m:t>+</m:t>
        </m:r>
      </m:oMath>
      <w:r>
        <w:t xml:space="preserve"> </w:t>
      </w:r>
      <w:r>
        <w:t xml:space="preserve">register component, the register component has</w:t>
      </w:r>
      <w:r>
        <w:t xml:space="preserve"> </w:t>
      </w:r>
      <w:r>
        <w:rPr>
          <w:iCs/>
          <w:i/>
        </w:rPr>
        <w:t xml:space="preserve">larger</w:t>
      </w:r>
      <w:r>
        <w:t xml:space="preserve"> </w:t>
      </w:r>
      <w:r>
        <w:t xml:space="preserve">variance than the raw gap itself (variance ratio</w:t>
      </w:r>
      <w:r>
        <w:t xml:space="preserve"> </w:t>
      </w:r>
      <m:oMath>
        <m:r>
          <m:t>1.210</m:t>
        </m:r>
      </m:oMath>
      <w:r>
        <w:t xml:space="preserve">) and correlates</w:t>
      </w:r>
      <w:r>
        <w:t xml:space="preserve"> </w:t>
      </w:r>
      <m:oMath>
        <m:r>
          <m:t>ρ</m:t>
        </m:r>
        <m:r>
          <m:rPr>
            <m:sty m:val="p"/>
          </m:rPr>
          <m:t>=</m:t>
        </m:r>
        <m:r>
          <m:t>0.748</m:t>
        </m:r>
      </m:oMath>
      <w:r>
        <w:t xml:space="preserve"> </w:t>
      </w:r>
      <w:r>
        <w:t xml:space="preserve">with the raw gap while correlating</w:t>
      </w:r>
      <w:r>
        <w:t xml:space="preserve"> </w:t>
      </w:r>
      <m:oMath>
        <m:r>
          <m:t>ρ</m:t>
        </m:r>
        <m:r>
          <m:rPr>
            <m:sty m:val="p"/>
          </m:rPr>
          <m:t>=</m:t>
        </m:r>
        <m:r>
          <m:rPr>
            <m:sty m:val="p"/>
          </m:rPr>
          <m:t>−</m:t>
        </m:r>
        <m:r>
          <m:t>0.235</m:t>
        </m:r>
      </m:oMath>
      <w:r>
        <w:t xml:space="preserve"> </w:t>
      </w:r>
      <w:r>
        <w:t xml:space="preserve">with the adjusted semantic gap. The distribution-aware metrics therefore tracked register, agreeing with the raw semantic gap but diverging from the adjusted one. After INLP removes register, the metrics instead track topic-space</w:t>
      </w:r>
      <w:r>
        <w:t xml:space="preserve"> </w:t>
      </w:r>
      <w:r>
        <w:rPr>
          <w:iCs/>
          <w:i/>
        </w:rPr>
        <w:t xml:space="preserve">shape</w:t>
      </w:r>
      <w:r>
        <w:t xml:space="preserve">: most correlate moderately with the adjusted semantic gap (</w:t>
      </w:r>
      <m:oMath>
        <m:r>
          <m:t>ρ</m:t>
        </m:r>
        <m:r>
          <m:rPr>
            <m:sty m:val="p"/>
          </m:rPr>
          <m:t>=</m:t>
        </m:r>
        <m:r>
          <m:t>0.44</m:t>
        </m:r>
      </m:oMath>
      <w:r>
        <w:t xml:space="preserve">–</w:t>
      </w:r>
      <m:oMath>
        <m:r>
          <m:t>0.69</m:t>
        </m:r>
      </m:oMath>
      <w:r>
        <w:t xml:space="preserve">; sliced Wasserstein</w:t>
      </w:r>
      <w:r>
        <w:t xml:space="preserve"> </w:t>
      </w:r>
      <m:oMath>
        <m:r>
          <m:t>ρ</m:t>
        </m:r>
        <m:r>
          <m:rPr>
            <m:sty m:val="p"/>
          </m:rPr>
          <m:t>=</m:t>
        </m:r>
        <m:r>
          <m:t>0.525</m:t>
        </m:r>
      </m:oMath>
      <w:r>
        <w:t xml:space="preserve">, exact EMD</w:t>
      </w:r>
      <w:r>
        <w:t xml:space="preserve"> </w:t>
      </w:r>
      <m:oMath>
        <m:r>
          <m:t>ρ</m:t>
        </m:r>
        <m:r>
          <m:rPr>
            <m:sty m:val="p"/>
          </m:rPr>
          <m:t>=</m:t>
        </m:r>
        <m:r>
          <m:t>0.694</m:t>
        </m:r>
      </m:oMath>
      <w:r>
        <w:t xml:space="preserve">), Gaussian-2-Wasserstein and squared MMD are weaker (</w:t>
      </w:r>
      <m:oMath>
        <m:r>
          <m:t>ρ</m:t>
        </m:r>
        <m:r>
          <m:rPr>
            <m:sty m:val="p"/>
          </m:rPr>
          <m:t>≈</m:t>
        </m:r>
        <m:r>
          <m:t>0.24</m:t>
        </m:r>
      </m:oMath>
      <w:r>
        <w:t xml:space="preserve">–</w:t>
      </w:r>
      <m:oMath>
        <m:r>
          <m:t>0.26</m:t>
        </m:r>
      </m:oMath>
      <w:r>
        <w:t xml:space="preserve">), and Sinkhorn, C2ST, and Grassmann show near-zero or negative agreement (</w:t>
      </w:r>
      <m:oMath>
        <m:r>
          <m:t>ρ</m:t>
        </m:r>
        <m:r>
          <m:rPr>
            <m:sty m:val="p"/>
          </m:rPr>
          <m:t>=</m:t>
        </m:r>
        <m:r>
          <m:t>0.047</m:t>
        </m:r>
        <m:r>
          <m:t>​</m:t>
        </m:r>
      </m:oMath>
      <w:r>
        <w:t xml:space="preserve">,</w:t>
      </w:r>
      <w:r>
        <w:t xml:space="preserve"> </w:t>
      </w:r>
      <m:oMath>
        <m:r>
          <m:rPr>
            <m:sty m:val="p"/>
          </m:rPr>
          <m:t>−</m:t>
        </m:r>
        <m:r>
          <m:t>0.164</m:t>
        </m:r>
        <m:r>
          <m:t>​</m:t>
        </m:r>
      </m:oMath>
      <w:r>
        <w:t xml:space="preserve">,</w:t>
      </w:r>
      <w:r>
        <w:t xml:space="preserve"> </w:t>
      </w:r>
      <m:oMath>
        <m:r>
          <m:rPr>
            <m:sty m:val="p"/>
          </m:rPr>
          <m:t>−</m:t>
        </m:r>
        <m:r>
          <m:t>0.243</m:t>
        </m:r>
        <m:r>
          <m:t>​</m:t>
        </m:r>
      </m:oMath>
      <w:r>
        <w:t xml:space="preserve">), and they elevate SDGs 12 and 1 at the margin. The adjusted semantic gap is a mean-direction estimate, and the distribution-aware distances are a complementary full-distribution view. The covariance-shape term of the Gaussian-2-Wasserstein distance accounts for</w:t>
      </w:r>
      <w:r>
        <w:t xml:space="preserve"> </w:t>
      </w:r>
      <m:oMath>
        <m:r>
          <m:rPr>
            <m:sty m:val="p"/>
          </m:rPr>
          <m:t>≈</m:t>
        </m:r>
        <m:r>
          <m:t>79</m:t>
        </m:r>
        <m:r>
          <m:rPr>
            <m:sty m:val="p"/>
          </m:rPr>
          <m:t>%</m:t>
        </m:r>
      </m:oMath>
      <w:r>
        <w:t xml:space="preserve"> </w:t>
      </w:r>
      <w:r>
        <w:t xml:space="preserve">of the squared distance on average, and a replicate run under the adjacent seed changes the largest per-SDG gap by at most</w:t>
      </w:r>
      <w:r>
        <w:t xml:space="preserve"> </w:t>
      </w:r>
      <m:oMath>
        <m:r>
          <m:t>0.008</m:t>
        </m:r>
      </m:oMath>
      <w:r>
        <w:t xml:space="preserve">.</w:t>
      </w:r>
    </w:p>
    <w:bookmarkStart w:id="98" w:name="tab:distributional-gap"/>
    <w:p>
      <w:pPr>
        <w:pStyle w:val="TableCaption"/>
      </w:pPr>
      <w:r>
        <w:t xml:space="preserve">Per-SDG research–policy gap under distribution-aware metrics versus the canonical centroid gap (Part 1 of 2: full-corpus exact metrics). SWD = sliced Wasserstein; MMD</w:t>
      </w:r>
      <m:oMath>
        <m:sSup>
          <m:e>
            <m:r>
              <m:t>​</m:t>
            </m:r>
          </m:e>
          <m:sup>
            <m:r>
              <m:t>2</m:t>
            </m:r>
          </m:sup>
        </m:sSup>
      </m:oMath>
      <w:r>
        <w:t xml:space="preserve"> </w:t>
      </w:r>
      <w:r>
        <w:t xml:space="preserve">= squared RBF maximum mean discrepancy; Gauss. </w:t>
      </w:r>
      <m:oMath>
        <m:sSub>
          <m:e>
            <m:r>
              <m:t>W</m:t>
            </m:r>
          </m:e>
          <m:sub>
            <m:r>
              <m:t>2</m:t>
            </m:r>
          </m:sub>
        </m:sSub>
      </m:oMath>
      <w:r>
        <w:t xml:space="preserve"> </w:t>
      </w:r>
      <w:r>
        <w:t xml:space="preserve">= Gaussian 2-Wasserstein; C2ST = classifier two-sample test AUC. The final row reports Spearman</w:t>
      </w:r>
      <w:r>
        <w:t xml:space="preserve"> </w:t>
      </w:r>
      <m:oMath>
        <m:r>
          <m:t>ρ</m:t>
        </m:r>
      </m:oMath>
      <w:r>
        <w:t xml:space="preserve"> </w:t>
      </w:r>
      <w:r>
        <w:t xml:space="preserve">between each metric’s ranking and the canonical ranking across the 17 SDGs.</w:t>
      </w:r>
    </w:p>
    <w:tbl>
      <w:tblPr>
        <w:tblStyle w:val="Table"/>
        <w:tblW w:type="auto" w:w="0"/>
        <w:tblLook w:firstRow="1" w:lastRow="0" w:firstColumn="0" w:lastColumn="0" w:noHBand="0" w:noVBand="0" w:val="0020"/>
        <w:jc w:val="start"/>
        <w:tblCaption w:val="Per-SDG research–policy gap under distribution-aware metrics versus the canonical centroid gap (Part 1 of 2: full-corpus exact metrics). SWD = sliced Wasserstein; MMD^2 = squared RBF maximum mean discrepancy; Gauss. W_2 = Gaussian 2-Wasserstein; C2ST = classifier two-sample test AUC. The final row reports Spearman \rho between each metric’s ranking and the canonical ranking across the 17 SDGs."/>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SWD</w:t>
            </w:r>
          </w:p>
        </w:tc>
        <w:tc>
          <w:tcPr/>
          <w:p>
            <w:pPr>
              <w:pStyle w:val="Compact"/>
              <w:jc w:val="center"/>
            </w:pPr>
            <w:r>
              <w:t xml:space="preserve">Chamfer</w:t>
            </w:r>
          </w:p>
        </w:tc>
        <w:tc>
          <w:tcPr/>
          <w:p>
            <w:pPr>
              <w:pStyle w:val="Compact"/>
              <w:jc w:val="center"/>
            </w:pPr>
            <w:r>
              <w:t xml:space="preserve">Hausdorff</w:t>
            </w:r>
          </w:p>
        </w:tc>
        <w:tc>
          <w:tcPr/>
          <w:p>
            <w:pPr>
              <w:pStyle w:val="Compact"/>
              <w:jc w:val="center"/>
            </w:pPr>
            <w:r>
              <w:t xml:space="preserve">Gauss. </w:t>
            </w:r>
            <m:oMath>
              <m:sSub>
                <m:e>
                  <m:r>
                    <m:t>W</m:t>
                  </m:r>
                </m:e>
                <m:sub>
                  <m:r>
                    <m:t>2</m:t>
                  </m:r>
                </m:sub>
              </m:sSub>
            </m:oMath>
          </w:p>
        </w:tc>
        <w:tc>
          <w:tcPr/>
          <w:p>
            <w:pPr>
              <w:pStyle w:val="Compact"/>
              <w:jc w:val="center"/>
            </w:pPr>
            <w:r>
              <w:t xml:space="preserve">Grassmann</w:t>
            </w:r>
          </w:p>
        </w:tc>
        <w:tc>
          <w:tcPr/>
          <w:p>
            <w:pPr>
              <w:pStyle w:val="Compact"/>
              <w:jc w:val="center"/>
            </w:pPr>
            <w:r>
              <w:t xml:space="preserve">linear MMD</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0.009</w:t>
            </w:r>
          </w:p>
        </w:tc>
        <w:tc>
          <w:tcPr/>
          <w:p>
            <w:pPr>
              <w:pStyle w:val="Compact"/>
              <w:jc w:val="center"/>
            </w:pPr>
            <w:r>
              <w:t xml:space="preserve">0.509</w:t>
            </w:r>
          </w:p>
        </w:tc>
        <w:tc>
          <w:tcPr/>
          <w:p>
            <w:pPr>
              <w:pStyle w:val="Compact"/>
              <w:jc w:val="center"/>
            </w:pPr>
            <w:r>
              <w:t xml:space="preserve">0.600</w:t>
            </w:r>
          </w:p>
        </w:tc>
        <w:tc>
          <w:tcPr/>
          <w:p>
            <w:pPr>
              <w:pStyle w:val="Compact"/>
              <w:jc w:val="center"/>
            </w:pPr>
            <w:r>
              <w:t xml:space="preserve">0.684</w:t>
            </w:r>
          </w:p>
        </w:tc>
        <w:tc>
          <w:tcPr/>
          <w:p>
            <w:pPr>
              <w:pStyle w:val="Compact"/>
              <w:jc w:val="center"/>
            </w:pPr>
            <w:r>
              <w:t xml:space="preserve">3.727</w:t>
            </w:r>
          </w:p>
        </w:tc>
        <w:tc>
          <w:tcPr/>
          <w:p>
            <w:pPr>
              <w:pStyle w:val="Compact"/>
              <w:jc w:val="center"/>
            </w:pPr>
            <w:r>
              <w:t xml:space="preserve">0.067</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0.008</w:t>
            </w:r>
          </w:p>
        </w:tc>
        <w:tc>
          <w:tcPr/>
          <w:p>
            <w:pPr>
              <w:pStyle w:val="Compact"/>
              <w:jc w:val="center"/>
            </w:pPr>
            <w:r>
              <w:t xml:space="preserve">0.388</w:t>
            </w:r>
          </w:p>
        </w:tc>
        <w:tc>
          <w:tcPr/>
          <w:p>
            <w:pPr>
              <w:pStyle w:val="Compact"/>
              <w:jc w:val="center"/>
            </w:pPr>
            <w:r>
              <w:t xml:space="preserve">0.454</w:t>
            </w:r>
          </w:p>
        </w:tc>
        <w:tc>
          <w:tcPr/>
          <w:p>
            <w:pPr>
              <w:pStyle w:val="Compact"/>
              <w:jc w:val="center"/>
            </w:pPr>
            <w:r>
              <w:t xml:space="preserve">0.618</w:t>
            </w:r>
          </w:p>
        </w:tc>
        <w:tc>
          <w:tcPr/>
          <w:p>
            <w:pPr>
              <w:pStyle w:val="Compact"/>
              <w:jc w:val="center"/>
            </w:pPr>
            <w:r>
              <w:t xml:space="preserve">3.629</w:t>
            </w:r>
          </w:p>
        </w:tc>
        <w:tc>
          <w:tcPr/>
          <w:p>
            <w:pPr>
              <w:pStyle w:val="Compact"/>
              <w:jc w:val="center"/>
            </w:pPr>
            <w:r>
              <w:t xml:space="preserve">0.057</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0.011</w:t>
            </w:r>
          </w:p>
        </w:tc>
        <w:tc>
          <w:tcPr/>
          <w:p>
            <w:pPr>
              <w:pStyle w:val="Compact"/>
              <w:jc w:val="center"/>
            </w:pPr>
            <w:r>
              <w:t xml:space="preserve">0.454</w:t>
            </w:r>
          </w:p>
        </w:tc>
        <w:tc>
          <w:tcPr/>
          <w:p>
            <w:pPr>
              <w:pStyle w:val="Compact"/>
              <w:jc w:val="center"/>
            </w:pPr>
            <w:r>
              <w:t xml:space="preserve">0.581</w:t>
            </w:r>
          </w:p>
        </w:tc>
        <w:tc>
          <w:tcPr/>
          <w:p>
            <w:pPr>
              <w:pStyle w:val="Compact"/>
              <w:jc w:val="center"/>
            </w:pPr>
            <w:r>
              <w:t xml:space="preserve">0.717</w:t>
            </w:r>
          </w:p>
        </w:tc>
        <w:tc>
          <w:tcPr/>
          <w:p>
            <w:pPr>
              <w:pStyle w:val="Compact"/>
              <w:jc w:val="center"/>
            </w:pPr>
            <w:r>
              <w:t xml:space="preserve">3.717</w:t>
            </w:r>
          </w:p>
        </w:tc>
        <w:tc>
          <w:tcPr/>
          <w:p>
            <w:pPr>
              <w:pStyle w:val="Compact"/>
              <w:jc w:val="center"/>
            </w:pPr>
            <w:r>
              <w:t xml:space="preserve">0.129</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0.010</w:t>
            </w:r>
          </w:p>
        </w:tc>
        <w:tc>
          <w:tcPr/>
          <w:p>
            <w:pPr>
              <w:pStyle w:val="Compact"/>
              <w:jc w:val="center"/>
            </w:pPr>
            <w:r>
              <w:t xml:space="preserve">0.399</w:t>
            </w:r>
          </w:p>
        </w:tc>
        <w:tc>
          <w:tcPr/>
          <w:p>
            <w:pPr>
              <w:pStyle w:val="Compact"/>
              <w:jc w:val="center"/>
            </w:pPr>
            <w:r>
              <w:t xml:space="preserve">0.487</w:t>
            </w:r>
          </w:p>
        </w:tc>
        <w:tc>
          <w:tcPr/>
          <w:p>
            <w:pPr>
              <w:pStyle w:val="Compact"/>
              <w:jc w:val="center"/>
            </w:pPr>
            <w:r>
              <w:t xml:space="preserve">0.607</w:t>
            </w:r>
          </w:p>
        </w:tc>
        <w:tc>
          <w:tcPr/>
          <w:p>
            <w:pPr>
              <w:pStyle w:val="Compact"/>
              <w:jc w:val="center"/>
            </w:pPr>
            <w:r>
              <w:t xml:space="preserve">3.307</w:t>
            </w:r>
          </w:p>
        </w:tc>
        <w:tc>
          <w:tcPr/>
          <w:p>
            <w:pPr>
              <w:pStyle w:val="Compact"/>
              <w:jc w:val="center"/>
            </w:pPr>
            <w:r>
              <w:t xml:space="preserve">0.096</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0.010</w:t>
            </w:r>
          </w:p>
        </w:tc>
        <w:tc>
          <w:tcPr/>
          <w:p>
            <w:pPr>
              <w:pStyle w:val="Compact"/>
              <w:jc w:val="center"/>
            </w:pPr>
            <w:r>
              <w:t xml:space="preserve">0.429</w:t>
            </w:r>
          </w:p>
        </w:tc>
        <w:tc>
          <w:tcPr/>
          <w:p>
            <w:pPr>
              <w:pStyle w:val="Compact"/>
              <w:jc w:val="center"/>
            </w:pPr>
            <w:r>
              <w:t xml:space="preserve">0.529</w:t>
            </w:r>
          </w:p>
        </w:tc>
        <w:tc>
          <w:tcPr/>
          <w:p>
            <w:pPr>
              <w:pStyle w:val="Compact"/>
              <w:jc w:val="center"/>
            </w:pPr>
            <w:r>
              <w:t xml:space="preserve">0.646</w:t>
            </w:r>
          </w:p>
        </w:tc>
        <w:tc>
          <w:tcPr/>
          <w:p>
            <w:pPr>
              <w:pStyle w:val="Compact"/>
              <w:jc w:val="center"/>
            </w:pPr>
            <w:r>
              <w:t xml:space="preserve">3.514</w:t>
            </w:r>
          </w:p>
        </w:tc>
        <w:tc>
          <w:tcPr/>
          <w:p>
            <w:pPr>
              <w:pStyle w:val="Compact"/>
              <w:jc w:val="center"/>
            </w:pPr>
            <w:r>
              <w:t xml:space="preserve">0.095</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0.009</w:t>
            </w:r>
          </w:p>
        </w:tc>
        <w:tc>
          <w:tcPr/>
          <w:p>
            <w:pPr>
              <w:pStyle w:val="Compact"/>
              <w:jc w:val="center"/>
            </w:pPr>
            <w:r>
              <w:t xml:space="preserve">0.417</w:t>
            </w:r>
          </w:p>
        </w:tc>
        <w:tc>
          <w:tcPr/>
          <w:p>
            <w:pPr>
              <w:pStyle w:val="Compact"/>
              <w:jc w:val="center"/>
            </w:pPr>
            <w:r>
              <w:t xml:space="preserve">0.475</w:t>
            </w:r>
          </w:p>
        </w:tc>
        <w:tc>
          <w:tcPr/>
          <w:p>
            <w:pPr>
              <w:pStyle w:val="Compact"/>
              <w:jc w:val="center"/>
            </w:pPr>
            <w:r>
              <w:t xml:space="preserve">0.639</w:t>
            </w:r>
          </w:p>
        </w:tc>
        <w:tc>
          <w:tcPr/>
          <w:p>
            <w:pPr>
              <w:pStyle w:val="Compact"/>
              <w:jc w:val="center"/>
            </w:pPr>
            <w:r>
              <w:t xml:space="preserve">3.598</w:t>
            </w:r>
          </w:p>
        </w:tc>
        <w:tc>
          <w:tcPr/>
          <w:p>
            <w:pPr>
              <w:pStyle w:val="Compact"/>
              <w:jc w:val="center"/>
            </w:pPr>
            <w:r>
              <w:t xml:space="preserve">0.080</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0.010</w:t>
            </w:r>
          </w:p>
        </w:tc>
        <w:tc>
          <w:tcPr/>
          <w:p>
            <w:pPr>
              <w:pStyle w:val="Compact"/>
              <w:jc w:val="center"/>
            </w:pPr>
            <w:r>
              <w:t xml:space="preserve">0.427</w:t>
            </w:r>
          </w:p>
        </w:tc>
        <w:tc>
          <w:tcPr/>
          <w:p>
            <w:pPr>
              <w:pStyle w:val="Compact"/>
              <w:jc w:val="center"/>
            </w:pPr>
            <w:r>
              <w:t xml:space="preserve">0.522</w:t>
            </w:r>
          </w:p>
        </w:tc>
        <w:tc>
          <w:tcPr/>
          <w:p>
            <w:pPr>
              <w:pStyle w:val="Compact"/>
              <w:jc w:val="center"/>
            </w:pPr>
            <w:r>
              <w:t xml:space="preserve">0.687</w:t>
            </w:r>
          </w:p>
        </w:tc>
        <w:tc>
          <w:tcPr/>
          <w:p>
            <w:pPr>
              <w:pStyle w:val="Compact"/>
              <w:jc w:val="center"/>
            </w:pPr>
            <w:r>
              <w:t xml:space="preserve">3.729</w:t>
            </w:r>
          </w:p>
        </w:tc>
        <w:tc>
          <w:tcPr/>
          <w:p>
            <w:pPr>
              <w:pStyle w:val="Compact"/>
              <w:jc w:val="center"/>
            </w:pPr>
            <w:r>
              <w:t xml:space="preserve">0.105</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0.008</w:t>
            </w:r>
          </w:p>
        </w:tc>
        <w:tc>
          <w:tcPr/>
          <w:p>
            <w:pPr>
              <w:pStyle w:val="Compact"/>
              <w:jc w:val="center"/>
            </w:pPr>
            <w:r>
              <w:t xml:space="preserve">0.474</w:t>
            </w:r>
          </w:p>
        </w:tc>
        <w:tc>
          <w:tcPr/>
          <w:p>
            <w:pPr>
              <w:pStyle w:val="Compact"/>
              <w:jc w:val="center"/>
            </w:pPr>
            <w:r>
              <w:t xml:space="preserve">0.564</w:t>
            </w:r>
          </w:p>
        </w:tc>
        <w:tc>
          <w:tcPr/>
          <w:p>
            <w:pPr>
              <w:pStyle w:val="Compact"/>
              <w:jc w:val="center"/>
            </w:pPr>
            <w:r>
              <w:t xml:space="preserve">0.658</w:t>
            </w:r>
          </w:p>
        </w:tc>
        <w:tc>
          <w:tcPr/>
          <w:p>
            <w:pPr>
              <w:pStyle w:val="Compact"/>
              <w:jc w:val="center"/>
            </w:pPr>
            <w:r>
              <w:t xml:space="preserve">3.566</w:t>
            </w:r>
          </w:p>
        </w:tc>
        <w:tc>
          <w:tcPr/>
          <w:p>
            <w:pPr>
              <w:pStyle w:val="Compact"/>
              <w:jc w:val="center"/>
            </w:pPr>
            <w:r>
              <w:t xml:space="preserve">0.065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0.010</w:t>
            </w:r>
          </w:p>
        </w:tc>
        <w:tc>
          <w:tcPr/>
          <w:p>
            <w:pPr>
              <w:pStyle w:val="Compact"/>
              <w:jc w:val="center"/>
            </w:pPr>
            <w:r>
              <w:t xml:space="preserve">0.430</w:t>
            </w:r>
          </w:p>
        </w:tc>
        <w:tc>
          <w:tcPr/>
          <w:p>
            <w:pPr>
              <w:pStyle w:val="Compact"/>
              <w:jc w:val="center"/>
            </w:pPr>
            <w:r>
              <w:t xml:space="preserve">0.556</w:t>
            </w:r>
          </w:p>
        </w:tc>
        <w:tc>
          <w:tcPr/>
          <w:p>
            <w:pPr>
              <w:pStyle w:val="Compact"/>
              <w:jc w:val="center"/>
            </w:pPr>
            <w:r>
              <w:t xml:space="preserve">0.671</w:t>
            </w:r>
          </w:p>
        </w:tc>
        <w:tc>
          <w:tcPr/>
          <w:p>
            <w:pPr>
              <w:pStyle w:val="Compact"/>
              <w:jc w:val="center"/>
            </w:pPr>
            <w:r>
              <w:t xml:space="preserve">3.444</w:t>
            </w:r>
          </w:p>
        </w:tc>
        <w:tc>
          <w:tcPr/>
          <w:p>
            <w:pPr>
              <w:pStyle w:val="Compact"/>
              <w:jc w:val="center"/>
            </w:pPr>
            <w:r>
              <w:t xml:space="preserve">0.104</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0.008</w:t>
            </w:r>
          </w:p>
        </w:tc>
        <w:tc>
          <w:tcPr/>
          <w:p>
            <w:pPr>
              <w:pStyle w:val="Compact"/>
              <w:jc w:val="center"/>
            </w:pPr>
            <w:r>
              <w:t xml:space="preserve">0.456</w:t>
            </w:r>
          </w:p>
        </w:tc>
        <w:tc>
          <w:tcPr/>
          <w:p>
            <w:pPr>
              <w:pStyle w:val="Compact"/>
              <w:jc w:val="center"/>
            </w:pPr>
            <w:r>
              <w:t xml:space="preserve">0.517</w:t>
            </w:r>
          </w:p>
        </w:tc>
        <w:tc>
          <w:tcPr/>
          <w:p>
            <w:pPr>
              <w:pStyle w:val="Compact"/>
              <w:jc w:val="center"/>
            </w:pPr>
            <w:r>
              <w:t xml:space="preserve">0.617</w:t>
            </w:r>
          </w:p>
        </w:tc>
        <w:tc>
          <w:tcPr/>
          <w:p>
            <w:pPr>
              <w:pStyle w:val="Compact"/>
              <w:jc w:val="center"/>
            </w:pPr>
            <w:r>
              <w:t xml:space="preserve">3.343</w:t>
            </w:r>
          </w:p>
        </w:tc>
        <w:tc>
          <w:tcPr/>
          <w:p>
            <w:pPr>
              <w:pStyle w:val="Compact"/>
              <w:jc w:val="center"/>
            </w:pPr>
            <w:r>
              <w:t xml:space="preserve">0.062</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0.009</w:t>
            </w:r>
          </w:p>
        </w:tc>
        <w:tc>
          <w:tcPr/>
          <w:p>
            <w:pPr>
              <w:pStyle w:val="Compact"/>
              <w:jc w:val="center"/>
            </w:pPr>
            <w:r>
              <w:t xml:space="preserve">0.446</w:t>
            </w:r>
          </w:p>
        </w:tc>
        <w:tc>
          <w:tcPr/>
          <w:p>
            <w:pPr>
              <w:pStyle w:val="Compact"/>
              <w:jc w:val="center"/>
            </w:pPr>
            <w:r>
              <w:t xml:space="preserve">0.542</w:t>
            </w:r>
          </w:p>
        </w:tc>
        <w:tc>
          <w:tcPr/>
          <w:p>
            <w:pPr>
              <w:pStyle w:val="Compact"/>
              <w:jc w:val="center"/>
            </w:pPr>
            <w:r>
              <w:t xml:space="preserve">0.677</w:t>
            </w:r>
          </w:p>
        </w:tc>
        <w:tc>
          <w:tcPr/>
          <w:p>
            <w:pPr>
              <w:pStyle w:val="Compact"/>
              <w:jc w:val="center"/>
            </w:pPr>
            <w:r>
              <w:t xml:space="preserve">3.484</w:t>
            </w:r>
          </w:p>
        </w:tc>
        <w:tc>
          <w:tcPr/>
          <w:p>
            <w:pPr>
              <w:pStyle w:val="Compact"/>
              <w:jc w:val="center"/>
            </w:pPr>
            <w:r>
              <w:t xml:space="preserve">0.091</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0.009</w:t>
            </w:r>
          </w:p>
        </w:tc>
        <w:tc>
          <w:tcPr/>
          <w:p>
            <w:pPr>
              <w:pStyle w:val="Compact"/>
              <w:jc w:val="center"/>
            </w:pPr>
            <w:r>
              <w:t xml:space="preserve">0.467</w:t>
            </w:r>
          </w:p>
        </w:tc>
        <w:tc>
          <w:tcPr/>
          <w:p>
            <w:pPr>
              <w:pStyle w:val="Compact"/>
              <w:jc w:val="center"/>
            </w:pPr>
            <w:r>
              <w:t xml:space="preserve">0.566</w:t>
            </w:r>
          </w:p>
        </w:tc>
        <w:tc>
          <w:tcPr/>
          <w:p>
            <w:pPr>
              <w:pStyle w:val="Compact"/>
              <w:jc w:val="center"/>
            </w:pPr>
            <w:r>
              <w:t xml:space="preserve">0.677</w:t>
            </w:r>
          </w:p>
        </w:tc>
        <w:tc>
          <w:tcPr/>
          <w:p>
            <w:pPr>
              <w:pStyle w:val="Compact"/>
              <w:jc w:val="center"/>
            </w:pPr>
            <w:r>
              <w:t xml:space="preserve">3.462</w:t>
            </w:r>
          </w:p>
        </w:tc>
        <w:tc>
          <w:tcPr/>
          <w:p>
            <w:pPr>
              <w:pStyle w:val="Compact"/>
              <w:jc w:val="center"/>
            </w:pPr>
            <w:r>
              <w:t xml:space="preserve">0.094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0.498</w:t>
            </w:r>
          </w:p>
        </w:tc>
        <w:tc>
          <w:tcPr/>
          <w:p>
            <w:pPr>
              <w:pStyle w:val="Compact"/>
              <w:jc w:val="center"/>
            </w:pPr>
            <w:r>
              <w:t xml:space="preserve">0.667</w:t>
            </w:r>
          </w:p>
        </w:tc>
        <w:tc>
          <w:tcPr/>
          <w:p>
            <w:pPr>
              <w:pStyle w:val="Compact"/>
              <w:jc w:val="center"/>
            </w:pPr>
            <w:r>
              <w:t xml:space="preserve">3.667</w:t>
            </w:r>
          </w:p>
        </w:tc>
        <w:tc>
          <w:tcPr/>
          <w:p>
            <w:pPr>
              <w:pStyle w:val="Compact"/>
              <w:jc w:val="center"/>
            </w:pPr>
            <w:r>
              <w:t xml:space="preserve">0.117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0.010</w:t>
            </w:r>
          </w:p>
        </w:tc>
        <w:tc>
          <w:tcPr/>
          <w:p>
            <w:pPr>
              <w:pStyle w:val="Compact"/>
              <w:jc w:val="center"/>
            </w:pPr>
            <w:r>
              <w:t xml:space="preserve">0.415</w:t>
            </w:r>
          </w:p>
        </w:tc>
        <w:tc>
          <w:tcPr/>
          <w:p>
            <w:pPr>
              <w:pStyle w:val="Compact"/>
              <w:jc w:val="center"/>
            </w:pPr>
            <w:r>
              <w:t xml:space="preserve">0.510</w:t>
            </w:r>
          </w:p>
        </w:tc>
        <w:tc>
          <w:tcPr/>
          <w:p>
            <w:pPr>
              <w:pStyle w:val="Compact"/>
              <w:jc w:val="center"/>
            </w:pPr>
            <w:r>
              <w:t xml:space="preserve">0.675</w:t>
            </w:r>
          </w:p>
        </w:tc>
        <w:tc>
          <w:tcPr/>
          <w:p>
            <w:pPr>
              <w:pStyle w:val="Compact"/>
              <w:jc w:val="center"/>
            </w:pPr>
            <w:r>
              <w:t xml:space="preserve">3.753</w:t>
            </w:r>
          </w:p>
        </w:tc>
        <w:tc>
          <w:tcPr/>
          <w:p>
            <w:pPr>
              <w:pStyle w:val="Compact"/>
              <w:jc w:val="center"/>
            </w:pPr>
            <w:r>
              <w:t xml:space="preserve">0.098</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0.008</w:t>
            </w:r>
          </w:p>
        </w:tc>
        <w:tc>
          <w:tcPr/>
          <w:p>
            <w:pPr>
              <w:pStyle w:val="Compact"/>
              <w:jc w:val="center"/>
            </w:pPr>
            <w:r>
              <w:t xml:space="preserve">0.394</w:t>
            </w:r>
          </w:p>
        </w:tc>
        <w:tc>
          <w:tcPr/>
          <w:p>
            <w:pPr>
              <w:pStyle w:val="Compact"/>
              <w:jc w:val="center"/>
            </w:pPr>
            <w:r>
              <w:t xml:space="preserve">0.464</w:t>
            </w:r>
          </w:p>
        </w:tc>
        <w:tc>
          <w:tcPr/>
          <w:p>
            <w:pPr>
              <w:pStyle w:val="Compact"/>
              <w:jc w:val="center"/>
            </w:pPr>
            <w:r>
              <w:t xml:space="preserve">0.578</w:t>
            </w:r>
          </w:p>
        </w:tc>
        <w:tc>
          <w:tcPr/>
          <w:p>
            <w:pPr>
              <w:pStyle w:val="Compact"/>
              <w:jc w:val="center"/>
            </w:pPr>
            <w:r>
              <w:t xml:space="preserve">3.421</w:t>
            </w:r>
          </w:p>
        </w:tc>
        <w:tc>
          <w:tcPr/>
          <w:p>
            <w:pPr>
              <w:pStyle w:val="Compact"/>
              <w:jc w:val="center"/>
            </w:pPr>
            <w:r>
              <w:t xml:space="preserve">0.056</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0.010</w:t>
            </w:r>
          </w:p>
        </w:tc>
        <w:tc>
          <w:tcPr/>
          <w:p>
            <w:pPr>
              <w:pStyle w:val="Compact"/>
              <w:jc w:val="center"/>
            </w:pPr>
            <w:r>
              <w:t xml:space="preserve">0.417</w:t>
            </w:r>
          </w:p>
        </w:tc>
        <w:tc>
          <w:tcPr/>
          <w:p>
            <w:pPr>
              <w:pStyle w:val="Compact"/>
              <w:jc w:val="center"/>
            </w:pPr>
            <w:r>
              <w:t xml:space="preserve">0.520</w:t>
            </w:r>
          </w:p>
        </w:tc>
        <w:tc>
          <w:tcPr/>
          <w:p>
            <w:pPr>
              <w:pStyle w:val="Compact"/>
              <w:jc w:val="center"/>
            </w:pPr>
            <w:r>
              <w:t xml:space="preserve">0.640</w:t>
            </w:r>
          </w:p>
        </w:tc>
        <w:tc>
          <w:tcPr/>
          <w:p>
            <w:pPr>
              <w:pStyle w:val="Compact"/>
              <w:jc w:val="center"/>
            </w:pPr>
            <w:r>
              <w:t xml:space="preserve">3.333</w:t>
            </w:r>
          </w:p>
        </w:tc>
        <w:tc>
          <w:tcPr/>
          <w:p>
            <w:pPr>
              <w:pStyle w:val="Compact"/>
              <w:jc w:val="center"/>
            </w:pPr>
            <w:r>
              <w:t xml:space="preserve">0.103</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0.009</w:t>
            </w:r>
          </w:p>
        </w:tc>
        <w:tc>
          <w:tcPr/>
          <w:p>
            <w:pPr>
              <w:pStyle w:val="Compact"/>
              <w:jc w:val="center"/>
            </w:pPr>
            <w:r>
              <w:t xml:space="preserve">0.461</w:t>
            </w:r>
          </w:p>
        </w:tc>
        <w:tc>
          <w:tcPr/>
          <w:p>
            <w:pPr>
              <w:pStyle w:val="Compact"/>
              <w:jc w:val="center"/>
            </w:pPr>
            <w:r>
              <w:t xml:space="preserve">0.490</w:t>
            </w:r>
          </w:p>
        </w:tc>
        <w:tc>
          <w:tcPr/>
          <w:p>
            <w:pPr>
              <w:pStyle w:val="Compact"/>
              <w:jc w:val="center"/>
            </w:pPr>
            <w:r>
              <w:t xml:space="preserve">0.595</w:t>
            </w:r>
          </w:p>
        </w:tc>
        <w:tc>
          <w:tcPr/>
          <w:p>
            <w:pPr>
              <w:pStyle w:val="Compact"/>
              <w:jc w:val="center"/>
            </w:pPr>
            <w:r>
              <w:t xml:space="preserve">2.993</w:t>
            </w:r>
          </w:p>
        </w:tc>
        <w:tc>
          <w:tcPr/>
          <w:p>
            <w:pPr>
              <w:pStyle w:val="Compact"/>
              <w:jc w:val="center"/>
            </w:pPr>
            <w:r>
              <w:t xml:space="preserve">0.104</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0.525</w:t>
            </w:r>
          </w:p>
        </w:tc>
        <w:tc>
          <w:tcPr/>
          <w:p>
            <w:pPr>
              <w:pStyle w:val="Compact"/>
              <w:jc w:val="center"/>
            </w:pPr>
            <w:r>
              <w:t xml:space="preserve">0.485</w:t>
            </w:r>
          </w:p>
        </w:tc>
        <w:tc>
          <w:tcPr/>
          <w:p>
            <w:pPr>
              <w:pStyle w:val="Compact"/>
              <w:jc w:val="center"/>
            </w:pPr>
            <w:r>
              <w:t xml:space="preserve">0.444</w:t>
            </w:r>
          </w:p>
        </w:tc>
        <w:tc>
          <w:tcPr/>
          <w:p>
            <w:pPr>
              <w:pStyle w:val="Compact"/>
              <w:jc w:val="center"/>
            </w:pPr>
            <w:r>
              <w:t xml:space="preserve">0.243</w:t>
            </w:r>
          </w:p>
        </w:tc>
        <w:tc>
          <w:tcPr/>
          <w:p>
            <w:pPr>
              <w:pStyle w:val="Compact"/>
              <w:jc w:val="center"/>
            </w:pPr>
            <w:r>
              <w:t xml:space="preserve">-0.243</w:t>
            </w:r>
          </w:p>
        </w:tc>
        <w:tc>
          <w:tcPr/>
          <w:p>
            <w:pPr>
              <w:pStyle w:val="Compact"/>
              <w:jc w:val="center"/>
            </w:pPr>
            <w:r>
              <w:t xml:space="preserve">0.620</w:t>
            </w:r>
          </w:p>
        </w:tc>
      </w:tr>
    </w:tbl>
    <w:bookmarkEnd w:id="98"/>
    <w:bookmarkStart w:id="99" w:name="tab:distributional-gap-cont"/>
    <w:p>
      <w:pPr>
        <w:pStyle w:val="TableCaption"/>
      </w:pPr>
      <w:r>
        <w:t xml:space="preserve">Per-SDG research–policy gap under distribution-aware metrics versus the canonical centroid gap (Part 2 of 2: sampled metrics; continuation of Table </w:t>
      </w:r>
      <w:hyperlink w:anchor="tab:distributional-gap">
        <w:r>
          <w:rPr>
            <w:rStyle w:val="Hyperlink"/>
          </w:rPr>
          <w:t xml:space="preserve">10</w:t>
        </w:r>
      </w:hyperlink>
      <w:r>
        <w:t xml:space="preserve">). EMD = exact 1-Wasserstein; MMD</w:t>
      </w:r>
      <m:oMath>
        <m:sSup>
          <m:e>
            <m:r>
              <m:t>​</m:t>
            </m:r>
          </m:e>
          <m:sup>
            <m:r>
              <m:t>2</m:t>
            </m:r>
          </m:sup>
        </m:sSup>
      </m:oMath>
      <w:r>
        <w:t xml:space="preserve"> </w:t>
      </w:r>
      <w:r>
        <w:t xml:space="preserve">= squared RBF-MMD; Centroid (samp.) = sampled centroid-gap control column.</w:t>
      </w:r>
    </w:p>
    <w:tbl>
      <w:tblPr>
        <w:tblStyle w:val="Table"/>
        <w:tblW w:type="auto" w:w="0"/>
        <w:tblLook w:firstRow="1" w:lastRow="0" w:firstColumn="0" w:lastColumn="0" w:noHBand="0" w:noVBand="0" w:val="0020"/>
        <w:jc w:val="start"/>
        <w:tblCaption w:val="Per-SDG research–policy gap under distribution-aware metrics versus the canonical centroid gap (Part 2 of 2: sampled metrics; continuation of Table 10). EMD = exact 1-Wasserstein; MMD^2 = squared RBF-MMD; Centroid (samp.) = sampled centroid-gap control column."/>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p>
            <w:pPr>
              <w:pStyle w:val="Compact"/>
              <w:jc w:val="center"/>
            </w:pPr>
            <w:r>
              <w:t xml:space="preserve">Canonical</w:t>
            </w:r>
          </w:p>
        </w:tc>
        <w:tc>
          <w:tcPr/>
          <w:p>
            <w:pPr>
              <w:pStyle w:val="Compact"/>
              <w:jc w:val="center"/>
            </w:pPr>
            <w:r>
              <w:t xml:space="preserve">EMD</w:t>
            </w:r>
          </w:p>
        </w:tc>
        <w:tc>
          <w:tcPr/>
          <w:p>
            <w:pPr>
              <w:pStyle w:val="Compact"/>
              <w:jc w:val="center"/>
            </w:pPr>
            <w:r>
              <w:t xml:space="preserve">Sinkhorn</w:t>
            </w:r>
          </w:p>
        </w:tc>
        <w:tc>
          <w:tcPr/>
          <w:p>
            <w:pPr>
              <w:pStyle w:val="Compact"/>
              <w:jc w:val="center"/>
            </w:pPr>
            <w:r>
              <w:t xml:space="preserve">Energy</w:t>
            </w:r>
          </w:p>
        </w:tc>
        <w:tc>
          <w:tcPr/>
          <w:p>
            <w:pPr>
              <w:pStyle w:val="Compact"/>
              <w:jc w:val="center"/>
            </w:pPr>
            <w:r>
              <w:t xml:space="preserve">MMD</w:t>
            </w:r>
            <m:oMath>
              <m:sSup>
                <m:e>
                  <m:r>
                    <m:t>​</m:t>
                  </m:r>
                </m:e>
                <m:sup>
                  <m:r>
                    <m:t>2</m:t>
                  </m:r>
                </m:sup>
              </m:sSup>
            </m:oMath>
          </w:p>
        </w:tc>
        <w:tc>
          <w:tcPr/>
          <w:p>
            <w:pPr>
              <w:pStyle w:val="Compact"/>
              <w:jc w:val="center"/>
            </w:pPr>
            <w:r>
              <w:t xml:space="preserve">C2ST AUC</w:t>
            </w:r>
          </w:p>
        </w:tc>
        <w:tc>
          <w:tcPr/>
          <w:p>
            <w:pPr>
              <w:pStyle w:val="Compact"/>
              <w:jc w:val="center"/>
            </w:pPr>
            <w:r>
              <w:t xml:space="preserve">Centroid (samp.)</w:t>
            </w:r>
          </w:p>
        </w:tc>
      </w:tr>
      <w:tr>
        <w:tc>
          <w:tcPr/>
          <w:p>
            <w:pPr>
              <w:pStyle w:val="Compact"/>
              <w:jc w:val="left"/>
            </w:pPr>
            <w:r>
              <w:t xml:space="preserve">1</w:t>
            </w:r>
          </w:p>
        </w:tc>
        <w:tc>
          <w:tcPr/>
          <w:p>
            <w:pPr>
              <w:pStyle w:val="Compact"/>
              <w:jc w:val="center"/>
            </w:pPr>
            <w:r>
              <w:t xml:space="preserve">0.191</w:t>
            </w:r>
          </w:p>
        </w:tc>
        <w:tc>
          <w:tcPr/>
          <w:p>
            <w:pPr>
              <w:pStyle w:val="Compact"/>
              <w:jc w:val="center"/>
            </w:pPr>
            <w:r>
              <w:t xml:space="preserve">0.645</w:t>
            </w:r>
          </w:p>
        </w:tc>
        <w:tc>
          <w:tcPr/>
          <w:p>
            <w:pPr>
              <w:pStyle w:val="Compact"/>
              <w:jc w:val="center"/>
            </w:pPr>
            <w:r>
              <w:t xml:space="preserve">0.623</w:t>
            </w:r>
          </w:p>
        </w:tc>
        <w:tc>
          <w:tcPr/>
          <w:p>
            <w:pPr>
              <w:pStyle w:val="Compact"/>
              <w:jc w:val="center"/>
            </w:pPr>
            <w:r>
              <w:t xml:space="preserve">0.056</w:t>
            </w:r>
          </w:p>
        </w:tc>
        <w:tc>
          <w:tcPr/>
          <w:p>
            <w:pPr>
              <w:pStyle w:val="Compact"/>
              <w:jc w:val="center"/>
            </w:pPr>
            <w:r>
              <w:t xml:space="preserve">0.025</w:t>
            </w:r>
          </w:p>
        </w:tc>
        <w:tc>
          <w:tcPr/>
          <w:p>
            <w:pPr>
              <w:pStyle w:val="Compact"/>
              <w:jc w:val="center"/>
            </w:pPr>
            <w:r>
              <w:t xml:space="preserve">0.969</w:t>
            </w:r>
          </w:p>
        </w:tc>
        <w:tc>
          <w:tcPr/>
          <w:p>
            <w:pPr>
              <w:pStyle w:val="Compact"/>
              <w:jc w:val="center"/>
            </w:pPr>
            <w:r>
              <w:t xml:space="preserve">0.186</w:t>
            </w:r>
          </w:p>
        </w:tc>
      </w:tr>
      <w:tr>
        <w:tc>
          <w:tcPr/>
          <w:p>
            <w:pPr>
              <w:pStyle w:val="Compact"/>
              <w:jc w:val="left"/>
            </w:pPr>
            <w:r>
              <w:t xml:space="preserve">2</w:t>
            </w:r>
          </w:p>
        </w:tc>
        <w:tc>
          <w:tcPr/>
          <w:p>
            <w:pPr>
              <w:pStyle w:val="Compact"/>
              <w:jc w:val="center"/>
            </w:pPr>
            <w:r>
              <w:t xml:space="preserve">0.089</w:t>
            </w:r>
          </w:p>
        </w:tc>
        <w:tc>
          <w:tcPr/>
          <w:p>
            <w:pPr>
              <w:pStyle w:val="Compact"/>
              <w:jc w:val="center"/>
            </w:pPr>
            <w:r>
              <w:t xml:space="preserve">0.533</w:t>
            </w:r>
          </w:p>
        </w:tc>
        <w:tc>
          <w:tcPr/>
          <w:p>
            <w:pPr>
              <w:pStyle w:val="Compact"/>
              <w:jc w:val="center"/>
            </w:pPr>
            <w:r>
              <w:t xml:space="preserve">0.516</w:t>
            </w:r>
          </w:p>
        </w:tc>
        <w:tc>
          <w:tcPr/>
          <w:p>
            <w:pPr>
              <w:pStyle w:val="Compact"/>
              <w:jc w:val="center"/>
            </w:pPr>
            <w:r>
              <w:t xml:space="preserve">0.054</w:t>
            </w:r>
          </w:p>
        </w:tc>
        <w:tc>
          <w:tcPr/>
          <w:p>
            <w:pPr>
              <w:pStyle w:val="Compact"/>
              <w:jc w:val="center"/>
            </w:pPr>
            <w:r>
              <w:t xml:space="preserve">0.026</w:t>
            </w:r>
          </w:p>
        </w:tc>
        <w:tc>
          <w:tcPr/>
          <w:p>
            <w:pPr>
              <w:pStyle w:val="Compact"/>
              <w:jc w:val="center"/>
            </w:pPr>
            <w:r>
              <w:t xml:space="preserve">0.979</w:t>
            </w:r>
          </w:p>
        </w:tc>
        <w:tc>
          <w:tcPr/>
          <w:p>
            <w:pPr>
              <w:pStyle w:val="Compact"/>
              <w:jc w:val="center"/>
            </w:pPr>
            <w:r>
              <w:t xml:space="preserve">0.088</w:t>
            </w:r>
          </w:p>
        </w:tc>
      </w:tr>
      <w:tr>
        <w:tc>
          <w:tcPr/>
          <w:p>
            <w:pPr>
              <w:pStyle w:val="Compact"/>
              <w:jc w:val="left"/>
            </w:pPr>
            <w:r>
              <w:t xml:space="preserve">3</w:t>
            </w:r>
          </w:p>
        </w:tc>
        <w:tc>
          <w:tcPr/>
          <w:p>
            <w:pPr>
              <w:pStyle w:val="Compact"/>
              <w:jc w:val="center"/>
            </w:pPr>
            <w:r>
              <w:t xml:space="preserve">0.319</w:t>
            </w:r>
          </w:p>
        </w:tc>
        <w:tc>
          <w:tcPr/>
          <w:p>
            <w:pPr>
              <w:pStyle w:val="Compact"/>
              <w:jc w:val="center"/>
            </w:pPr>
            <w:r>
              <w:t xml:space="preserve">0.665</w:t>
            </w:r>
          </w:p>
        </w:tc>
        <w:tc>
          <w:tcPr/>
          <w:p>
            <w:pPr>
              <w:pStyle w:val="Compact"/>
              <w:jc w:val="center"/>
            </w:pPr>
            <w:r>
              <w:t xml:space="preserve">0.597</w:t>
            </w:r>
          </w:p>
        </w:tc>
        <w:tc>
          <w:tcPr/>
          <w:p>
            <w:pPr>
              <w:pStyle w:val="Compact"/>
              <w:jc w:val="center"/>
            </w:pPr>
            <w:r>
              <w:t xml:space="preserve">0.105</w:t>
            </w:r>
          </w:p>
        </w:tc>
        <w:tc>
          <w:tcPr/>
          <w:p>
            <w:pPr>
              <w:pStyle w:val="Compact"/>
              <w:jc w:val="center"/>
            </w:pPr>
            <w:r>
              <w:t xml:space="preserve">0.046</w:t>
            </w:r>
          </w:p>
        </w:tc>
        <w:tc>
          <w:tcPr/>
          <w:p>
            <w:pPr>
              <w:pStyle w:val="Compact"/>
              <w:jc w:val="center"/>
            </w:pPr>
            <w:r>
              <w:t xml:space="preserve">0.985</w:t>
            </w:r>
          </w:p>
        </w:tc>
        <w:tc>
          <w:tcPr/>
          <w:p>
            <w:pPr>
              <w:pStyle w:val="Compact"/>
              <w:jc w:val="center"/>
            </w:pPr>
            <w:r>
              <w:t xml:space="preserve">0.315</w:t>
            </w:r>
          </w:p>
        </w:tc>
      </w:tr>
      <w:tr>
        <w:tc>
          <w:tcPr/>
          <w:p>
            <w:pPr>
              <w:pStyle w:val="Compact"/>
              <w:jc w:val="left"/>
            </w:pPr>
            <w:r>
              <w:t xml:space="preserve">4</w:t>
            </w:r>
          </w:p>
        </w:tc>
        <w:tc>
          <w:tcPr/>
          <w:p>
            <w:pPr>
              <w:pStyle w:val="Compact"/>
              <w:jc w:val="center"/>
            </w:pPr>
            <w:r>
              <w:t xml:space="preserve">0.158</w:t>
            </w:r>
          </w:p>
        </w:tc>
        <w:tc>
          <w:tcPr/>
          <w:p>
            <w:pPr>
              <w:pStyle w:val="Compact"/>
              <w:jc w:val="center"/>
            </w:pPr>
            <w:r>
              <w:t xml:space="preserve">0.554</w:t>
            </w:r>
          </w:p>
        </w:tc>
        <w:tc>
          <w:tcPr/>
          <w:p>
            <w:pPr>
              <w:pStyle w:val="Compact"/>
              <w:jc w:val="center"/>
            </w:pPr>
            <w:r>
              <w:t xml:space="preserve">0.523</w:t>
            </w:r>
          </w:p>
        </w:tc>
        <w:tc>
          <w:tcPr/>
          <w:p>
            <w:pPr>
              <w:pStyle w:val="Compact"/>
              <w:jc w:val="center"/>
            </w:pPr>
            <w:r>
              <w:t xml:space="preserve">0.084</w:t>
            </w:r>
          </w:p>
        </w:tc>
        <w:tc>
          <w:tcPr/>
          <w:p>
            <w:pPr>
              <w:pStyle w:val="Compact"/>
              <w:jc w:val="center"/>
            </w:pPr>
            <w:r>
              <w:t xml:space="preserve">0.040</w:t>
            </w:r>
          </w:p>
        </w:tc>
        <w:tc>
          <w:tcPr/>
          <w:p>
            <w:pPr>
              <w:pStyle w:val="Compact"/>
              <w:jc w:val="center"/>
            </w:pPr>
            <w:r>
              <w:t xml:space="preserve">0.988</w:t>
            </w:r>
          </w:p>
        </w:tc>
        <w:tc>
          <w:tcPr/>
          <w:p>
            <w:pPr>
              <w:pStyle w:val="Compact"/>
              <w:jc w:val="center"/>
            </w:pPr>
            <w:r>
              <w:t xml:space="preserve">0.157</w:t>
            </w:r>
          </w:p>
        </w:tc>
      </w:tr>
      <w:tr>
        <w:tc>
          <w:tcPr/>
          <w:p>
            <w:pPr>
              <w:pStyle w:val="Compact"/>
              <w:jc w:val="left"/>
            </w:pPr>
            <w:r>
              <w:t xml:space="preserve">5</w:t>
            </w:r>
          </w:p>
        </w:tc>
        <w:tc>
          <w:tcPr/>
          <w:p>
            <w:pPr>
              <w:pStyle w:val="Compact"/>
              <w:jc w:val="center"/>
            </w:pPr>
            <w:r>
              <w:t xml:space="preserve">0.151</w:t>
            </w:r>
          </w:p>
        </w:tc>
        <w:tc>
          <w:tcPr/>
          <w:p>
            <w:pPr>
              <w:pStyle w:val="Compact"/>
              <w:jc w:val="center"/>
            </w:pPr>
            <w:r>
              <w:t xml:space="preserve">0.581</w:t>
            </w:r>
          </w:p>
        </w:tc>
        <w:tc>
          <w:tcPr/>
          <w:p>
            <w:pPr>
              <w:pStyle w:val="Compact"/>
              <w:jc w:val="center"/>
            </w:pPr>
            <w:r>
              <w:t xml:space="preserve">0.543</w:t>
            </w:r>
          </w:p>
        </w:tc>
        <w:tc>
          <w:tcPr/>
          <w:p>
            <w:pPr>
              <w:pStyle w:val="Compact"/>
              <w:jc w:val="center"/>
            </w:pPr>
            <w:r>
              <w:t xml:space="preserve">0.082</w:t>
            </w:r>
          </w:p>
        </w:tc>
        <w:tc>
          <w:tcPr/>
          <w:p>
            <w:pPr>
              <w:pStyle w:val="Compact"/>
              <w:jc w:val="center"/>
            </w:pPr>
            <w:r>
              <w:t xml:space="preserve">0.038</w:t>
            </w:r>
          </w:p>
        </w:tc>
        <w:tc>
          <w:tcPr/>
          <w:p>
            <w:pPr>
              <w:pStyle w:val="Compact"/>
              <w:jc w:val="center"/>
            </w:pPr>
            <w:r>
              <w:t xml:space="preserve">0.984</w:t>
            </w:r>
          </w:p>
        </w:tc>
        <w:tc>
          <w:tcPr/>
          <w:p>
            <w:pPr>
              <w:pStyle w:val="Compact"/>
              <w:jc w:val="center"/>
            </w:pPr>
            <w:r>
              <w:t xml:space="preserve">0.152</w:t>
            </w:r>
          </w:p>
        </w:tc>
      </w:tr>
      <w:tr>
        <w:tc>
          <w:tcPr/>
          <w:p>
            <w:pPr>
              <w:pStyle w:val="Compact"/>
              <w:jc w:val="left"/>
            </w:pPr>
            <w:r>
              <w:t xml:space="preserve">6</w:t>
            </w:r>
          </w:p>
        </w:tc>
        <w:tc>
          <w:tcPr/>
          <w:p>
            <w:pPr>
              <w:pStyle w:val="Compact"/>
              <w:jc w:val="center"/>
            </w:pPr>
            <w:r>
              <w:t xml:space="preserve">0.130</w:t>
            </w:r>
          </w:p>
        </w:tc>
        <w:tc>
          <w:tcPr/>
          <w:p>
            <w:pPr>
              <w:pStyle w:val="Compact"/>
              <w:jc w:val="center"/>
            </w:pPr>
            <w:r>
              <w:t xml:space="preserve">0.546</w:t>
            </w:r>
          </w:p>
        </w:tc>
        <w:tc>
          <w:tcPr/>
          <w:p>
            <w:pPr>
              <w:pStyle w:val="Compact"/>
              <w:jc w:val="center"/>
            </w:pPr>
            <w:r>
              <w:t xml:space="preserve">0.547</w:t>
            </w:r>
          </w:p>
        </w:tc>
        <w:tc>
          <w:tcPr/>
          <w:p>
            <w:pPr>
              <w:pStyle w:val="Compact"/>
              <w:jc w:val="center"/>
            </w:pPr>
            <w:r>
              <w:t xml:space="preserve">0.073</w:t>
            </w:r>
          </w:p>
        </w:tc>
        <w:tc>
          <w:tcPr/>
          <w:p>
            <w:pPr>
              <w:pStyle w:val="Compact"/>
              <w:jc w:val="center"/>
            </w:pPr>
            <w:r>
              <w:t xml:space="preserve">0.036</w:t>
            </w:r>
          </w:p>
        </w:tc>
        <w:tc>
          <w:tcPr/>
          <w:p>
            <w:pPr>
              <w:pStyle w:val="Compact"/>
              <w:jc w:val="center"/>
            </w:pPr>
            <w:r>
              <w:t xml:space="preserve">0.986</w:t>
            </w:r>
          </w:p>
        </w:tc>
        <w:tc>
          <w:tcPr/>
          <w:p>
            <w:pPr>
              <w:pStyle w:val="Compact"/>
              <w:jc w:val="center"/>
            </w:pPr>
            <w:r>
              <w:t xml:space="preserve">0.128</w:t>
            </w:r>
          </w:p>
        </w:tc>
      </w:tr>
      <w:tr>
        <w:tc>
          <w:tcPr/>
          <w:p>
            <w:pPr>
              <w:pStyle w:val="Compact"/>
              <w:jc w:val="left"/>
            </w:pPr>
            <w:r>
              <w:t xml:space="preserve">7</w:t>
            </w:r>
          </w:p>
        </w:tc>
        <w:tc>
          <w:tcPr/>
          <w:p>
            <w:pPr>
              <w:pStyle w:val="Compact"/>
              <w:jc w:val="center"/>
            </w:pPr>
            <w:r>
              <w:t xml:space="preserve">0.170</w:t>
            </w:r>
          </w:p>
        </w:tc>
        <w:tc>
          <w:tcPr/>
          <w:p>
            <w:pPr>
              <w:pStyle w:val="Compact"/>
              <w:jc w:val="center"/>
            </w:pPr>
            <w:r>
              <w:t xml:space="preserve">0.581</w:t>
            </w:r>
          </w:p>
        </w:tc>
        <w:tc>
          <w:tcPr/>
          <w:p>
            <w:pPr>
              <w:pStyle w:val="Compact"/>
              <w:jc w:val="center"/>
            </w:pPr>
            <w:r>
              <w:t xml:space="preserve">0.545</w:t>
            </w:r>
          </w:p>
        </w:tc>
        <w:tc>
          <w:tcPr/>
          <w:p>
            <w:pPr>
              <w:pStyle w:val="Compact"/>
              <w:jc w:val="center"/>
            </w:pPr>
            <w:r>
              <w:t xml:space="preserve">0.094</w:t>
            </w:r>
          </w:p>
        </w:tc>
        <w:tc>
          <w:tcPr/>
          <w:p>
            <w:pPr>
              <w:pStyle w:val="Compact"/>
              <w:jc w:val="center"/>
            </w:pPr>
            <w:r>
              <w:t xml:space="preserve">0.045</w:t>
            </w:r>
          </w:p>
        </w:tc>
        <w:tc>
          <w:tcPr/>
          <w:p>
            <w:pPr>
              <w:pStyle w:val="Compact"/>
              <w:jc w:val="center"/>
            </w:pPr>
            <w:r>
              <w:t xml:space="preserve">0.990</w:t>
            </w:r>
          </w:p>
        </w:tc>
        <w:tc>
          <w:tcPr/>
          <w:p>
            <w:pPr>
              <w:pStyle w:val="Compact"/>
              <w:jc w:val="center"/>
            </w:pPr>
            <w:r>
              <w:t xml:space="preserve">0.170</w:t>
            </w:r>
          </w:p>
        </w:tc>
      </w:tr>
      <w:tr>
        <w:tc>
          <w:tcPr/>
          <w:p>
            <w:pPr>
              <w:pStyle w:val="Compact"/>
              <w:jc w:val="left"/>
            </w:pPr>
            <w:r>
              <w:t xml:space="preserve">8</w:t>
            </w:r>
          </w:p>
        </w:tc>
        <w:tc>
          <w:tcPr/>
          <w:p>
            <w:pPr>
              <w:pStyle w:val="Compact"/>
              <w:jc w:val="center"/>
            </w:pPr>
            <w:r>
              <w:t xml:space="preserve">0.184</w:t>
            </w:r>
          </w:p>
        </w:tc>
        <w:tc>
          <w:tcPr/>
          <w:p>
            <w:pPr>
              <w:pStyle w:val="Compact"/>
              <w:jc w:val="center"/>
            </w:pPr>
            <w:r>
              <w:t xml:space="preserve">0.620</w:t>
            </w:r>
          </w:p>
        </w:tc>
        <w:tc>
          <w:tcPr/>
          <w:p>
            <w:pPr>
              <w:pStyle w:val="Compact"/>
              <w:jc w:val="center"/>
            </w:pPr>
            <w:r>
              <w:t xml:space="preserve">0.596</w:t>
            </w:r>
          </w:p>
        </w:tc>
        <w:tc>
          <w:tcPr/>
          <w:p>
            <w:pPr>
              <w:pStyle w:val="Compact"/>
              <w:jc w:val="center"/>
            </w:pPr>
            <w:r>
              <w:t xml:space="preserve">0.054</w:t>
            </w:r>
          </w:p>
        </w:tc>
        <w:tc>
          <w:tcPr/>
          <w:p>
            <w:pPr>
              <w:pStyle w:val="Compact"/>
              <w:jc w:val="center"/>
            </w:pPr>
            <w:r>
              <w:t xml:space="preserve">0.024</w:t>
            </w:r>
          </w:p>
        </w:tc>
        <w:tc>
          <w:tcPr/>
          <w:p>
            <w:pPr>
              <w:pStyle w:val="Compact"/>
              <w:jc w:val="center"/>
            </w:pPr>
            <w:r>
              <w:t xml:space="preserve">0.978</w:t>
            </w:r>
          </w:p>
        </w:tc>
        <w:tc>
          <w:tcPr/>
          <w:p>
            <w:pPr>
              <w:pStyle w:val="Compact"/>
              <w:jc w:val="center"/>
            </w:pPr>
            <w:r>
              <w:t xml:space="preserve">0.185</w:t>
            </w:r>
          </w:p>
        </w:tc>
      </w:tr>
      <w:tr>
        <w:tc>
          <w:tcPr/>
          <w:p>
            <w:pPr>
              <w:pStyle w:val="Compact"/>
              <w:jc w:val="left"/>
            </w:pPr>
            <w:r>
              <w:t xml:space="preserve">9</w:t>
            </w:r>
          </w:p>
        </w:tc>
        <w:tc>
          <w:tcPr/>
          <w:p>
            <w:pPr>
              <w:pStyle w:val="Compact"/>
              <w:jc w:val="center"/>
            </w:pPr>
            <w:r>
              <w:t xml:space="preserve">0.228</w:t>
            </w:r>
          </w:p>
        </w:tc>
        <w:tc>
          <w:tcPr/>
          <w:p>
            <w:pPr>
              <w:pStyle w:val="Compact"/>
              <w:jc w:val="center"/>
            </w:pPr>
            <w:r>
              <w:t xml:space="preserve">0.625</w:t>
            </w:r>
          </w:p>
        </w:tc>
        <w:tc>
          <w:tcPr/>
          <w:p>
            <w:pPr>
              <w:pStyle w:val="Compact"/>
              <w:jc w:val="center"/>
            </w:pPr>
            <w:r>
              <w:t xml:space="preserve">0.560</w:t>
            </w:r>
          </w:p>
        </w:tc>
        <w:tc>
          <w:tcPr/>
          <w:p>
            <w:pPr>
              <w:pStyle w:val="Compact"/>
              <w:jc w:val="center"/>
            </w:pPr>
            <w:r>
              <w:t xml:space="preserve">0.090</w:t>
            </w:r>
          </w:p>
        </w:tc>
        <w:tc>
          <w:tcPr/>
          <w:p>
            <w:pPr>
              <w:pStyle w:val="Compact"/>
              <w:jc w:val="center"/>
            </w:pPr>
            <w:r>
              <w:t xml:space="preserve">0.040</w:t>
            </w:r>
          </w:p>
        </w:tc>
        <w:tc>
          <w:tcPr/>
          <w:p>
            <w:pPr>
              <w:pStyle w:val="Compact"/>
              <w:jc w:val="center"/>
            </w:pPr>
            <w:r>
              <w:t xml:space="preserve">0.984</w:t>
            </w:r>
          </w:p>
        </w:tc>
        <w:tc>
          <w:tcPr/>
          <w:p>
            <w:pPr>
              <w:pStyle w:val="Compact"/>
              <w:jc w:val="center"/>
            </w:pPr>
            <w:r>
              <w:t xml:space="preserve">0.228</w:t>
            </w:r>
          </w:p>
        </w:tc>
      </w:tr>
      <w:tr>
        <w:tc>
          <w:tcPr/>
          <w:p>
            <w:pPr>
              <w:pStyle w:val="Compact"/>
              <w:jc w:val="left"/>
            </w:pPr>
            <w:r>
              <w:t xml:space="preserve">10</w:t>
            </w:r>
          </w:p>
        </w:tc>
        <w:tc>
          <w:tcPr/>
          <w:p>
            <w:pPr>
              <w:pStyle w:val="Compact"/>
              <w:jc w:val="center"/>
            </w:pPr>
            <w:r>
              <w:t xml:space="preserve">0.195</w:t>
            </w:r>
          </w:p>
        </w:tc>
        <w:tc>
          <w:tcPr/>
          <w:p>
            <w:pPr>
              <w:pStyle w:val="Compact"/>
              <w:jc w:val="center"/>
            </w:pPr>
            <w:r>
              <w:t xml:space="preserve">0.602</w:t>
            </w:r>
          </w:p>
        </w:tc>
        <w:tc>
          <w:tcPr/>
          <w:p>
            <w:pPr>
              <w:pStyle w:val="Compact"/>
              <w:jc w:val="center"/>
            </w:pPr>
            <w:r>
              <w:t xml:space="preserve">0.636</w:t>
            </w:r>
          </w:p>
        </w:tc>
        <w:tc>
          <w:tcPr/>
          <w:p>
            <w:pPr>
              <w:pStyle w:val="Compact"/>
              <w:jc w:val="center"/>
            </w:pPr>
            <w:r>
              <w:t xml:space="preserve">0.051</w:t>
            </w:r>
          </w:p>
        </w:tc>
        <w:tc>
          <w:tcPr/>
          <w:p>
            <w:pPr>
              <w:pStyle w:val="Compact"/>
              <w:jc w:val="center"/>
            </w:pPr>
            <w:r>
              <w:t xml:space="preserve">0.023</w:t>
            </w:r>
          </w:p>
        </w:tc>
        <w:tc>
          <w:tcPr/>
          <w:p>
            <w:pPr>
              <w:pStyle w:val="Compact"/>
              <w:jc w:val="center"/>
            </w:pPr>
            <w:r>
              <w:t xml:space="preserve">0.964</w:t>
            </w:r>
          </w:p>
        </w:tc>
        <w:tc>
          <w:tcPr/>
          <w:p>
            <w:pPr>
              <w:pStyle w:val="Compact"/>
              <w:jc w:val="center"/>
            </w:pPr>
            <w:r>
              <w:t xml:space="preserve">0.191</w:t>
            </w:r>
          </w:p>
        </w:tc>
      </w:tr>
      <w:tr>
        <w:tc>
          <w:tcPr/>
          <w:p>
            <w:pPr>
              <w:pStyle w:val="Compact"/>
              <w:jc w:val="left"/>
            </w:pPr>
            <w:r>
              <w:t xml:space="preserve">11</w:t>
            </w:r>
          </w:p>
        </w:tc>
        <w:tc>
          <w:tcPr/>
          <w:p>
            <w:pPr>
              <w:pStyle w:val="Compact"/>
              <w:jc w:val="center"/>
            </w:pPr>
            <w:r>
              <w:t xml:space="preserve">0.209</w:t>
            </w:r>
          </w:p>
        </w:tc>
        <w:tc>
          <w:tcPr/>
          <w:p>
            <w:pPr>
              <w:pStyle w:val="Compact"/>
              <w:jc w:val="center"/>
            </w:pPr>
            <w:r>
              <w:t xml:space="preserve">0.606</w:t>
            </w:r>
          </w:p>
        </w:tc>
        <w:tc>
          <w:tcPr/>
          <w:p>
            <w:pPr>
              <w:pStyle w:val="Compact"/>
              <w:jc w:val="center"/>
            </w:pPr>
            <w:r>
              <w:t xml:space="preserve">0.580</w:t>
            </w:r>
          </w:p>
        </w:tc>
        <w:tc>
          <w:tcPr/>
          <w:p>
            <w:pPr>
              <w:pStyle w:val="Compact"/>
              <w:jc w:val="center"/>
            </w:pPr>
            <w:r>
              <w:t xml:space="preserve">0.076</w:t>
            </w:r>
          </w:p>
        </w:tc>
        <w:tc>
          <w:tcPr/>
          <w:p>
            <w:pPr>
              <w:pStyle w:val="Compact"/>
              <w:jc w:val="center"/>
            </w:pPr>
            <w:r>
              <w:t xml:space="preserve">0.035</w:t>
            </w:r>
          </w:p>
        </w:tc>
        <w:tc>
          <w:tcPr/>
          <w:p>
            <w:pPr>
              <w:pStyle w:val="Compact"/>
              <w:jc w:val="center"/>
            </w:pPr>
            <w:r>
              <w:t xml:space="preserve">0.977</w:t>
            </w:r>
          </w:p>
        </w:tc>
        <w:tc>
          <w:tcPr/>
          <w:p>
            <w:pPr>
              <w:pStyle w:val="Compact"/>
              <w:jc w:val="center"/>
            </w:pPr>
            <w:r>
              <w:t xml:space="preserve">0.213</w:t>
            </w:r>
          </w:p>
        </w:tc>
      </w:tr>
      <w:tr>
        <w:tc>
          <w:tcPr/>
          <w:p>
            <w:pPr>
              <w:pStyle w:val="Compact"/>
              <w:jc w:val="left"/>
            </w:pPr>
            <w:r>
              <w:t xml:space="preserve">12</w:t>
            </w:r>
          </w:p>
        </w:tc>
        <w:tc>
          <w:tcPr/>
          <w:p>
            <w:pPr>
              <w:pStyle w:val="Compact"/>
              <w:jc w:val="center"/>
            </w:pPr>
            <w:r>
              <w:t xml:space="preserve">0.156</w:t>
            </w:r>
          </w:p>
        </w:tc>
        <w:tc>
          <w:tcPr/>
          <w:p>
            <w:pPr>
              <w:pStyle w:val="Compact"/>
              <w:jc w:val="center"/>
            </w:pPr>
            <w:r>
              <w:t xml:space="preserve">0.605</w:t>
            </w:r>
          </w:p>
        </w:tc>
        <w:tc>
          <w:tcPr/>
          <w:p>
            <w:pPr>
              <w:pStyle w:val="Compact"/>
              <w:jc w:val="center"/>
            </w:pPr>
            <w:r>
              <w:t xml:space="preserve">0.605</w:t>
            </w:r>
          </w:p>
        </w:tc>
        <w:tc>
          <w:tcPr/>
          <w:p>
            <w:pPr>
              <w:pStyle w:val="Compact"/>
              <w:jc w:val="center"/>
            </w:pPr>
            <w:r>
              <w:t xml:space="preserve">0.081</w:t>
            </w:r>
          </w:p>
        </w:tc>
        <w:tc>
          <w:tcPr/>
          <w:p>
            <w:pPr>
              <w:pStyle w:val="Compact"/>
              <w:jc w:val="center"/>
            </w:pPr>
            <w:r>
              <w:t xml:space="preserve">0.037</w:t>
            </w:r>
          </w:p>
        </w:tc>
        <w:tc>
          <w:tcPr/>
          <w:p>
            <w:pPr>
              <w:pStyle w:val="Compact"/>
              <w:jc w:val="center"/>
            </w:pPr>
            <w:r>
              <w:t xml:space="preserve">0.987</w:t>
            </w:r>
          </w:p>
        </w:tc>
        <w:tc>
          <w:tcPr/>
          <w:p>
            <w:pPr>
              <w:pStyle w:val="Compact"/>
              <w:jc w:val="center"/>
            </w:pPr>
            <w:r>
              <w:t xml:space="preserve">0.154</w:t>
            </w:r>
          </w:p>
        </w:tc>
      </w:tr>
      <w:tr>
        <w:tc>
          <w:tcPr/>
          <w:p>
            <w:pPr>
              <w:pStyle w:val="Compact"/>
              <w:jc w:val="left"/>
            </w:pPr>
            <w:r>
              <w:t xml:space="preserve">13</w:t>
            </w:r>
          </w:p>
        </w:tc>
        <w:tc>
          <w:tcPr/>
          <w:p>
            <w:pPr>
              <w:pStyle w:val="Compact"/>
              <w:jc w:val="center"/>
            </w:pPr>
            <w:r>
              <w:t xml:space="preserve">0.219</w:t>
            </w:r>
          </w:p>
        </w:tc>
        <w:tc>
          <w:tcPr/>
          <w:p>
            <w:pPr>
              <w:pStyle w:val="Compact"/>
              <w:jc w:val="center"/>
            </w:pPr>
            <w:r>
              <w:t xml:space="preserve">0.577</w:t>
            </w:r>
          </w:p>
        </w:tc>
        <w:tc>
          <w:tcPr/>
          <w:p>
            <w:pPr>
              <w:pStyle w:val="Compact"/>
              <w:jc w:val="center"/>
            </w:pPr>
            <w:r>
              <w:t xml:space="preserve">0.485</w:t>
            </w:r>
          </w:p>
        </w:tc>
        <w:tc>
          <w:tcPr/>
          <w:p>
            <w:pPr>
              <w:pStyle w:val="Compact"/>
              <w:jc w:val="center"/>
            </w:pPr>
            <w:r>
              <w:t xml:space="preserve">0.102</w:t>
            </w:r>
          </w:p>
        </w:tc>
        <w:tc>
          <w:tcPr/>
          <w:p>
            <w:pPr>
              <w:pStyle w:val="Compact"/>
              <w:jc w:val="center"/>
            </w:pPr>
            <w:r>
              <w:t xml:space="preserve">0.048</w:t>
            </w:r>
          </w:p>
        </w:tc>
        <w:tc>
          <w:tcPr/>
          <w:p>
            <w:pPr>
              <w:pStyle w:val="Compact"/>
              <w:jc w:val="center"/>
            </w:pPr>
            <w:r>
              <w:t xml:space="preserve">0.983</w:t>
            </w:r>
          </w:p>
        </w:tc>
        <w:tc>
          <w:tcPr/>
          <w:p>
            <w:pPr>
              <w:pStyle w:val="Compact"/>
              <w:jc w:val="center"/>
            </w:pPr>
            <w:r>
              <w:t xml:space="preserve">0.217</w:t>
            </w:r>
          </w:p>
        </w:tc>
      </w:tr>
      <w:tr>
        <w:tc>
          <w:tcPr/>
          <w:p>
            <w:pPr>
              <w:pStyle w:val="Compact"/>
              <w:jc w:val="left"/>
            </w:pPr>
            <w:r>
              <w:t xml:space="preserve">14</w:t>
            </w:r>
          </w:p>
        </w:tc>
        <w:tc>
          <w:tcPr/>
          <w:p>
            <w:pPr>
              <w:pStyle w:val="Compact"/>
              <w:jc w:val="center"/>
            </w:pPr>
            <w:r>
              <w:t xml:space="preserve">0.132</w:t>
            </w:r>
          </w:p>
        </w:tc>
        <w:tc>
          <w:tcPr/>
          <w:p>
            <w:pPr>
              <w:pStyle w:val="Compact"/>
              <w:jc w:val="center"/>
            </w:pPr>
            <w:r>
              <w:t xml:space="preserve">0.555</w:t>
            </w:r>
          </w:p>
        </w:tc>
        <w:tc>
          <w:tcPr/>
          <w:p>
            <w:pPr>
              <w:pStyle w:val="Compact"/>
              <w:jc w:val="center"/>
            </w:pPr>
            <w:r>
              <w:t xml:space="preserve">0.538</w:t>
            </w:r>
          </w:p>
        </w:tc>
        <w:tc>
          <w:tcPr/>
          <w:p>
            <w:pPr>
              <w:pStyle w:val="Compact"/>
              <w:jc w:val="center"/>
            </w:pPr>
            <w:r>
              <w:t xml:space="preserve">0.091</w:t>
            </w:r>
          </w:p>
        </w:tc>
        <w:tc>
          <w:tcPr/>
          <w:p>
            <w:pPr>
              <w:pStyle w:val="Compact"/>
              <w:jc w:val="center"/>
            </w:pPr>
            <w:r>
              <w:t xml:space="preserve">0.044</w:t>
            </w:r>
          </w:p>
        </w:tc>
        <w:tc>
          <w:tcPr/>
          <w:p>
            <w:pPr>
              <w:pStyle w:val="Compact"/>
              <w:jc w:val="center"/>
            </w:pPr>
            <w:r>
              <w:t xml:space="preserve">0.984</w:t>
            </w:r>
          </w:p>
        </w:tc>
        <w:tc>
          <w:tcPr/>
          <w:p>
            <w:pPr>
              <w:pStyle w:val="Compact"/>
              <w:jc w:val="center"/>
            </w:pPr>
            <w:r>
              <w:t xml:space="preserve">0.134</w:t>
            </w:r>
          </w:p>
        </w:tc>
      </w:tr>
      <w:tr>
        <w:tc>
          <w:tcPr/>
          <w:p>
            <w:pPr>
              <w:pStyle w:val="Compact"/>
              <w:jc w:val="left"/>
            </w:pPr>
            <w:r>
              <w:t xml:space="preserve">15</w:t>
            </w:r>
          </w:p>
        </w:tc>
        <w:tc>
          <w:tcPr/>
          <w:p>
            <w:pPr>
              <w:pStyle w:val="Compact"/>
              <w:jc w:val="center"/>
            </w:pPr>
            <w:r>
              <w:t xml:space="preserve">0.084</w:t>
            </w:r>
          </w:p>
        </w:tc>
        <w:tc>
          <w:tcPr/>
          <w:p>
            <w:pPr>
              <w:pStyle w:val="Compact"/>
              <w:jc w:val="center"/>
            </w:pPr>
            <w:r>
              <w:t xml:space="preserve">0.515</w:t>
            </w:r>
          </w:p>
        </w:tc>
        <w:tc>
          <w:tcPr/>
          <w:p>
            <w:pPr>
              <w:pStyle w:val="Compact"/>
              <w:jc w:val="center"/>
            </w:pPr>
            <w:r>
              <w:t xml:space="preserve">0.515</w:t>
            </w:r>
          </w:p>
        </w:tc>
        <w:tc>
          <w:tcPr/>
          <w:p>
            <w:pPr>
              <w:pStyle w:val="Compact"/>
              <w:jc w:val="center"/>
            </w:pPr>
            <w:r>
              <w:t xml:space="preserve">0.053</w:t>
            </w:r>
          </w:p>
        </w:tc>
        <w:tc>
          <w:tcPr/>
          <w:p>
            <w:pPr>
              <w:pStyle w:val="Compact"/>
              <w:jc w:val="center"/>
            </w:pPr>
            <w:r>
              <w:t xml:space="preserve">0.026</w:t>
            </w:r>
          </w:p>
        </w:tc>
        <w:tc>
          <w:tcPr/>
          <w:p>
            <w:pPr>
              <w:pStyle w:val="Compact"/>
              <w:jc w:val="center"/>
            </w:pPr>
            <w:r>
              <w:t xml:space="preserve">0.982</w:t>
            </w:r>
          </w:p>
        </w:tc>
        <w:tc>
          <w:tcPr/>
          <w:p>
            <w:pPr>
              <w:pStyle w:val="Compact"/>
              <w:jc w:val="center"/>
            </w:pPr>
            <w:r>
              <w:t xml:space="preserve">0.083</w:t>
            </w:r>
          </w:p>
        </w:tc>
      </w:tr>
      <w:tr>
        <w:tc>
          <w:tcPr/>
          <w:p>
            <w:pPr>
              <w:pStyle w:val="Compact"/>
              <w:jc w:val="left"/>
            </w:pPr>
            <w:r>
              <w:t xml:space="preserve">16</w:t>
            </w:r>
          </w:p>
        </w:tc>
        <w:tc>
          <w:tcPr/>
          <w:p>
            <w:pPr>
              <w:pStyle w:val="Compact"/>
              <w:jc w:val="center"/>
            </w:pPr>
            <w:r>
              <w:t xml:space="preserve">0.242</w:t>
            </w:r>
          </w:p>
        </w:tc>
        <w:tc>
          <w:tcPr/>
          <w:p>
            <w:pPr>
              <w:pStyle w:val="Compact"/>
              <w:jc w:val="center"/>
            </w:pPr>
            <w:r>
              <w:t xml:space="preserve">0.604</w:t>
            </w:r>
          </w:p>
        </w:tc>
        <w:tc>
          <w:tcPr/>
          <w:p>
            <w:pPr>
              <w:pStyle w:val="Compact"/>
              <w:jc w:val="center"/>
            </w:pPr>
            <w:r>
              <w:t xml:space="preserve">0.495</w:t>
            </w:r>
          </w:p>
        </w:tc>
        <w:tc>
          <w:tcPr/>
          <w:p>
            <w:pPr>
              <w:pStyle w:val="Compact"/>
              <w:jc w:val="center"/>
            </w:pPr>
            <w:r>
              <w:t xml:space="preserve">0.088</w:t>
            </w:r>
          </w:p>
        </w:tc>
        <w:tc>
          <w:tcPr/>
          <w:p>
            <w:pPr>
              <w:pStyle w:val="Compact"/>
              <w:jc w:val="center"/>
            </w:pPr>
            <w:r>
              <w:t xml:space="preserve">0.039</w:t>
            </w:r>
          </w:p>
        </w:tc>
        <w:tc>
          <w:tcPr/>
          <w:p>
            <w:pPr>
              <w:pStyle w:val="Compact"/>
              <w:jc w:val="center"/>
            </w:pPr>
            <w:r>
              <w:t xml:space="preserve">0.983</w:t>
            </w:r>
          </w:p>
        </w:tc>
        <w:tc>
          <w:tcPr/>
          <w:p>
            <w:pPr>
              <w:pStyle w:val="Compact"/>
              <w:jc w:val="center"/>
            </w:pPr>
            <w:r>
              <w:t xml:space="preserve">0.241</w:t>
            </w:r>
          </w:p>
        </w:tc>
      </w:tr>
      <w:tr>
        <w:tc>
          <w:tcPr/>
          <w:p>
            <w:pPr>
              <w:pStyle w:val="Compact"/>
              <w:jc w:val="left"/>
            </w:pPr>
            <w:r>
              <w:t xml:space="preserve">17</w:t>
            </w:r>
          </w:p>
        </w:tc>
        <w:tc>
          <w:tcPr/>
          <w:p>
            <w:pPr>
              <w:pStyle w:val="Compact"/>
              <w:jc w:val="center"/>
            </w:pPr>
            <w:r>
              <w:t xml:space="preserve">0.326</w:t>
            </w:r>
          </w:p>
        </w:tc>
        <w:tc>
          <w:tcPr/>
          <w:p>
            <w:pPr>
              <w:pStyle w:val="Compact"/>
              <w:jc w:val="center"/>
            </w:pPr>
            <w:r>
              <w:t xml:space="preserve">0.582</w:t>
            </w:r>
          </w:p>
        </w:tc>
        <w:tc>
          <w:tcPr/>
          <w:p>
            <w:pPr>
              <w:pStyle w:val="Compact"/>
              <w:jc w:val="center"/>
            </w:pPr>
            <w:r>
              <w:t xml:space="preserve">0.499</w:t>
            </w:r>
          </w:p>
        </w:tc>
        <w:tc>
          <w:tcPr/>
          <w:p>
            <w:pPr>
              <w:pStyle w:val="Compact"/>
              <w:jc w:val="center"/>
            </w:pPr>
            <w:r>
              <w:t xml:space="preserve">0.083</w:t>
            </w:r>
          </w:p>
        </w:tc>
        <w:tc>
          <w:tcPr/>
          <w:p>
            <w:pPr>
              <w:pStyle w:val="Compact"/>
              <w:jc w:val="center"/>
            </w:pPr>
            <w:r>
              <w:t xml:space="preserve">0.037</w:t>
            </w:r>
          </w:p>
        </w:tc>
        <w:tc>
          <w:tcPr/>
          <w:p>
            <w:pPr>
              <w:pStyle w:val="Compact"/>
              <w:jc w:val="center"/>
            </w:pPr>
            <w:r>
              <w:t xml:space="preserve">0.980</w:t>
            </w:r>
          </w:p>
        </w:tc>
        <w:tc>
          <w:tcPr/>
          <w:p>
            <w:pPr>
              <w:pStyle w:val="Compact"/>
              <w:jc w:val="center"/>
            </w:pPr>
            <w:r>
              <w:t xml:space="preserve">0.319</w:t>
            </w:r>
          </w:p>
        </w:tc>
      </w:tr>
      <w:tr>
        <w:tc>
          <w:tcPr/>
          <w:p>
            <w:pPr>
              <w:pStyle w:val="Compact"/>
              <w:jc w:val="left"/>
            </w:pPr>
            <m:oMath>
              <m:r>
                <m:t>ρ</m:t>
              </m:r>
            </m:oMath>
            <w:r>
              <w:t xml:space="preserve"> </w:t>
            </w:r>
            <w:r>
              <w:t xml:space="preserve">vs. canonical</w:t>
            </w:r>
          </w:p>
        </w:tc>
        <w:tc>
          <w:tcPr/>
          <w:p>
            <w:pPr>
              <w:pStyle w:val="Compact"/>
              <w:jc w:val="center"/>
            </w:pPr>
            <w:r>
              <w:t xml:space="preserve">–</w:t>
            </w:r>
          </w:p>
        </w:tc>
        <w:tc>
          <w:tcPr/>
          <w:p>
            <w:pPr>
              <w:pStyle w:val="Compact"/>
              <w:jc w:val="center"/>
            </w:pPr>
            <w:r>
              <w:t xml:space="preserve">0.694</w:t>
            </w:r>
          </w:p>
        </w:tc>
        <w:tc>
          <w:tcPr/>
          <w:p>
            <w:pPr>
              <w:pStyle w:val="Compact"/>
              <w:jc w:val="center"/>
            </w:pPr>
            <w:r>
              <w:t xml:space="preserve">0.047</w:t>
            </w:r>
          </w:p>
        </w:tc>
        <w:tc>
          <w:tcPr/>
          <w:p>
            <w:pPr>
              <w:pStyle w:val="Compact"/>
              <w:jc w:val="center"/>
            </w:pPr>
            <w:r>
              <w:t xml:space="preserve">0.444</w:t>
            </w:r>
          </w:p>
        </w:tc>
        <w:tc>
          <w:tcPr/>
          <w:p>
            <w:pPr>
              <w:pStyle w:val="Compact"/>
              <w:jc w:val="center"/>
            </w:pPr>
            <w:r>
              <w:t xml:space="preserve">0.260</w:t>
            </w:r>
          </w:p>
        </w:tc>
        <w:tc>
          <w:tcPr/>
          <w:p>
            <w:pPr>
              <w:pStyle w:val="Compact"/>
              <w:jc w:val="center"/>
            </w:pPr>
            <w:r>
              <w:t xml:space="preserve">-0.164</w:t>
            </w:r>
          </w:p>
        </w:tc>
        <w:tc>
          <w:tcPr/>
          <w:p>
            <w:pPr>
              <w:pStyle w:val="Compact"/>
              <w:jc w:val="center"/>
            </w:pPr>
            <w:r>
              <w:t xml:space="preserve">1.000</w:t>
            </w:r>
          </w:p>
        </w:tc>
      </w:tr>
    </w:tbl>
    <w:bookmarkEnd w:id="99"/>
    <w:p>
      <w:pPr>
        <w:pStyle w:val="BodyText"/>
      </w:pPr>
      <w:r>
        <w:t xml:space="preserve">The H1 decomposition is not an artefact of the centroid estimate. Table </w:t>
      </w:r>
      <w:hyperlink w:anchor="tab:distributional-h1">
        <w:r>
          <w:rPr>
            <w:rStyle w:val="Hyperlink"/>
          </w:rPr>
          <w:t xml:space="preserve">12</w:t>
        </w:r>
      </w:hyperlink>
      <w:r>
        <w:t xml:space="preserve"> </w:t>
      </w:r>
      <w:r>
        <w:t xml:space="preserve">re-runs the H1a–H1d correlation grid with the distribution-aware semantic gaps (adjusted embeddings) in place of the centroid gap; predictors and test are identical to Table </w:t>
      </w:r>
      <w:hyperlink w:anchor="tab:interaction">
        <w:r>
          <w:rPr>
            <w:rStyle w:val="Hyperlink"/>
          </w:rPr>
          <w:t xml:space="preserve">5</w:t>
        </w:r>
      </w:hyperlink>
      <w:r>
        <w:t xml:space="preserve">. The positive coverage–framing association replicates under the mean-complementary family: sliced Wasserstein (</w:t>
      </w:r>
      <m:oMath>
        <m:r>
          <m:t>ρ</m:t>
        </m:r>
        <m:r>
          <m:rPr>
            <m:sty m:val="p"/>
          </m:rPr>
          <m:t>=</m:t>
        </m:r>
        <m:r>
          <m:t>0.554</m:t>
        </m:r>
      </m:oMath>
      <w:r>
        <w:t xml:space="preserve">,</w:t>
      </w:r>
      <w:r>
        <w:t xml:space="preserve"> </w:t>
      </w:r>
      <m:oMath>
        <m:r>
          <m:t>p</m:t>
        </m:r>
        <m:r>
          <m:rPr>
            <m:sty m:val="p"/>
          </m:rPr>
          <m:t>=</m:t>
        </m:r>
        <m:r>
          <m:t>0.022</m:t>
        </m:r>
      </m:oMath>
      <w:r>
        <w:t xml:space="preserve">), linear MMD (</w:t>
      </w:r>
      <m:oMath>
        <m:r>
          <m:t>ρ</m:t>
        </m:r>
        <m:r>
          <m:rPr>
            <m:sty m:val="p"/>
          </m:rPr>
          <m:t>=</m:t>
        </m:r>
        <m:r>
          <m:t>0.603</m:t>
        </m:r>
      </m:oMath>
      <w:r>
        <w:t xml:space="preserve">,</w:t>
      </w:r>
      <w:r>
        <w:t xml:space="preserve"> </w:t>
      </w:r>
      <m:oMath>
        <m:r>
          <m:t>p</m:t>
        </m:r>
        <m:r>
          <m:rPr>
            <m:sty m:val="p"/>
          </m:rPr>
          <m:t>=</m:t>
        </m:r>
        <m:r>
          <m:t>0.012</m:t>
        </m:r>
      </m:oMath>
      <w:r>
        <w:t xml:space="preserve">), and energy distance (</w:t>
      </w:r>
      <m:oMath>
        <m:r>
          <m:t>ρ</m:t>
        </m:r>
        <m:r>
          <m:rPr>
            <m:sty m:val="p"/>
          </m:rPr>
          <m:t>=</m:t>
        </m:r>
        <m:r>
          <m:t>0.537</m:t>
        </m:r>
      </m:oMath>
      <w:r>
        <w:t xml:space="preserve">,</w:t>
      </w:r>
      <w:r>
        <w:t xml:space="preserve"> </w:t>
      </w:r>
      <m:oMath>
        <m:r>
          <m:t>p</m:t>
        </m:r>
        <m:r>
          <m:rPr>
            <m:sty m:val="p"/>
          </m:rPr>
          <m:t>=</m:t>
        </m:r>
        <m:r>
          <m:t>0.027</m:t>
        </m:r>
      </m:oMath>
      <w:r>
        <w:t xml:space="preserve">) reproduce the adjusted association at magnitudes close to the centroid estimate (</w:t>
      </w:r>
      <m:oMath>
        <m:r>
          <m:t>ρ</m:t>
        </m:r>
        <m:r>
          <m:rPr>
            <m:sty m:val="p"/>
          </m:rPr>
          <m:t>=</m:t>
        </m:r>
        <m:r>
          <m:t>0.544</m:t>
        </m:r>
      </m:oMath>
      <w:r>
        <w:t xml:space="preserve">,</w:t>
      </w:r>
      <w:r>
        <w:t xml:space="preserve"> </w:t>
      </w:r>
      <m:oMath>
        <m:r>
          <m:t>p</m:t>
        </m:r>
        <m:r>
          <m:rPr>
            <m:sty m:val="p"/>
          </m:rPr>
          <m:t>=</m:t>
        </m:r>
        <m:r>
          <m:t>0.025</m:t>
        </m:r>
      </m:oMath>
      <w:r>
        <w:t xml:space="preserve">), with squared RBF MMD directionally consistent (</w:t>
      </w:r>
      <m:oMath>
        <m:r>
          <m:t>ρ</m:t>
        </m:r>
        <m:r>
          <m:rPr>
            <m:sty m:val="p"/>
          </m:rPr>
          <m:t>=</m:t>
        </m:r>
        <m:r>
          <m:t>0.473</m:t>
        </m:r>
      </m:oMath>
      <w:r>
        <w:t xml:space="preserve">,</w:t>
      </w:r>
      <w:r>
        <w:t xml:space="preserve"> </w:t>
      </w:r>
      <m:oMath>
        <m:r>
          <m:t>p</m:t>
        </m:r>
        <m:r>
          <m:rPr>
            <m:sty m:val="p"/>
          </m:rPr>
          <m:t>=</m:t>
        </m:r>
        <m:r>
          <m:t>0.056</m:t>
        </m:r>
      </m:oMath>
      <w:r>
        <w:t xml:space="preserve">). The distributional view also shows a difference the mean-direction estimate misses: H1c (research coverage) is positively associated with the sliced-Wasserstein (</w:t>
      </w:r>
      <m:oMath>
        <m:r>
          <m:t>ρ</m:t>
        </m:r>
        <m:r>
          <m:rPr>
            <m:sty m:val="p"/>
          </m:rPr>
          <m:t>=</m:t>
        </m:r>
        <m:r>
          <m:t>0.539</m:t>
        </m:r>
      </m:oMath>
      <w:r>
        <w:t xml:space="preserve">,</w:t>
      </w:r>
      <w:r>
        <w:t xml:space="preserve"> </w:t>
      </w:r>
      <m:oMath>
        <m:r>
          <m:t>p</m:t>
        </m:r>
        <m:r>
          <m:rPr>
            <m:sty m:val="p"/>
          </m:rPr>
          <m:t>=</m:t>
        </m:r>
        <m:r>
          <m:t>0.028</m:t>
        </m:r>
      </m:oMath>
      <w:r>
        <w:t xml:space="preserve">), energy-distance (</w:t>
      </w:r>
      <m:oMath>
        <m:r>
          <m:t>ρ</m:t>
        </m:r>
        <m:r>
          <m:rPr>
            <m:sty m:val="p"/>
          </m:rPr>
          <m:t>=</m:t>
        </m:r>
        <m:r>
          <m:t>0.532</m:t>
        </m:r>
      </m:oMath>
      <w:r>
        <w:t xml:space="preserve">,</w:t>
      </w:r>
      <w:r>
        <w:t xml:space="preserve"> </w:t>
      </w:r>
      <m:oMath>
        <m:r>
          <m:t>p</m:t>
        </m:r>
        <m:r>
          <m:rPr>
            <m:sty m:val="p"/>
          </m:rPr>
          <m:t>=</m:t>
        </m:r>
        <m:r>
          <m:t>0.030</m:t>
        </m:r>
      </m:oMath>
      <w:r>
        <w:t xml:space="preserve">), and squared RBF MMD (</w:t>
      </w:r>
      <m:oMath>
        <m:r>
          <m:t>ρ</m:t>
        </m:r>
        <m:r>
          <m:rPr>
            <m:sty m:val="p"/>
          </m:rPr>
          <m:t>=</m:t>
        </m:r>
        <m:r>
          <m:t>0.551</m:t>
        </m:r>
      </m:oMath>
      <w:r>
        <w:t xml:space="preserve">,</w:t>
      </w:r>
      <w:r>
        <w:t xml:space="preserve"> </w:t>
      </w:r>
      <m:oMath>
        <m:r>
          <m:t>p</m:t>
        </m:r>
        <m:r>
          <m:rPr>
            <m:sty m:val="p"/>
          </m:rPr>
          <m:t>=</m:t>
        </m:r>
        <m:r>
          <m:t>0.024</m:t>
        </m:r>
      </m:oMath>
      <w:r>
        <w:t xml:space="preserve">) gaps even though it is null on the centroid gap, suggesting research-heavy goals show wider distributional shape divergence without a wider mean-direction gap. The association is not uniform across the battery: exact EMD and Chamfer agree moderately with the centroid ranking (Table </w:t>
      </w:r>
      <w:hyperlink w:anchor="tab:distributional-gap">
        <w:r>
          <w:rPr>
            <w:rStyle w:val="Hyperlink"/>
          </w:rPr>
          <w:t xml:space="preserve">10</w:t>
        </w:r>
      </w:hyperlink>
      <w:r>
        <w:t xml:space="preserve">, final row) yet show no H1a association, and every metric whose ranking agreement is weak or negative is null as well (i.e., carries no significance marker at the</w:t>
      </w:r>
      <w:r>
        <w:t xml:space="preserve"> </w:t>
      </w:r>
      <m:oMath>
        <m:r>
          <m:t>p</m:t>
        </m:r>
        <m:r>
          <m:rPr>
            <m:sty m:val="p"/>
          </m:rPr>
          <m:t>&lt;</m:t>
        </m:r>
        <m:r>
          <m:t>.05</m:t>
        </m:r>
      </m:oMath>
      <w:r>
        <w:t xml:space="preserve"> </w:t>
      </w:r>
      <w:r>
        <w:t xml:space="preserve">/</w:t>
      </w:r>
      <w:r>
        <w:t xml:space="preserve"> </w:t>
      </w:r>
      <m:oMath>
        <m:r>
          <m:t>p</m:t>
        </m:r>
        <m:r>
          <m:rPr>
            <m:sty m:val="p"/>
          </m:rPr>
          <m:t>&lt;</m:t>
        </m:r>
        <m:r>
          <m:t>.10</m:t>
        </m:r>
      </m:oMath>
      <w:r>
        <w:t xml:space="preserve"> </w:t>
      </w:r>
      <w:r>
        <w:t xml:space="preserve">thresholds applied throughout; see Table </w:t>
      </w:r>
      <w:hyperlink w:anchor="tab:distributional-h1">
        <w:r>
          <w:rPr>
            <w:rStyle w:val="Hyperlink"/>
          </w:rPr>
          <w:t xml:space="preserve">12</w:t>
        </w:r>
      </w:hyperlink>
      <w:r>
        <w:t xml:space="preserve"> </w:t>
      </w:r>
      <w:r>
        <w:t xml:space="preserve">notes), regardless of raw</w:t>
      </w:r>
      <w:r>
        <w:t xml:space="preserve"> </w:t>
      </w:r>
      <m:oMath>
        <m:r>
          <m:t>ρ</m:t>
        </m:r>
      </m:oMath>
      <w:r>
        <w:t xml:space="preserve"> </w:t>
      </w:r>
      <w:r>
        <w:t xml:space="preserve">magnitude, with two exceptions: Sinkhorn’s H1d is significantly negative (</w:t>
      </w:r>
      <m:oMath>
        <m:r>
          <m:t>ρ</m:t>
        </m:r>
        <m:r>
          <m:rPr>
            <m:sty m:val="p"/>
          </m:rPr>
          <m:t>=</m:t>
        </m:r>
        <m:r>
          <m:rPr>
            <m:sty m:val="p"/>
          </m:rPr>
          <m:t>−</m:t>
        </m:r>
        <m:r>
          <m:t>0.505</m:t>
        </m:r>
      </m:oMath>
      <w:r>
        <w:t xml:space="preserve">,</w:t>
      </w:r>
      <w:r>
        <w:t xml:space="preserve"> </w:t>
      </w:r>
      <m:oMath>
        <m:r>
          <m:t>p</m:t>
        </m:r>
        <m:r>
          <m:rPr>
            <m:sty m:val="p"/>
          </m:rPr>
          <m:t>=</m:t>
        </m:r>
        <m:r>
          <m:t>0.041</m:t>
        </m:r>
      </m:oMath>
      <w:r>
        <w:t xml:space="preserve">), an outlier consistent with its near-zero ranking agreement, and C2ST AUC is a near-miss whose H1a (</w:t>
      </w:r>
      <m:oMath>
        <m:r>
          <m:t>ρ</m:t>
        </m:r>
        <m:r>
          <m:rPr>
            <m:sty m:val="p"/>
          </m:rPr>
          <m:t>=</m:t>
        </m:r>
        <m:r>
          <m:rPr>
            <m:sty m:val="p"/>
          </m:rPr>
          <m:t>+</m:t>
        </m:r>
        <m:r>
          <m:t>0.270</m:t>
        </m:r>
      </m:oMath>
      <w:r>
        <w:t xml:space="preserve">) and H1c (</w:t>
      </w:r>
      <m:oMath>
        <m:r>
          <m:t>ρ</m:t>
        </m:r>
        <m:r>
          <m:rPr>
            <m:sty m:val="p"/>
          </m:rPr>
          <m:t>=</m:t>
        </m:r>
        <m:r>
          <m:rPr>
            <m:sty m:val="p"/>
          </m:rPr>
          <m:t>+</m:t>
        </m:r>
        <m:r>
          <m:t>0.375</m:t>
        </m:r>
      </m:oMath>
      <w:r>
        <w:t xml:space="preserve">) are the largest non-significant magnitudes in the grid despite negative ranking agreement (</w:t>
      </w:r>
      <m:oMath>
        <m:r>
          <m:t>ρ</m:t>
        </m:r>
        <m:r>
          <m:rPr>
            <m:sty m:val="p"/>
          </m:rPr>
          <m:t>=</m:t>
        </m:r>
        <m:r>
          <m:rPr>
            <m:sty m:val="p"/>
          </m:rPr>
          <m:t>−</m:t>
        </m:r>
        <m:r>
          <m:t>0.164</m:t>
        </m:r>
      </m:oMath>
      <w:r>
        <w:t xml:space="preserve">, Table </w:t>
      </w:r>
      <w:hyperlink w:anchor="tab:distributional-gap">
        <w:r>
          <w:rPr>
            <w:rStyle w:val="Hyperlink"/>
          </w:rPr>
          <w:t xml:space="preserve">10</w:t>
        </w:r>
      </w:hyperlink>
      <w:r>
        <w:t xml:space="preserve">), remaining just above the</w:t>
      </w:r>
      <w:r>
        <w:t xml:space="preserve"> </w:t>
      </w:r>
      <m:oMath>
        <m:r>
          <m:t>p</m:t>
        </m:r>
        <m:r>
          <m:rPr>
            <m:sty m:val="p"/>
          </m:rPr>
          <m:t>&lt;</m:t>
        </m:r>
        <m:r>
          <m:t>.10</m:t>
        </m:r>
      </m:oMath>
      <w:r>
        <w:t xml:space="preserve"> </w:t>
      </w:r>
      <w:r>
        <w:t xml:space="preserve">threshold. Excluding SDG 4 leaves every conclusion unchanged (full</w:t>
      </w:r>
      <w:r>
        <w:t xml:space="preserve"> </w:t>
      </w:r>
      <m:oMath>
        <m:r>
          <m:t>n</m:t>
        </m:r>
        <m:r>
          <m:rPr>
            <m:sty m:val="p"/>
          </m:rPr>
          <m:t>=</m:t>
        </m:r>
        <m:r>
          <m:t>16</m:t>
        </m:r>
      </m:oMath>
      <w:r>
        <w:t xml:space="preserve"> </w:t>
      </w:r>
      <w:r>
        <w:t xml:space="preserve">grid in the analysis JSON).</w:t>
      </w:r>
    </w:p>
    <w:bookmarkStart w:id="100" w:name="tab:distributional-h1"/>
    <w:p>
      <w:pPr>
        <w:pStyle w:val="TableCaption"/>
      </w:pPr>
      <w:r>
        <w:t xml:space="preserve">H1a–H1d coverage-predictor vs semantic-gap Spearman correlations under distribution-aware semantic gaps (adjusted embeddings). Distributional gaps replace the centroid gap as the outcome vector; predictors and test are identical to Table </w:t>
      </w:r>
      <w:hyperlink w:anchor="tab:interaction">
        <w:r>
          <w:rPr>
            <w:rStyle w:val="Hyperlink"/>
          </w:rPr>
          <w:t xml:space="preserve">5</w:t>
        </w:r>
      </w:hyperlink>
      <w:r>
        <w:t xml:space="preserve">.</w:t>
      </w:r>
    </w:p>
    <w:tbl>
      <w:tblPr>
        <w:tblStyle w:val="Table"/>
        <w:tblW w:type="auto" w:w="0"/>
        <w:tblLook w:firstRow="0" w:lastRow="0" w:firstColumn="0" w:lastColumn="0" w:noHBand="0" w:noVBand="0" w:val="0000"/>
        <w:jc w:val="start"/>
        <w:tblCaption w:val="H1a–H1d coverage-predictor vs semantic-gap Spearman correlations under distribution-aware semantic gaps (adjusted embeddings). Distributional gaps replace the centroid gap as the outcome vector; predictors and test are identical to Table 5."/>
      </w:tblPr>
      <w:tblGrid>
        <w:gridCol w:w="1584"/>
        <w:gridCol w:w="1584"/>
        <w:gridCol w:w="1584"/>
        <w:gridCol w:w="1584"/>
        <w:gridCol w:w="1584"/>
      </w:tblGrid>
      <w:tr>
        <w:tc>
          <w:tcPr/>
          <w:p>
            <w:pPr>
              <w:pStyle w:val="Compact"/>
            </w:pPr>
          </w:p>
        </w:tc>
        <w:tc>
          <w:tcPr/>
          <w:p>
            <w:pPr>
              <w:pStyle w:val="Compact"/>
              <w:jc w:val="center"/>
            </w:pPr>
            <w:r>
              <w:t xml:space="preserve">H1a</w:t>
            </w:r>
          </w:p>
        </w:tc>
        <w:tc>
          <w:tcPr/>
          <w:p>
            <w:pPr>
              <w:pStyle w:val="Compact"/>
              <w:jc w:val="center"/>
            </w:pPr>
            <w:r>
              <w:t xml:space="preserve">H1b</w:t>
            </w:r>
          </w:p>
        </w:tc>
        <w:tc>
          <w:tcPr/>
          <w:p>
            <w:pPr>
              <w:pStyle w:val="Compact"/>
              <w:jc w:val="center"/>
            </w:pPr>
            <w:r>
              <w:t xml:space="preserve">H1c</w:t>
            </w:r>
          </w:p>
        </w:tc>
        <w:tc>
          <w:tcPr/>
          <w:p>
            <w:pPr>
              <w:pStyle w:val="Compact"/>
              <w:jc w:val="center"/>
            </w:pPr>
            <w:r>
              <w:t xml:space="preserve">H1d</w:t>
            </w:r>
          </w:p>
        </w:tc>
      </w:tr>
      <w:tr>
        <w:tc>
          <w:tcPr/>
          <w:p>
            <w:pPr>
              <w:pStyle w:val="Compact"/>
            </w:pPr>
          </w:p>
        </w:tc>
        <w:tc>
          <w:tcPr/>
          <w:p>
            <w:pPr>
              <w:pStyle w:val="Compact"/>
              <w:jc w:val="center"/>
            </w:pPr>
            <w:r>
              <w:t xml:space="preserve">Cov. gap</w:t>
            </w:r>
          </w:p>
        </w:tc>
        <w:tc>
          <w:tcPr/>
          <w:p>
            <w:pPr>
              <w:pStyle w:val="Compact"/>
              <w:jc w:val="center"/>
            </w:pPr>
            <w:r>
              <w:t xml:space="preserve">Dominance</w:t>
            </w:r>
          </w:p>
        </w:tc>
        <w:tc>
          <w:tcPr/>
          <w:p>
            <w:pPr>
              <w:pStyle w:val="Compact"/>
              <w:jc w:val="center"/>
            </w:pPr>
            <w:r>
              <w:t xml:space="preserve">Research cov. </w:t>
            </w:r>
          </w:p>
        </w:tc>
        <w:tc>
          <w:tcPr/>
          <w:p>
            <w:pPr>
              <w:pStyle w:val="Compact"/>
              <w:jc w:val="center"/>
            </w:pPr>
            <w:r>
              <w:t xml:space="preserve">Policy cov. </w:t>
            </w:r>
          </w:p>
        </w:tc>
      </w:tr>
      <w:tr>
        <w:tc>
          <w:tcPr/>
          <w:p>
            <w:pPr>
              <w:pStyle w:val="Compact"/>
              <w:jc w:val="left"/>
            </w:pPr>
            <w:r>
              <w:t xml:space="preserve">Sliced Wasserstein</w:t>
            </w:r>
          </w:p>
        </w:tc>
        <w:tc>
          <w:tcPr/>
          <w:p>
            <w:pPr>
              <w:pStyle w:val="Compact"/>
              <w:jc w:val="center"/>
            </w:pPr>
            <w:r>
              <w:t xml:space="preserve">+0.554</w:t>
            </w:r>
            <m:oMath>
              <m:sSup>
                <m:e>
                  <m:r>
                    <m:t>​</m:t>
                  </m:r>
                </m:e>
                <m:sup>
                  <m:r>
                    <m:rPr>
                      <m:sty m:val="p"/>
                    </m:rPr>
                    <m:t>*</m:t>
                  </m:r>
                </m:sup>
              </m:sSup>
            </m:oMath>
          </w:p>
        </w:tc>
        <w:tc>
          <w:tcPr/>
          <w:p>
            <w:pPr>
              <w:pStyle w:val="Compact"/>
              <w:jc w:val="center"/>
            </w:pPr>
            <w:r>
              <w:t xml:space="preserve">+0.061</w:t>
            </w:r>
          </w:p>
        </w:tc>
        <w:tc>
          <w:tcPr/>
          <w:p>
            <w:pPr>
              <w:pStyle w:val="Compact"/>
              <w:jc w:val="center"/>
            </w:pPr>
            <w:r>
              <w:t xml:space="preserve">+0.539</w:t>
            </w:r>
            <m:oMath>
              <m:sSup>
                <m:e>
                  <m:r>
                    <m:t>​</m:t>
                  </m:r>
                </m:e>
                <m:sup>
                  <m:r>
                    <m:rPr>
                      <m:sty m:val="p"/>
                    </m:rPr>
                    <m:t>*</m:t>
                  </m:r>
                </m:sup>
              </m:sSup>
            </m:oMath>
          </w:p>
        </w:tc>
        <w:tc>
          <w:tcPr/>
          <w:p>
            <w:pPr>
              <w:pStyle w:val="Compact"/>
              <w:jc w:val="center"/>
            </w:pPr>
            <w:r>
              <w:t xml:space="preserve">+0.397</w:t>
            </w:r>
          </w:p>
        </w:tc>
      </w:tr>
      <w:tr>
        <w:tc>
          <w:tcPr/>
          <w:p>
            <w:pPr>
              <w:pStyle w:val="Compact"/>
              <w:jc w:val="left"/>
            </w:pPr>
            <w:r>
              <w:t xml:space="preserve">Linear MMD</w:t>
            </w:r>
          </w:p>
        </w:tc>
        <w:tc>
          <w:tcPr/>
          <w:p>
            <w:pPr>
              <w:pStyle w:val="Compact"/>
              <w:jc w:val="center"/>
            </w:pPr>
            <w:r>
              <w:t xml:space="preserve">+0.603</w:t>
            </w:r>
            <m:oMath>
              <m:sSup>
                <m:e>
                  <m:r>
                    <m:t>​</m:t>
                  </m:r>
                </m:e>
                <m:sup>
                  <m:r>
                    <m:rPr>
                      <m:sty m:val="p"/>
                    </m:rPr>
                    <m:t>*</m:t>
                  </m:r>
                </m:sup>
              </m:sSup>
            </m:oMath>
          </w:p>
        </w:tc>
        <w:tc>
          <w:tcPr/>
          <w:p>
            <w:pPr>
              <w:pStyle w:val="Compact"/>
              <w:jc w:val="center"/>
            </w:pPr>
            <w:r>
              <w:t xml:space="preserve">+0.022</w:t>
            </w:r>
          </w:p>
        </w:tc>
        <w:tc>
          <w:tcPr/>
          <w:p>
            <w:pPr>
              <w:pStyle w:val="Compact"/>
              <w:jc w:val="center"/>
            </w:pPr>
            <w:r>
              <w:t xml:space="preserve">+0.466</w:t>
            </w:r>
            <m:oMath>
              <m:sSup>
                <m:e>
                  <m:r>
                    <m:t>​</m:t>
                  </m:r>
                </m:e>
                <m:sup>
                  <m:r>
                    <m:rPr>
                      <m:sty m:val="p"/>
                    </m:rPr>
                    <m:t>†</m:t>
                  </m:r>
                </m:sup>
              </m:sSup>
            </m:oMath>
          </w:p>
        </w:tc>
        <w:tc>
          <w:tcPr/>
          <w:p>
            <w:pPr>
              <w:pStyle w:val="Compact"/>
              <w:jc w:val="center"/>
            </w:pPr>
            <w:r>
              <w:t xml:space="preserve">+0.439</w:t>
            </w:r>
            <m:oMath>
              <m:sSup>
                <m:e>
                  <m:r>
                    <m:t>​</m:t>
                  </m:r>
                </m:e>
                <m:sup>
                  <m:r>
                    <m:rPr>
                      <m:sty m:val="p"/>
                    </m:rPr>
                    <m:t>†</m:t>
                  </m:r>
                </m:sup>
              </m:sSup>
            </m:oMath>
          </w:p>
        </w:tc>
      </w:tr>
      <w:tr>
        <w:tc>
          <w:tcPr/>
          <w:p>
            <w:pPr>
              <w:pStyle w:val="Compact"/>
              <w:jc w:val="left"/>
            </w:pPr>
            <w:r>
              <w:t xml:space="preserve">Energy distance</w:t>
            </w:r>
          </w:p>
        </w:tc>
        <w:tc>
          <w:tcPr/>
          <w:p>
            <w:pPr>
              <w:pStyle w:val="Compact"/>
              <w:jc w:val="center"/>
            </w:pPr>
            <w:r>
              <w:t xml:space="preserve">+0.537</w:t>
            </w:r>
            <m:oMath>
              <m:sSup>
                <m:e>
                  <m:r>
                    <m:t>​</m:t>
                  </m:r>
                </m:e>
                <m:sup>
                  <m:r>
                    <m:rPr>
                      <m:sty m:val="p"/>
                    </m:rPr>
                    <m:t>*</m:t>
                  </m:r>
                </m:sup>
              </m:sSup>
            </m:oMath>
          </w:p>
        </w:tc>
        <w:tc>
          <w:tcPr/>
          <w:p>
            <w:pPr>
              <w:pStyle w:val="Compact"/>
              <w:jc w:val="center"/>
            </w:pPr>
            <w:r>
              <w:t xml:space="preserve">+0.074</w:t>
            </w:r>
          </w:p>
        </w:tc>
        <w:tc>
          <w:tcPr/>
          <w:p>
            <w:pPr>
              <w:pStyle w:val="Compact"/>
              <w:jc w:val="center"/>
            </w:pPr>
            <w:r>
              <w:t xml:space="preserve">+0.532</w:t>
            </w:r>
            <m:oMath>
              <m:sSup>
                <m:e>
                  <m:r>
                    <m:t>​</m:t>
                  </m:r>
                </m:e>
                <m:sup>
                  <m:r>
                    <m:rPr>
                      <m:sty m:val="p"/>
                    </m:rPr>
                    <m:t>*</m:t>
                  </m:r>
                </m:sup>
              </m:sSup>
            </m:oMath>
          </w:p>
        </w:tc>
        <w:tc>
          <w:tcPr/>
          <w:p>
            <w:pPr>
              <w:pStyle w:val="Compact"/>
              <w:jc w:val="center"/>
            </w:pPr>
            <w:r>
              <w:t xml:space="preserve">+0.384</w:t>
            </w:r>
          </w:p>
        </w:tc>
      </w:tr>
      <w:tr>
        <w:tc>
          <w:tcPr/>
          <w:p>
            <w:pPr>
              <w:pStyle w:val="Compact"/>
              <w:jc w:val="left"/>
            </w:pPr>
            <w:r>
              <w:t xml:space="preserve">Squared RBF MMD</w:t>
            </w:r>
          </w:p>
        </w:tc>
        <w:tc>
          <w:tcPr/>
          <w:p>
            <w:pPr>
              <w:pStyle w:val="Compact"/>
              <w:jc w:val="center"/>
            </w:pPr>
            <w:r>
              <w:t xml:space="preserve">+0.473</w:t>
            </w:r>
            <m:oMath>
              <m:sSup>
                <m:e>
                  <m:r>
                    <m:t>​</m:t>
                  </m:r>
                </m:e>
                <m:sup>
                  <m:r>
                    <m:rPr>
                      <m:sty m:val="p"/>
                    </m:rPr>
                    <m:t>†</m:t>
                  </m:r>
                </m:sup>
              </m:sSup>
            </m:oMath>
          </w:p>
        </w:tc>
        <w:tc>
          <w:tcPr/>
          <w:p>
            <w:pPr>
              <w:pStyle w:val="Compact"/>
              <w:jc w:val="center"/>
            </w:pPr>
            <w:r>
              <w:t xml:space="preserve">+0.113</w:t>
            </w:r>
          </w:p>
        </w:tc>
        <w:tc>
          <w:tcPr/>
          <w:p>
            <w:pPr>
              <w:pStyle w:val="Compact"/>
              <w:jc w:val="center"/>
            </w:pPr>
            <w:r>
              <w:t xml:space="preserve">+0.551</w:t>
            </w:r>
            <m:oMath>
              <m:sSup>
                <m:e>
                  <m:r>
                    <m:t>​</m:t>
                  </m:r>
                </m:e>
                <m:sup>
                  <m:r>
                    <m:rPr>
                      <m:sty m:val="p"/>
                    </m:rPr>
                    <m:t>*</m:t>
                  </m:r>
                </m:sup>
              </m:sSup>
            </m:oMath>
          </w:p>
        </w:tc>
        <w:tc>
          <w:tcPr/>
          <w:p>
            <w:pPr>
              <w:pStyle w:val="Compact"/>
              <w:jc w:val="center"/>
            </w:pPr>
            <w:r>
              <w:t xml:space="preserve">+0.296</w:t>
            </w:r>
          </w:p>
        </w:tc>
      </w:tr>
      <w:tr>
        <w:tc>
          <w:tcPr/>
          <w:p>
            <w:pPr>
              <w:pStyle w:val="Compact"/>
              <w:jc w:val="left"/>
            </w:pPr>
            <w:r>
              <w:t xml:space="preserve">Exact EMD</w:t>
            </w:r>
          </w:p>
        </w:tc>
        <w:tc>
          <w:tcPr/>
          <w:p>
            <w:pPr>
              <w:pStyle w:val="Compact"/>
              <w:jc w:val="center"/>
            </w:pPr>
            <w:r>
              <w:t xml:space="preserve">+0.304</w:t>
            </w:r>
          </w:p>
        </w:tc>
        <w:tc>
          <w:tcPr/>
          <w:p>
            <w:pPr>
              <w:pStyle w:val="Compact"/>
              <w:jc w:val="center"/>
            </w:pPr>
            <w:r>
              <w:t xml:space="preserve">+0.147</w:t>
            </w:r>
          </w:p>
        </w:tc>
        <w:tc>
          <w:tcPr/>
          <w:p>
            <w:pPr>
              <w:pStyle w:val="Compact"/>
              <w:jc w:val="center"/>
            </w:pPr>
            <w:r>
              <w:t xml:space="preserve">+0.167</w:t>
            </w:r>
          </w:p>
        </w:tc>
        <w:tc>
          <w:tcPr/>
          <w:p>
            <w:pPr>
              <w:pStyle w:val="Compact"/>
              <w:jc w:val="center"/>
            </w:pPr>
            <w:r>
              <w:t xml:space="preserve">+0.217</w:t>
            </w:r>
          </w:p>
        </w:tc>
      </w:tr>
      <w:tr>
        <w:tc>
          <w:tcPr/>
          <w:p>
            <w:pPr>
              <w:pStyle w:val="Compact"/>
              <w:jc w:val="left"/>
            </w:pPr>
            <w:r>
              <w:t xml:space="preserve">Chamfer</w:t>
            </w:r>
          </w:p>
        </w:tc>
        <w:tc>
          <w:tcPr/>
          <w:p>
            <w:pPr>
              <w:pStyle w:val="Compact"/>
              <w:jc w:val="center"/>
            </w:pPr>
            <w:r>
              <w:t xml:space="preserve">+0.103</w:t>
            </w:r>
          </w:p>
        </w:tc>
        <w:tc>
          <w:tcPr/>
          <w:p>
            <w:pPr>
              <w:pStyle w:val="Compact"/>
              <w:jc w:val="center"/>
            </w:pPr>
            <w:r>
              <w:t xml:space="preserve">-0.115</w:t>
            </w:r>
          </w:p>
        </w:tc>
        <w:tc>
          <w:tcPr/>
          <w:p>
            <w:pPr>
              <w:pStyle w:val="Compact"/>
              <w:jc w:val="center"/>
            </w:pPr>
            <w:r>
              <w:t xml:space="preserve">-0.350</w:t>
            </w:r>
          </w:p>
        </w:tc>
        <w:tc>
          <w:tcPr/>
          <w:p>
            <w:pPr>
              <w:pStyle w:val="Compact"/>
              <w:jc w:val="center"/>
            </w:pPr>
            <w:r>
              <w:t xml:space="preserve">-0.006</w:t>
            </w:r>
          </w:p>
        </w:tc>
      </w:tr>
      <w:tr>
        <w:tc>
          <w:tcPr/>
          <w:p>
            <w:pPr>
              <w:pStyle w:val="Compact"/>
              <w:jc w:val="left"/>
            </w:pPr>
            <w:r>
              <w:t xml:space="preserve">Modified Hausdorff</w:t>
            </w:r>
          </w:p>
        </w:tc>
        <w:tc>
          <w:tcPr/>
          <w:p>
            <w:pPr>
              <w:pStyle w:val="Compact"/>
              <w:jc w:val="center"/>
            </w:pPr>
            <w:r>
              <w:t xml:space="preserve">+0.159</w:t>
            </w:r>
          </w:p>
        </w:tc>
        <w:tc>
          <w:tcPr/>
          <w:p>
            <w:pPr>
              <w:pStyle w:val="Compact"/>
              <w:jc w:val="center"/>
            </w:pPr>
            <w:r>
              <w:t xml:space="preserve">+0.152</w:t>
            </w:r>
          </w:p>
        </w:tc>
        <w:tc>
          <w:tcPr/>
          <w:p>
            <w:pPr>
              <w:pStyle w:val="Compact"/>
              <w:jc w:val="center"/>
            </w:pPr>
            <w:r>
              <w:t xml:space="preserve">+0.127</w:t>
            </w:r>
          </w:p>
        </w:tc>
        <w:tc>
          <w:tcPr/>
          <w:p>
            <w:pPr>
              <w:pStyle w:val="Compact"/>
              <w:jc w:val="center"/>
            </w:pPr>
            <w:r>
              <w:t xml:space="preserve">+0.066</w:t>
            </w:r>
          </w:p>
        </w:tc>
      </w:tr>
      <w:tr>
        <w:tc>
          <w:tcPr/>
          <w:p>
            <w:pPr>
              <w:pStyle w:val="Compact"/>
              <w:jc w:val="left"/>
            </w:pPr>
            <w:r>
              <w:t xml:space="preserve">Gaussian-2-Wasserstein</w:t>
            </w:r>
          </w:p>
        </w:tc>
        <w:tc>
          <w:tcPr/>
          <w:p>
            <w:pPr>
              <w:pStyle w:val="Compact"/>
              <w:jc w:val="center"/>
            </w:pPr>
            <w:r>
              <w:t xml:space="preserve">-0.007</w:t>
            </w:r>
          </w:p>
        </w:tc>
        <w:tc>
          <w:tcPr/>
          <w:p>
            <w:pPr>
              <w:pStyle w:val="Compact"/>
              <w:jc w:val="center"/>
            </w:pPr>
            <w:r>
              <w:t xml:space="preserve">+0.240</w:t>
            </w:r>
          </w:p>
        </w:tc>
        <w:tc>
          <w:tcPr/>
          <w:p>
            <w:pPr>
              <w:pStyle w:val="Compact"/>
              <w:jc w:val="center"/>
            </w:pPr>
            <w:r>
              <w:t xml:space="preserve">+0.262</w:t>
            </w:r>
          </w:p>
        </w:tc>
        <w:tc>
          <w:tcPr/>
          <w:p>
            <w:pPr>
              <w:pStyle w:val="Compact"/>
              <w:jc w:val="center"/>
            </w:pPr>
            <w:r>
              <w:t xml:space="preserve">-0.042</w:t>
            </w:r>
          </w:p>
        </w:tc>
      </w:tr>
      <w:tr>
        <w:tc>
          <w:tcPr/>
          <w:p>
            <w:pPr>
              <w:pStyle w:val="Compact"/>
              <w:jc w:val="left"/>
            </w:pPr>
            <w:r>
              <w:t xml:space="preserve">Sinkhorn</w:t>
            </w:r>
          </w:p>
        </w:tc>
        <w:tc>
          <w:tcPr/>
          <w:p>
            <w:pPr>
              <w:pStyle w:val="Compact"/>
              <w:jc w:val="center"/>
            </w:pPr>
            <w:r>
              <w:t xml:space="preserve">-0.199</w:t>
            </w:r>
          </w:p>
        </w:tc>
        <w:tc>
          <w:tcPr/>
          <w:p>
            <w:pPr>
              <w:pStyle w:val="Compact"/>
              <w:jc w:val="center"/>
            </w:pPr>
            <w:r>
              <w:t xml:space="preserve">+0.397</w:t>
            </w:r>
          </w:p>
        </w:tc>
        <w:tc>
          <w:tcPr/>
          <w:p>
            <w:pPr>
              <w:pStyle w:val="Compact"/>
              <w:jc w:val="center"/>
            </w:pPr>
            <w:r>
              <w:t xml:space="preserve">-0.176</w:t>
            </w:r>
          </w:p>
        </w:tc>
        <w:tc>
          <w:tcPr/>
          <w:p>
            <w:pPr>
              <w:pStyle w:val="Compact"/>
              <w:jc w:val="center"/>
            </w:pPr>
            <w:r>
              <w:t xml:space="preserve">-0.505</w:t>
            </w:r>
            <m:oMath>
              <m:sSup>
                <m:e>
                  <m:r>
                    <m:t>​</m:t>
                  </m:r>
                </m:e>
                <m:sup>
                  <m:r>
                    <m:rPr>
                      <m:sty m:val="p"/>
                    </m:rPr>
                    <m:t>*</m:t>
                  </m:r>
                </m:sup>
              </m:sSup>
            </m:oMath>
          </w:p>
        </w:tc>
      </w:tr>
      <w:tr>
        <w:tc>
          <w:tcPr/>
          <w:p>
            <w:pPr>
              <w:pStyle w:val="Compact"/>
              <w:jc w:val="left"/>
            </w:pPr>
            <w:r>
              <w:t xml:space="preserve">C2ST AUC</w:t>
            </w:r>
          </w:p>
        </w:tc>
        <w:tc>
          <w:tcPr/>
          <w:p>
            <w:pPr>
              <w:pStyle w:val="Compact"/>
              <w:jc w:val="center"/>
            </w:pPr>
            <w:r>
              <w:t xml:space="preserve">+0.270</w:t>
            </w:r>
          </w:p>
        </w:tc>
        <w:tc>
          <w:tcPr/>
          <w:p>
            <w:pPr>
              <w:pStyle w:val="Compact"/>
              <w:jc w:val="center"/>
            </w:pPr>
            <w:r>
              <w:t xml:space="preserve">+0.275</w:t>
            </w:r>
          </w:p>
        </w:tc>
        <w:tc>
          <w:tcPr/>
          <w:p>
            <w:pPr>
              <w:pStyle w:val="Compact"/>
              <w:jc w:val="center"/>
            </w:pPr>
            <w:r>
              <w:t xml:space="preserve">+0.375</w:t>
            </w:r>
          </w:p>
        </w:tc>
        <w:tc>
          <w:tcPr/>
          <w:p>
            <w:pPr>
              <w:pStyle w:val="Compact"/>
              <w:jc w:val="center"/>
            </w:pPr>
            <w:r>
              <w:t xml:space="preserve">-0.139</w:t>
            </w:r>
          </w:p>
        </w:tc>
      </w:tr>
      <w:tr>
        <w:tc>
          <w:tcPr/>
          <w:p>
            <w:pPr>
              <w:pStyle w:val="Compact"/>
              <w:jc w:val="left"/>
            </w:pPr>
            <w:r>
              <w:t xml:space="preserve">Grassmann</w:t>
            </w:r>
          </w:p>
        </w:tc>
        <w:tc>
          <w:tcPr/>
          <w:p>
            <w:pPr>
              <w:pStyle w:val="Compact"/>
              <w:jc w:val="center"/>
            </w:pPr>
            <w:r>
              <w:t xml:space="preserve">-0.186</w:t>
            </w:r>
          </w:p>
        </w:tc>
        <w:tc>
          <w:tcPr/>
          <w:p>
            <w:pPr>
              <w:pStyle w:val="Compact"/>
              <w:jc w:val="center"/>
            </w:pPr>
            <w:r>
              <w:t xml:space="preserve">+0.034</w:t>
            </w:r>
          </w:p>
        </w:tc>
        <w:tc>
          <w:tcPr/>
          <w:p>
            <w:pPr>
              <w:pStyle w:val="Compact"/>
              <w:jc w:val="center"/>
            </w:pPr>
            <w:r>
              <w:t xml:space="preserve">+0.012</w:t>
            </w:r>
          </w:p>
        </w:tc>
        <w:tc>
          <w:tcPr/>
          <w:p>
            <w:pPr>
              <w:pStyle w:val="Compact"/>
              <w:jc w:val="center"/>
            </w:pPr>
            <w:r>
              <w:t xml:space="preserve">-0.228</w:t>
            </w:r>
          </w:p>
        </w:tc>
      </w:tr>
    </w:tbl>
    <w:bookmarkEnd w:id="100"/>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-values (100</w:t>
      </w:r>
      <w:r>
        <w:t xml:space="preserve">,</w:t>
      </w:r>
      <w:r>
        <w:t xml:space="preserve">000 resamples, seed 42),</w:t>
      </w:r>
      <w:r>
        <w:t xml:space="preserve"> </w:t>
      </w:r>
      <m:oMath>
        <m:r>
          <m:t>n</m:t>
        </m:r>
        <m:r>
          <m:rPr>
            <m:sty m:val="p"/>
          </m:rPr>
          <m:t>=</m:t>
        </m:r>
        <m:r>
          <m:t>17</m:t>
        </m:r>
      </m:oMath>
      <w:r>
        <w:t xml:space="preserve"> </w:t>
      </w:r>
      <w:r>
        <w:t xml:space="preserve">SDGs;</w:t>
      </w:r>
      <w:r>
        <w:t xml:space="preserve"> </w:t>
      </w:r>
      <m:oMath>
        <m:sSup>
          <m:e>
            <m:r>
              <m:t>​</m:t>
            </m:r>
          </m:e>
          <m:sup>
            <m:r>
              <m:rPr>
                <m:sty m:val="p"/>
              </m:rPr>
              <m:t>*</m:t>
            </m:r>
            <m:r>
              <m:rPr>
                <m:sty m:val="p"/>
              </m:rPr>
              <m:t>*</m:t>
            </m:r>
            <m:r>
              <m:rPr>
                <m:sty m:val="p"/>
              </m:rPr>
              <m:t>*</m:t>
            </m:r>
          </m:sup>
        </m:sSup>
        <m:r>
          <m:t>p</m:t>
        </m:r>
        <m:r>
          <m:rPr>
            <m:sty m:val="p"/>
          </m:rPr>
          <m:t>&lt;</m:t>
        </m:r>
        <m:r>
          <m:t>0.001</m:t>
        </m:r>
      </m:oMath>
      <w:r>
        <w:t xml:space="preserve">,</w:t>
      </w:r>
      <w:r>
        <w:t xml:space="preserve"> </w:t>
      </w:r>
      <m:oMath>
        <m:sSup>
          <m:e>
            <m:r>
              <m:t>​</m:t>
            </m:r>
          </m:e>
          <m:sup>
            <m:r>
              <m:rPr>
                <m:sty m:val="p"/>
              </m:rPr>
              <m:t>*</m:t>
            </m:r>
            <m:r>
              <m:rPr>
                <m:sty m:val="p"/>
              </m:rPr>
              <m:t>*</m:t>
            </m:r>
          </m:sup>
        </m:sSup>
        <m:r>
          <m:t>p</m:t>
        </m:r>
        <m:r>
          <m:rPr>
            <m:sty m:val="p"/>
          </m:rPr>
          <m:t>&lt;</m:t>
        </m:r>
        <m:r>
          <m:t>0.01</m:t>
        </m:r>
      </m:oMath>
      <w:r>
        <w:t xml:space="preserve">,</w:t>
      </w:r>
      <w:r>
        <w:t xml:space="preserve"> </w:t>
      </w:r>
      <m:oMath>
        <m:sSup>
          <m:e>
            <m:r>
              <m:t>​</m:t>
            </m:r>
          </m:e>
          <m:sup>
            <m:r>
              <m:rPr>
                <m:sty m:val="p"/>
              </m:rPr>
              <m:t>*</m:t>
            </m:r>
          </m:sup>
        </m:sSup>
        <m:r>
          <m:t>p</m:t>
        </m:r>
        <m:r>
          <m:rPr>
            <m:sty m:val="p"/>
          </m:rPr>
          <m:t>&lt;</m:t>
        </m:r>
        <m:r>
          <m:t>0.05</m:t>
        </m:r>
      </m:oMath>
      <w:r>
        <w:t xml:space="preserve">,</w:t>
      </w:r>
      <w:r>
        <w:t xml:space="preserve"> </w:t>
      </w:r>
      <m:oMath>
        <m:sSup>
          <m:e>
            <m:r>
              <m:t>​</m:t>
            </m:r>
          </m:e>
          <m:sup>
            <m:r>
              <m:rPr>
                <m:sty m:val="p"/>
              </m:rPr>
              <m:t>†</m:t>
            </m:r>
          </m:sup>
        </m:sSup>
        <m:r>
          <m:t>p</m:t>
        </m:r>
        <m:r>
          <m:rPr>
            <m:sty m:val="p"/>
          </m:rPr>
          <m:t>&lt;</m:t>
        </m:r>
        <m:r>
          <m:t>0.10</m:t>
        </m:r>
      </m:oMath>
      <w:r>
        <w:t xml:space="preserve">. Excluding SDG 4 (</w:t>
      </w:r>
      <m:oMath>
        <m:r>
          <m:t>n</m:t>
        </m:r>
        <m:r>
          <m:rPr>
            <m:sty m:val="p"/>
          </m:rPr>
          <m:t>=</m:t>
        </m:r>
        <m:r>
          <m:t>16</m:t>
        </m:r>
      </m:oMath>
      <w:r>
        <w:t xml:space="preserve">) leaves every conclusion unchanged; the full</w:t>
      </w:r>
      <w:r>
        <w:t xml:space="preserve"> </w:t>
      </w:r>
      <m:oMath>
        <m:r>
          <m:t>n</m:t>
        </m:r>
        <m:r>
          <m:rPr>
            <m:sty m:val="p"/>
          </m:rPr>
          <m:t>=</m:t>
        </m:r>
        <m:r>
          <m:t>16</m:t>
        </m:r>
      </m:oMath>
      <w:r>
        <w:t xml:space="preserve"> </w:t>
      </w:r>
      <w:r>
        <w:t xml:space="preserve">grid is in the analysis JSON (distributional_h1_interaction.json).</w:t>
      </w:r>
    </w:p>
    <w:bookmarkEnd w:id="101"/>
    <w:bookmarkStart w:id="104" w:name="app:sample-stability"/>
    <w:p>
      <w:pPr>
        <w:pStyle w:val="Heading1"/>
      </w:pPr>
      <w:r>
        <w:t xml:space="preserve">Sample-Stability Robustness Check</w:t>
      </w:r>
    </w:p>
    <w:p>
      <w:pPr>
        <w:pStyle w:val="FirstParagraph"/>
      </w:pPr>
      <w:r>
        <w:t xml:space="preserve">To test whether the headline findings depend heavily on research-corpus size, this study reran the downstream research-side analysis on repeated random subsamples drawn from the pre-embedded, pre-scored OpenAlex corpus. For each of 11 sampled tiers (from 1</w:t>
      </w:r>
      <w:r>
        <w:t xml:space="preserve">,</w:t>
      </w:r>
      <w:r>
        <w:t xml:space="preserve">000 to 2</w:t>
      </w:r>
      <w:r>
        <w:t xml:space="preserve">,</w:t>
      </w:r>
      <w:r>
        <w:t xml:space="preserve">000</w:t>
      </w:r>
      <w:r>
        <w:t xml:space="preserve">,</w:t>
      </w:r>
      <w:r>
        <w:t xml:space="preserve">000 papers), 100 independent samples were drawn without replacement, the research coverage profile was recomputed, sampled research centroids were rebuilt, the coverage gap against the fixed policy profile was recalculated, and the within-SDG semantic gap was recomputed on both the raw and the register-adjusted (topic-only) embeddings. Policy-side quantities were held fixed.</w:t>
      </w:r>
    </w:p>
    <w:bookmarkStart w:id="102" w:name="tab:sample-stability"/>
    <w:p>
      <w:pPr>
        <w:pStyle w:val="TableCaption"/>
      </w:pPr>
      <w:r>
        <w:t xml:space="preserve">Sample-stability ladder for the research corpus.</w:t>
      </w:r>
    </w:p>
    <w:tbl>
      <w:tblPr>
        <w:tblStyle w:val="Table"/>
        <w:tblW w:type="auto" w:w="0"/>
        <w:tblLook w:firstRow="0" w:lastRow="0" w:firstColumn="0" w:lastColumn="0" w:noHBand="0" w:noVBand="0" w:val="0000"/>
        <w:jc w:val="start"/>
        <w:tblCaption w:val="Sample-stability ladder for the research corpus."/>
      </w:tblPr>
      <w:tblGrid>
        <w:gridCol w:w="1584"/>
        <w:gridCol w:w="1584"/>
        <w:gridCol w:w="1584"/>
        <w:gridCol w:w="1584"/>
        <w:gridCol w:w="1584"/>
      </w:tblGrid>
      <w:tr>
        <w:tc>
          <w:tcPr/>
          <w:p>
            <w:pPr>
              <w:pStyle w:val="Compact"/>
              <w:jc w:val="left"/>
            </w:pPr>
            <w:r>
              <w:t xml:space="preserve">Sample Size</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(vs policy)</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(raw)</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(adjusted)</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1,000</w:t>
            </w:r>
          </w:p>
        </w:tc>
        <w:tc>
          <w:tcPr/>
          <w:p>
            <w:pPr>
              <w:pStyle w:val="Compact"/>
              <w:jc w:val="center"/>
            </w:pPr>
            <m:oMath>
              <m:r>
                <m:t>0.056</m:t>
              </m:r>
              <m:r>
                <m:rPr>
                  <m:sty m:val="p"/>
                </m:rPr>
                <m:t>±</m:t>
              </m:r>
              <m:r>
                <m:t>0.002</m:t>
              </m:r>
            </m:oMath>
          </w:p>
        </w:tc>
        <w:tc>
          <w:tcPr/>
          <w:p>
            <w:pPr>
              <w:pStyle w:val="Compact"/>
              <w:jc w:val="center"/>
            </w:pPr>
            <m:oMath>
              <m:r>
                <m:t>0.417</m:t>
              </m:r>
              <m:r>
                <m:rPr>
                  <m:sty m:val="p"/>
                </m:rPr>
                <m:t>±</m:t>
              </m:r>
              <m:r>
                <m:t>0.020</m:t>
              </m:r>
            </m:oMath>
          </w:p>
        </w:tc>
        <w:tc>
          <w:tcPr/>
          <w:p>
            <w:pPr>
              <w:pStyle w:val="Compact"/>
              <w:jc w:val="center"/>
            </w:pPr>
            <m:oMath>
              <m:r>
                <m:t>0.284</m:t>
              </m:r>
              <m:r>
                <m:rPr>
                  <m:sty m:val="p"/>
                </m:rPr>
                <m:t>±</m:t>
              </m:r>
              <m:r>
                <m:t>0.015</m:t>
              </m:r>
            </m:oMath>
          </w:p>
        </w:tc>
        <w:tc>
          <w:tcPr/>
          <w:p>
            <w:pPr>
              <w:pStyle w:val="Compact"/>
            </w:pPr>
          </w:p>
        </w:tc>
      </w:tr>
      <w:tr>
        <w:tc>
          <w:tcPr/>
          <w:p>
            <w:pPr>
              <w:pStyle w:val="Compact"/>
              <w:jc w:val="left"/>
            </w:pPr>
            <w:r>
              <w:t xml:space="preserve">2,000</w:t>
            </w:r>
          </w:p>
        </w:tc>
        <w:tc>
          <w:tcPr/>
          <w:p>
            <w:pPr>
              <w:pStyle w:val="Compact"/>
              <w:jc w:val="center"/>
            </w:pPr>
            <m:oMath>
              <m:r>
                <m:t>0.056</m:t>
              </m:r>
              <m:r>
                <m:rPr>
                  <m:sty m:val="p"/>
                </m:rPr>
                <m:t>±</m:t>
              </m:r>
              <m:r>
                <m:t>0.001</m:t>
              </m:r>
            </m:oMath>
          </w:p>
        </w:tc>
        <w:tc>
          <w:tcPr/>
          <w:p>
            <w:pPr>
              <w:pStyle w:val="Compact"/>
              <w:jc w:val="center"/>
            </w:pPr>
            <m:oMath>
              <m:r>
                <m:t>0.384</m:t>
              </m:r>
              <m:r>
                <m:rPr>
                  <m:sty m:val="p"/>
                </m:rPr>
                <m:t>±</m:t>
              </m:r>
              <m:r>
                <m:t>0.015</m:t>
              </m:r>
            </m:oMath>
          </w:p>
        </w:tc>
        <w:tc>
          <w:tcPr/>
          <w:p>
            <w:pPr>
              <w:pStyle w:val="Compact"/>
              <w:jc w:val="center"/>
            </w:pPr>
            <m:oMath>
              <m:r>
                <m:t>0.245</m:t>
              </m:r>
              <m:r>
                <m:rPr>
                  <m:sty m:val="p"/>
                </m:rPr>
                <m:t>±</m:t>
              </m:r>
              <m:r>
                <m:t>0.010</m:t>
              </m:r>
            </m:oMath>
          </w:p>
        </w:tc>
        <w:tc>
          <w:tcPr/>
          <w:p>
            <w:pPr>
              <w:pStyle w:val="Compact"/>
            </w:pPr>
          </w:p>
        </w:tc>
      </w:tr>
      <w:tr>
        <w:tc>
          <w:tcPr/>
          <w:p>
            <w:pPr>
              <w:pStyle w:val="Compact"/>
              <w:jc w:val="left"/>
            </w:pPr>
            <w:r>
              <w:t xml:space="preserve">5,000</w:t>
            </w:r>
          </w:p>
        </w:tc>
        <w:tc>
          <w:tcPr/>
          <w:p>
            <w:pPr>
              <w:pStyle w:val="Compact"/>
              <w:jc w:val="center"/>
            </w:pPr>
            <m:oMath>
              <m:r>
                <m:t>0.056</m:t>
              </m:r>
              <m:r>
                <m:rPr>
                  <m:sty m:val="p"/>
                </m:rPr>
                <m:t>±</m:t>
              </m:r>
              <m:r>
                <m:t>0.001</m:t>
              </m:r>
            </m:oMath>
          </w:p>
        </w:tc>
        <w:tc>
          <w:tcPr/>
          <w:p>
            <w:pPr>
              <w:pStyle w:val="Compact"/>
              <w:jc w:val="center"/>
            </w:pPr>
            <m:oMath>
              <m:r>
                <m:t>0.358</m:t>
              </m:r>
              <m:r>
                <m:rPr>
                  <m:sty m:val="p"/>
                </m:rPr>
                <m:t>±</m:t>
              </m:r>
              <m:r>
                <m:t>0.009</m:t>
              </m:r>
            </m:oMath>
          </w:p>
        </w:tc>
        <w:tc>
          <w:tcPr/>
          <w:p>
            <w:pPr>
              <w:pStyle w:val="Compact"/>
              <w:jc w:val="center"/>
            </w:pPr>
            <m:oMath>
              <m:r>
                <m:t>0.213</m:t>
              </m:r>
              <m:r>
                <m:rPr>
                  <m:sty m:val="p"/>
                </m:rPr>
                <m:t>±</m:t>
              </m:r>
              <m:r>
                <m:t>0.007</m:t>
              </m:r>
            </m:oMath>
          </w:p>
        </w:tc>
        <w:tc>
          <w:tcPr/>
          <w:p>
            <w:pPr>
              <w:pStyle w:val="Compact"/>
            </w:pPr>
          </w:p>
        </w:tc>
      </w:tr>
      <w:tr>
        <w:tc>
          <w:tcPr/>
          <w:p>
            <w:pPr>
              <w:pStyle w:val="Compact"/>
              <w:jc w:val="left"/>
            </w:pPr>
            <w:r>
              <w:t xml:space="preserve">10,000</w:t>
            </w:r>
          </w:p>
        </w:tc>
        <w:tc>
          <w:tcPr/>
          <w:p>
            <w:pPr>
              <w:pStyle w:val="Compact"/>
              <w:jc w:val="center"/>
            </w:pPr>
            <m:oMath>
              <m:r>
                <m:t>0.056</m:t>
              </m:r>
              <m:r>
                <m:rPr>
                  <m:sty m:val="p"/>
                </m:rPr>
                <m:t>±</m:t>
              </m:r>
              <m:r>
                <m:t>0.001</m:t>
              </m:r>
            </m:oMath>
          </w:p>
        </w:tc>
        <w:tc>
          <w:tcPr/>
          <w:p>
            <w:pPr>
              <w:pStyle w:val="Compact"/>
              <w:jc w:val="center"/>
            </w:pPr>
            <m:oMath>
              <m:r>
                <m:t>0.350</m:t>
              </m:r>
              <m:r>
                <m:rPr>
                  <m:sty m:val="p"/>
                </m:rPr>
                <m:t>±</m:t>
              </m:r>
              <m:r>
                <m:t>0.006</m:t>
              </m:r>
            </m:oMath>
          </w:p>
        </w:tc>
        <w:tc>
          <w:tcPr/>
          <w:p>
            <w:pPr>
              <w:pStyle w:val="Compact"/>
              <w:jc w:val="center"/>
            </w:pPr>
            <m:oMath>
              <m:r>
                <m:t>0.201</m:t>
              </m:r>
              <m:r>
                <m:rPr>
                  <m:sty m:val="p"/>
                </m:rPr>
                <m:t>±</m:t>
              </m:r>
              <m:r>
                <m:t>0.004</m:t>
              </m:r>
            </m:oMath>
          </w:p>
        </w:tc>
        <w:tc>
          <w:tcPr/>
          <w:p>
            <w:pPr>
              <w:pStyle w:val="Compact"/>
            </w:pPr>
          </w:p>
        </w:tc>
      </w:tr>
      <w:tr>
        <w:tc>
          <w:tcPr/>
          <w:p>
            <w:pPr>
              <w:pStyle w:val="Compact"/>
              <w:jc w:val="left"/>
            </w:pPr>
            <w:r>
              <w:t xml:space="preserve">20,000</w:t>
            </w:r>
          </w:p>
        </w:tc>
        <w:tc>
          <w:tcPr/>
          <w:p>
            <w:pPr>
              <w:pStyle w:val="Compact"/>
              <w:jc w:val="center"/>
            </w:pPr>
            <m:oMath>
              <m:r>
                <m:t>0.056</m:t>
              </m:r>
              <m:r>
                <m:rPr>
                  <m:sty m:val="p"/>
                </m:rPr>
                <m:t>±</m:t>
              </m:r>
              <m:r>
                <m:t>0.000</m:t>
              </m:r>
            </m:oMath>
          </w:p>
        </w:tc>
        <w:tc>
          <w:tcPr/>
          <w:p>
            <w:pPr>
              <w:pStyle w:val="Compact"/>
              <w:jc w:val="center"/>
            </w:pPr>
            <m:oMath>
              <m:r>
                <m:t>0.344</m:t>
              </m:r>
              <m:r>
                <m:rPr>
                  <m:sty m:val="p"/>
                </m:rPr>
                <m:t>±</m:t>
              </m:r>
              <m:r>
                <m:t>0.005</m:t>
              </m:r>
            </m:oMath>
          </w:p>
        </w:tc>
        <w:tc>
          <w:tcPr/>
          <w:p>
            <w:pPr>
              <w:pStyle w:val="Compact"/>
              <w:jc w:val="center"/>
            </w:pPr>
            <m:oMath>
              <m:r>
                <m:t>0.194</m:t>
              </m:r>
              <m:r>
                <m:rPr>
                  <m:sty m:val="p"/>
                </m:rPr>
                <m:t>±</m:t>
              </m:r>
              <m:r>
                <m:t>0.003</m:t>
              </m:r>
            </m:oMath>
          </w:p>
        </w:tc>
        <w:tc>
          <w:tcPr/>
          <w:p>
            <w:pPr>
              <w:pStyle w:val="Compact"/>
            </w:pPr>
          </w:p>
        </w:tc>
      </w:tr>
      <w:tr>
        <w:tc>
          <w:tcPr/>
          <w:p>
            <w:pPr>
              <w:pStyle w:val="Compact"/>
              <w:jc w:val="left"/>
            </w:pPr>
            <w:r>
              <w:t xml:space="preserve">50,000</w:t>
            </w:r>
          </w:p>
        </w:tc>
        <w:tc>
          <w:tcPr/>
          <w:p>
            <w:pPr>
              <w:pStyle w:val="Compact"/>
              <w:jc w:val="center"/>
            </w:pPr>
            <m:oMath>
              <m:r>
                <m:t>0.056</m:t>
              </m:r>
              <m:r>
                <m:rPr>
                  <m:sty m:val="p"/>
                </m:rPr>
                <m:t>±</m:t>
              </m:r>
              <m:r>
                <m:t>0.000</m:t>
              </m:r>
            </m:oMath>
          </w:p>
        </w:tc>
        <w:tc>
          <w:tcPr/>
          <w:p>
            <w:pPr>
              <w:pStyle w:val="Compact"/>
              <w:jc w:val="center"/>
            </w:pPr>
            <m:oMath>
              <m:r>
                <m:t>0.342</m:t>
              </m:r>
              <m:r>
                <m:rPr>
                  <m:sty m:val="p"/>
                </m:rPr>
                <m:t>±</m:t>
              </m:r>
              <m:r>
                <m:t>0.003</m:t>
              </m:r>
            </m:oMath>
          </w:p>
        </w:tc>
        <w:tc>
          <w:tcPr/>
          <w:p>
            <w:pPr>
              <w:pStyle w:val="Compact"/>
              <w:jc w:val="center"/>
            </w:pPr>
            <m:oMath>
              <m:r>
                <m:t>0.189</m:t>
              </m:r>
              <m:r>
                <m:rPr>
                  <m:sty m:val="p"/>
                </m:rPr>
                <m:t>±</m:t>
              </m:r>
              <m:r>
                <m:t>0.002</m:t>
              </m:r>
            </m:oMath>
          </w:p>
        </w:tc>
        <w:tc>
          <w:tcPr/>
          <w:p>
            <w:pPr>
              <w:pStyle w:val="Compact"/>
            </w:pPr>
          </w:p>
        </w:tc>
      </w:tr>
      <w:tr>
        <w:tc>
          <w:tcPr/>
          <w:p>
            <w:pPr>
              <w:pStyle w:val="Compact"/>
              <w:jc w:val="left"/>
            </w:pPr>
            <w:r>
              <w:t xml:space="preserve">100,000</w:t>
            </w:r>
          </w:p>
        </w:tc>
        <w:tc>
          <w:tcPr/>
          <w:p>
            <w:pPr>
              <w:pStyle w:val="Compact"/>
              <w:jc w:val="center"/>
            </w:pPr>
            <m:oMath>
              <m:r>
                <m:t>0.056</m:t>
              </m:r>
              <m:r>
                <m:rPr>
                  <m:sty m:val="p"/>
                </m:rPr>
                <m:t>±</m:t>
              </m:r>
              <m:r>
                <m:t>0.000</m:t>
              </m:r>
            </m:oMath>
          </w:p>
        </w:tc>
        <w:tc>
          <w:tcPr/>
          <w:p>
            <w:pPr>
              <w:pStyle w:val="Compact"/>
              <w:jc w:val="center"/>
            </w:pPr>
            <m:oMath>
              <m:r>
                <m:t>0.341</m:t>
              </m:r>
              <m:r>
                <m:rPr>
                  <m:sty m:val="p"/>
                </m:rPr>
                <m:t>±</m:t>
              </m:r>
              <m:r>
                <m:t>0.003</m:t>
              </m:r>
            </m:oMath>
          </w:p>
        </w:tc>
        <w:tc>
          <w:tcPr/>
          <w:p>
            <w:pPr>
              <w:pStyle w:val="Compact"/>
              <w:jc w:val="center"/>
            </w:pPr>
            <m:oMath>
              <m:r>
                <m:t>0.188</m:t>
              </m:r>
              <m:r>
                <m:rPr>
                  <m:sty m:val="p"/>
                </m:rPr>
                <m:t>±</m:t>
              </m:r>
              <m:r>
                <m:t>0.002</m:t>
              </m:r>
            </m:oMath>
          </w:p>
        </w:tc>
        <w:tc>
          <w:tcPr/>
          <w:p>
            <w:pPr>
              <w:pStyle w:val="Compact"/>
            </w:pPr>
          </w:p>
        </w:tc>
      </w:tr>
      <w:tr>
        <w:tc>
          <w:tcPr/>
          <w:p>
            <w:pPr>
              <w:pStyle w:val="Compact"/>
              <w:jc w:val="left"/>
            </w:pPr>
            <w:r>
              <w:t xml:space="preserve">200,000</w:t>
            </w:r>
          </w:p>
        </w:tc>
        <w:tc>
          <w:tcPr/>
          <w:p>
            <w:pPr>
              <w:pStyle w:val="Compact"/>
              <w:jc w:val="center"/>
            </w:pPr>
            <m:oMath>
              <m:r>
                <m:t>0.056</m:t>
              </m:r>
              <m:r>
                <m:rPr>
                  <m:sty m:val="p"/>
                </m:rPr>
                <m:t>±</m:t>
              </m:r>
              <m:r>
                <m:t>0.000</m:t>
              </m:r>
            </m:oMath>
          </w:p>
        </w:tc>
        <w:tc>
          <w:tcPr/>
          <w:p>
            <w:pPr>
              <w:pStyle w:val="Compact"/>
              <w:jc w:val="center"/>
            </w:pPr>
            <m:oMath>
              <m:r>
                <m:t>0.340</m:t>
              </m:r>
              <m:r>
                <m:rPr>
                  <m:sty m:val="p"/>
                </m:rPr>
                <m:t>±</m:t>
              </m:r>
              <m:r>
                <m:t>0.002</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500,000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0.001</m:t>
              </m:r>
            </m:oMath>
          </w:p>
        </w:tc>
        <w:tc>
          <w:tcPr/>
          <w:p>
            <w:pPr>
              <w:pStyle w:val="Compact"/>
            </w:pPr>
          </w:p>
        </w:tc>
      </w:tr>
      <w:tr>
        <w:tc>
          <w:tcPr/>
          <w:p>
            <w:pPr>
              <w:pStyle w:val="Compact"/>
              <w:jc w:val="left"/>
            </w:pPr>
            <w:r>
              <w:t xml:space="preserve">1,000,000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0.001</m:t>
              </m:r>
            </m:oMath>
          </w:p>
        </w:tc>
        <w:tc>
          <w:tcPr/>
          <w:p>
            <w:pPr>
              <w:pStyle w:val="Compact"/>
              <w:jc w:val="center"/>
            </w:pPr>
            <m:oMath>
              <m:r>
                <m:t>0.187</m:t>
              </m:r>
              <m:r>
                <m:rPr>
                  <m:sty m:val="p"/>
                </m:rPr>
                <m:t>±</m:t>
              </m:r>
              <m:r>
                <m:t>0.000</m:t>
              </m:r>
            </m:oMath>
          </w:p>
        </w:tc>
        <w:tc>
          <w:tcPr/>
          <w:p>
            <w:pPr>
              <w:pStyle w:val="Compact"/>
            </w:pPr>
          </w:p>
        </w:tc>
      </w:tr>
      <w:tr>
        <w:tc>
          <w:tcPr/>
          <w:p>
            <w:pPr>
              <w:pStyle w:val="Compact"/>
              <w:jc w:val="left"/>
            </w:pPr>
            <w:r>
              <w:t xml:space="preserve">2,000,000</w:t>
            </w:r>
          </w:p>
        </w:tc>
        <w:tc>
          <w:tcPr/>
          <w:p>
            <w:pPr>
              <w:pStyle w:val="Compact"/>
              <w:jc w:val="center"/>
            </w:pPr>
            <m:oMath>
              <m:r>
                <m:t>0.056</m:t>
              </m:r>
              <m:r>
                <m:rPr>
                  <m:sty m:val="p"/>
                </m:rPr>
                <m:t>±</m:t>
              </m:r>
              <m:r>
                <m:t>0.000</m:t>
              </m:r>
            </m:oMath>
          </w:p>
        </w:tc>
        <w:tc>
          <w:tcPr/>
          <w:p>
            <w:pPr>
              <w:pStyle w:val="Compact"/>
              <w:jc w:val="center"/>
            </w:pPr>
            <m:oMath>
              <m:r>
                <m:t>0.340</m:t>
              </m:r>
              <m:r>
                <m:rPr>
                  <m:sty m:val="p"/>
                </m:rPr>
                <m:t>±</m:t>
              </m:r>
              <m:r>
                <m:t>0.000</m:t>
              </m:r>
            </m:oMath>
          </w:p>
        </w:tc>
        <w:tc>
          <w:tcPr/>
          <w:p>
            <w:pPr>
              <w:pStyle w:val="Compact"/>
              <w:jc w:val="center"/>
            </w:pPr>
            <m:oMath>
              <m:r>
                <m:t>0.186</m:t>
              </m:r>
              <m:r>
                <m:rPr>
                  <m:sty m:val="p"/>
                </m:rPr>
                <m:t>±</m:t>
              </m:r>
              <m:r>
                <m:t>0.000</m:t>
              </m:r>
            </m:oMath>
          </w:p>
        </w:tc>
        <w:tc>
          <w:tcPr/>
          <w:p>
            <w:pPr>
              <w:pStyle w:val="Compact"/>
            </w:pPr>
          </w:p>
        </w:tc>
      </w:tr>
      <w:tr>
        <w:tc>
          <w:tcPr/>
          <w:p>
            <w:pPr>
              <w:pStyle w:val="Compact"/>
              <w:jc w:val="left"/>
            </w:pPr>
            <w:r>
              <w:t xml:space="preserve">Full corpus</w:t>
            </w:r>
          </w:p>
        </w:tc>
        <w:tc>
          <w:tcPr/>
          <w:p>
            <w:pPr>
              <w:pStyle w:val="Compact"/>
              <w:jc w:val="center"/>
            </w:pPr>
            <m:oMath>
              <m:r>
                <m:t>0.056</m:t>
              </m:r>
            </m:oMath>
          </w:p>
        </w:tc>
        <w:tc>
          <w:tcPr/>
          <w:p>
            <w:pPr>
              <w:pStyle w:val="Compact"/>
              <w:jc w:val="center"/>
            </w:pPr>
            <m:oMath>
              <m:r>
                <m:t>0.340</m:t>
              </m:r>
            </m:oMath>
          </w:p>
        </w:tc>
        <w:tc>
          <w:tcPr/>
          <w:p>
            <w:pPr>
              <w:pStyle w:val="Compact"/>
              <w:jc w:val="center"/>
            </w:pPr>
            <m:oMath>
              <m:r>
                <m:t>0.187</m:t>
              </m:r>
            </m:oMath>
          </w:p>
        </w:tc>
        <w:tc>
          <w:tcPr/>
          <w:p>
            <w:pPr>
              <w:pStyle w:val="Compact"/>
            </w:pPr>
          </w:p>
        </w:tc>
      </w:tr>
    </w:tbl>
    <w:bookmarkEnd w:id="102"/>
    <w:p>
      <w:pPr>
        <w:pStyle w:val="BodyText"/>
      </w:pPr>
      <w:r>
        <w:rPr>
          <w:iCs/>
          <w:i/>
        </w:rPr>
        <w:t xml:space="preserve">Notes:</w:t>
      </w:r>
      <w:r>
        <w:t xml:space="preserve"> </w:t>
      </w:r>
      <w:r>
        <w:t xml:space="preserve">Coverage gap is the unweighted mean absolute deviation of the research SDG coverage shares from the fixed policy SDG coverage shares. The semantic-gap columns report the mean and draw-to-draw standard deviation of the within-SDG semantic gap on the raw and register-adjusted embeddings; the full-corpus row is deterministic and therefore has no dispersion term.</w:t>
      </w:r>
    </w:p>
    <w:p>
      <w:pPr>
        <w:pStyle w:val="BodyText"/>
      </w:pPr>
      <w:r>
        <w:rPr>
          <w:iCs/>
          <w:i/>
        </w:rPr>
        <w:t xml:space="preserve">Plain-language guide.</w:t>
      </w:r>
      <w:r>
        <w:t xml:space="preserve"> </w:t>
      </w:r>
      <w:r>
        <w:t xml:space="preserve">The stability ladder tracks three metrics: (1) coverage gap, how far the research SDG coverage shares sit from the fixed policy SDG coverage shares; (2) semantic gap (raw), how different research and policy language are within the same SDG before register removal; (3) semantic gap (adjusted), the same gap after the register direction is projected out, isolating topic. The coverage gap is stable at</w:t>
      </w:r>
      <w:r>
        <w:t xml:space="preserve"> </w:t>
      </w:r>
      <m:oMath>
        <m:r>
          <m:rPr>
            <m:sty m:val="p"/>
          </m:rPr>
          <m:t>∼</m:t>
        </m:r>
      </m:oMath>
      <w:r>
        <w:t xml:space="preserve">0.056 across every sampled tier. Both the raw semantic gap and the register-adjusted semantic gap stabilise to within 0.001 of their full-corpus values (raw</w:t>
      </w:r>
      <w:r>
        <w:t xml:space="preserve"> </w:t>
      </w:r>
      <m:oMath>
        <m:r>
          <m:rPr>
            <m:sty m:val="p"/>
          </m:rPr>
          <m:t>∼</m:t>
        </m:r>
      </m:oMath>
      <w:r>
        <w:t xml:space="preserve">0.340; adjusted</w:t>
      </w:r>
      <w:r>
        <w:t xml:space="preserve"> </w:t>
      </w:r>
      <m:oMath>
        <m:r>
          <m:rPr>
            <m:sty m:val="p"/>
          </m:rPr>
          <m:t>∼</m:t>
        </m:r>
      </m:oMath>
      <w:r>
        <w:t xml:space="preserve">0.187) by roughly 200</w:t>
      </w:r>
      <w:r>
        <w:t xml:space="preserve">,</w:t>
      </w:r>
      <w:r>
        <w:t xml:space="preserve">000 papers (raw</w:t>
      </w:r>
      <w:r>
        <w:t xml:space="preserve"> </w:t>
      </w:r>
      <m:oMath>
        <m:r>
          <m:rPr>
            <m:sty m:val="p"/>
          </m:rPr>
          <m:t>∼</m:t>
        </m:r>
      </m:oMath>
      <w:r>
        <w:t xml:space="preserve">0.340; adjusted</w:t>
      </w:r>
      <w:r>
        <w:t xml:space="preserve"> </w:t>
      </w:r>
      <m:oMath>
        <m:r>
          <m:rPr>
            <m:sty m:val="p"/>
          </m:rPr>
          <m:t>∼</m:t>
        </m:r>
      </m:oMath>
      <w:r>
        <w:t xml:space="preserve">0.187). From 500</w:t>
      </w:r>
      <w:r>
        <w:t xml:space="preserve">,</w:t>
      </w:r>
      <w:r>
        <w:t xml:space="preserve">000 papers upward, draw-to-draw dispersion is negligible. The full 3</w:t>
      </w:r>
      <w:r>
        <w:t xml:space="preserve">,</w:t>
      </w:r>
      <w:r>
        <w:t xml:space="preserve">105</w:t>
      </w:r>
      <w:r>
        <w:t xml:space="preserve">,</w:t>
      </w:r>
      <w:r>
        <w:t xml:space="preserve">144-segment result is retained as the primary estimate because it uses all available data, yields the tightest values, and enables per-SDG subgroup detail and rank-order precision that the plateau minimum does not guarantee; the substantive conclusions are not artefacts of sample size choice.</w:t>
      </w:r>
    </w:p>
    <w:p>
      <w:pPr>
        <w:pStyle w:val="BodyText"/>
      </w:pPr>
      <w:r>
        <w:rPr>
          <w:bCs/>
          <w:b/>
        </w:rPr>
        <w:t xml:space="preserve">Balanced-subset rank stability:</w:t>
      </w:r>
      <w:bookmarkStart w:id="103" w:name="app:balanced-subset-stability"/>
      <w:bookmarkEnd w:id="103"/>
      <w:r>
        <w:t xml:space="preserve"> </w:t>
      </w:r>
      <w:r>
        <w:t xml:space="preserve">The ladder holds the policy side fixed while the research side grows, so the two sides are never size-matched within a tier. Because research (2</w:t>
      </w:r>
      <w:r>
        <w:t xml:space="preserve">,</w:t>
      </w:r>
      <w:r>
        <w:t xml:space="preserve">536</w:t>
      </w:r>
      <w:r>
        <w:t xml:space="preserve">,</w:t>
      </w:r>
      <w:r>
        <w:t xml:space="preserve">771 abstracts) outweighs policy (6</w:t>
      </w:r>
      <w:r>
        <w:t xml:space="preserve">,</w:t>
      </w:r>
      <w:r>
        <w:t xml:space="preserve">367 documents) by about 398:1, this study also tested whether the within-SDG semantic-gap</w:t>
      </w:r>
      <w:r>
        <w:t xml:space="preserve"> </w:t>
      </w:r>
      <w:r>
        <w:rPr>
          <w:iCs/>
          <w:i/>
        </w:rPr>
        <w:t xml:space="preserve">ranking</w:t>
      </w:r>
      <w:r>
        <w:t xml:space="preserve"> </w:t>
      </w:r>
      <w:r>
        <w:t xml:space="preserve">survives when the research side is subsampled to a size comparable to the policy corpus. Across 100 independent draws at the 50</w:t>
      </w:r>
      <w:r>
        <w:t xml:space="preserve">,</w:t>
      </w:r>
      <w:r>
        <w:t xml:space="preserve">000-paper tier, the gap ranking reproduces the full-corpus ordering at Spearman</w:t>
      </w:r>
      <w:r>
        <w:t xml:space="preserve"> </w:t>
      </w:r>
      <m:oMath>
        <m:r>
          <m:t>ρ</m:t>
        </m:r>
        <m:r>
          <m:rPr>
            <m:sty m:val="p"/>
          </m:rPr>
          <m:t>=</m:t>
        </m:r>
        <m:r>
          <m:t>0.986</m:t>
        </m:r>
        <m:r>
          <m:t>​</m:t>
        </m:r>
      </m:oMath>
      <w:r>
        <w:t xml:space="preserve"> </w:t>
      </w:r>
      <w:r>
        <w:t xml:space="preserve">(SD 0.009), already</w:t>
      </w:r>
      <w:r>
        <w:t xml:space="preserve"> </w:t>
      </w:r>
      <m:oMath>
        <m:r>
          <m:t>ρ</m:t>
        </m:r>
        <m:r>
          <m:rPr>
            <m:sty m:val="p"/>
          </m:rPr>
          <m:t>=</m:t>
        </m:r>
        <m:r>
          <m:t>0.936</m:t>
        </m:r>
        <m:r>
          <m:t>​</m:t>
        </m:r>
      </m:oMath>
      <w:r>
        <w:t xml:space="preserve"> </w:t>
      </w:r>
      <w:r>
        <w:t xml:space="preserve">at 10</w:t>
      </w:r>
      <w:r>
        <w:t xml:space="preserve">,</w:t>
      </w:r>
      <w:r>
        <w:t xml:space="preserve">000 papers and</w:t>
      </w:r>
      <w:r>
        <w:t xml:space="preserve"> </w:t>
      </w:r>
      <m:oMath>
        <m:r>
          <m:t>ρ</m:t>
        </m:r>
        <m:r>
          <m:rPr>
            <m:sty m:val="p"/>
          </m:rPr>
          <m:t>=</m:t>
        </m:r>
        <m:r>
          <m:t>0.990</m:t>
        </m:r>
        <m:r>
          <m:t>​</m:t>
        </m:r>
      </m:oMath>
      <w:r>
        <w:t xml:space="preserve"> </w:t>
      </w:r>
      <w:r>
        <w:t xml:space="preserve">at 100</w:t>
      </w:r>
      <w:r>
        <w:t xml:space="preserve">,</w:t>
      </w:r>
      <w:r>
        <w:t xml:space="preserve">000 papers, converging to</w:t>
      </w:r>
      <w:r>
        <w:t xml:space="preserve"> </w:t>
      </w:r>
      <m:oMath>
        <m:r>
          <m:t>ρ</m:t>
        </m:r>
        <m:r>
          <m:rPr>
            <m:sty m:val="p"/>
          </m:rPr>
          <m:t>=</m:t>
        </m:r>
        <m:r>
          <m:t>1.000</m:t>
        </m:r>
        <m:r>
          <m:t>​</m:t>
        </m:r>
      </m:oMath>
      <w:r>
        <w:t xml:space="preserve"> </w:t>
      </w:r>
      <w:r>
        <w:t xml:space="preserve">at the full corpus.</w:t>
      </w:r>
    </w:p>
    <w:bookmarkEnd w:id="104"/>
    <w:bookmarkStart w:id="106" w:name="app:model-selection"/>
    <w:p>
      <w:pPr>
        <w:pStyle w:val="Heading1"/>
      </w:pPr>
      <w:r>
        <w:t xml:space="preserve">Model Selection: Grid Search Protocol and Rationale</w:t>
      </w:r>
    </w:p>
    <w:p>
      <w:pPr>
        <w:pStyle w:val="FirstParagraph"/>
      </w:pPr>
      <w:r>
        <w:t xml:space="preserve">This appendix supplies the commentary on the MLP robustness and zero-shot</w:t>
      </w:r>
      <w:r>
        <w:t xml:space="preserve"> </w:t>
      </w:r>
      <w:r>
        <w:t xml:space="preserve">nearest-centroid results reported without interpretation in</w:t>
      </w:r>
      <w:r>
        <w:t xml:space="preserve"> </w:t>
      </w:r>
      <w:r>
        <w:t xml:space="preserve">Section </w:t>
      </w:r>
      <w:hyperlink w:anchor="sec:robustness">
        <w:r>
          <w:rPr>
            <w:rStyle w:val="Hyperlink"/>
          </w:rPr>
          <w:t xml:space="preserve">4.5</w:t>
        </w:r>
      </w:hyperlink>
      <w:r>
        <w:t xml:space="preserve"> </w:t>
      </w:r>
      <w:r>
        <w:t xml:space="preserve">(and the held-out test results of</w:t>
      </w:r>
      <w:r>
        <w:t xml:space="preserve"> </w:t>
      </w:r>
      <w:r>
        <w:t xml:space="preserve">Section </w:t>
      </w:r>
      <w:hyperlink w:anchor="sec:validation">
        <w:r>
          <w:rPr>
            <w:rStyle w:val="Hyperlink"/>
          </w:rPr>
          <w:t xml:space="preserve">4.1</w:t>
        </w:r>
      </w:hyperlink>
      <w:r>
        <w:t xml:space="preserve">), and reproduces the full 32-candidate ranking</w:t>
      </w:r>
      <w:r>
        <w:t xml:space="preserve"> </w:t>
      </w:r>
      <w:r>
        <w:t xml:space="preserve">behind the champion selection.</w:t>
      </w:r>
    </w:p>
    <w:p>
      <w:pPr>
        <w:pStyle w:val="BodyText"/>
      </w:pPr>
      <w:r>
        <w:t xml:space="preserve">The MLP test macro-F1 (0.826) is a single held-out evaluation of the</w:t>
      </w:r>
      <w:r>
        <w:t xml:space="preserve"> </w:t>
      </w:r>
      <w:r>
        <w:t xml:space="preserve">champion MLP retrained on the full training pool (n=52</w:t>
      </w:r>
      <w:r>
        <w:t xml:space="preserve">,</w:t>
      </w:r>
      <w:r>
        <w:t xml:space="preserve">835), distinct</w:t>
      </w:r>
      <w:r>
        <w:t xml:space="preserve"> </w:t>
      </w:r>
      <w:r>
        <w:t xml:space="preserve">from the 5-fold CV mean of 0.8192 </w:t>
      </w:r>
      <m:oMath>
        <m:r>
          <m:rPr>
            <m:sty m:val="p"/>
          </m:rPr>
          <m:t>±</m:t>
        </m:r>
      </m:oMath>
      <w:r>
        <w:t xml:space="preserve"> 0.0032 in</w:t>
      </w:r>
      <w:r>
        <w:t xml:space="preserve"> </w:t>
      </w:r>
      <w:r>
        <w:t xml:space="preserve">Section </w:t>
      </w:r>
      <w:hyperlink w:anchor="sec:validation">
        <w:r>
          <w:rPr>
            <w:rStyle w:val="Hyperlink"/>
          </w:rPr>
          <w:t xml:space="preserve">4.1</w:t>
        </w:r>
      </w:hyperlink>
      <w:r>
        <w:t xml:space="preserve">.</w:t>
      </w:r>
    </w:p>
    <w:p>
      <w:pPr>
        <w:pStyle w:val="BodyText"/>
      </w:pPr>
      <w:r>
        <w:t xml:space="preserve">Held-out test performance quantifies the cost of each simplification. The</w:t>
      </w:r>
      <w:r>
        <w:t xml:space="preserve"> </w:t>
      </w:r>
      <w:r>
        <w:t xml:space="preserve">champion MLP reaches macro-F1 0.826 and micro-F1 0.8396, only</w:t>
      </w:r>
      <w:r>
        <w:t xml:space="preserve"> </w:t>
      </w:r>
      <w:r>
        <w:t xml:space="preserve"> 1.0 and  0.9 points above LR (0.816 / 0.831) with a near-identical per-SDG</w:t>
      </w:r>
      <w:r>
        <w:t xml:space="preserve"> </w:t>
      </w:r>
      <w:r>
        <w:t xml:space="preserve">ordering (Spearman</w:t>
      </w:r>
      <w:r>
        <w:t xml:space="preserve"> </w:t>
      </w:r>
      <m:oMath>
        <m:r>
          <m:t>ρ</m:t>
        </m:r>
        <m:r>
          <m:rPr>
            <m:sty m:val="p"/>
          </m:rPr>
          <m:t>=</m:t>
        </m:r>
        <m:r>
          <m:t>0.980</m:t>
        </m:r>
      </m:oMath>
      <w:r>
        <w:t xml:space="preserve">), so its extra capacity yields negligible</w:t>
      </w:r>
      <w:r>
        <w:t xml:space="preserve"> </w:t>
      </w:r>
      <w:r>
        <w:t xml:space="preserve">accuracy and the interpretability-first choice of LR is justified. The zero-shot</w:t>
      </w:r>
      <w:r>
        <w:t xml:space="preserve"> </w:t>
      </w:r>
      <w:r>
        <w:t xml:space="preserve">nearest-centroid baseline is weaker – macro-F1 0.760 and micro-F1</w:t>
      </w:r>
      <w:r>
        <w:t xml:space="preserve"> </w:t>
      </w:r>
      <w:r>
        <w:t xml:space="preserve">0.7743,  5.6 points below LR – because it has no trained decision</w:t>
      </w:r>
      <w:r>
        <w:t xml:space="preserve"> </w:t>
      </w:r>
      <w:r>
        <w:t xml:space="preserve">boundary, only the unweighted mean of reference embeddings, and the penalty is</w:t>
      </w:r>
      <w:r>
        <w:t xml:space="preserve"> </w:t>
      </w:r>
      <w:r>
        <w:t xml:space="preserve">concentrated on the goals hardest to separate for all methods (SDG 10: 0.485 vs</w:t>
      </w:r>
      <w:r>
        <w:t xml:space="preserve"> </w:t>
      </w:r>
      <w:r>
        <w:t xml:space="preserve">0.610; SDG 17: 0.671). ZS still recovers the same ranking (</w:t>
      </w:r>
      <m:oMath>
        <m:r>
          <m:t>ρ</m:t>
        </m:r>
        <m:r>
          <m:rPr>
            <m:sty m:val="p"/>
          </m:rPr>
          <m:t>=</m:t>
        </m:r>
        <m:r>
          <m:t>0.930</m:t>
        </m:r>
      </m:oMath>
      <w:r>
        <w:t xml:space="preserve"> </w:t>
      </w:r>
      <w:r>
        <w:t xml:space="preserve">vs LR) and far exceeds the 1/17 random baseline, so it remains a usable</w:t>
      </w:r>
      <w:r>
        <w:t xml:space="preserve"> </w:t>
      </w:r>
      <w:r>
        <w:t xml:space="preserve">unsupervised sanity check rather than a competitive classifier.</w:t>
      </w:r>
    </w:p>
    <w:bookmarkStart w:id="105" w:name="tab:model-selection-appendix"/>
    <w:p>
      <w:pPr>
        <w:pStyle w:val="TableCaption"/>
      </w:pPr>
      <w:r>
        <w:t xml:space="preserve">Model selection ranking (full): 5-fold GroupKFold cross-validated macro-F1 across all 32 candidates (16 MLP + 16 LR).</w:t>
      </w:r>
    </w:p>
    <w:tbl>
      <w:tblPr>
        <w:tblStyle w:val="Table"/>
        <w:tblW w:type="auto" w:w="0"/>
        <w:tblLook w:firstRow="1" w:lastRow="0" w:firstColumn="0" w:lastColumn="0" w:noHBand="0" w:noVBand="0" w:val="0020"/>
        <w:jc w:val="start"/>
        <w:tblCaption w:val="Model selection ranking (full): 5-fold GroupKFold cross-validated macro-F1 across all 32 candidates (16 MLP + 16 LR)."/>
      </w:tblPr>
      <w:tblGrid>
        <w:gridCol w:w="2640"/>
        <w:gridCol w:w="2640"/>
        <w:gridCol w:w="2640"/>
      </w:tblGrid>
      <w:tr>
        <w:trPr>
          <w:tblHeader w:val="true"/>
        </w:trPr>
        <w:tc>
          <w:tcPr/>
          <w:p>
            <w:pPr>
              <w:pStyle w:val="Compact"/>
              <w:jc w:val="left"/>
            </w:pPr>
            <w:r>
              <w:t xml:space="preserve">Rank</w:t>
            </w:r>
          </w:p>
        </w:tc>
        <w:tc>
          <w:tcPr/>
          <w:p>
            <w:pPr>
              <w:pStyle w:val="Compact"/>
              <w:jc w:val="center"/>
            </w:pPr>
            <w:r>
              <w:t xml:space="preserve">Config</w:t>
            </w:r>
          </w:p>
        </w:tc>
        <w:tc>
          <w:tcPr/>
          <w:p>
            <w:pPr>
              <w:pStyle w:val="Compact"/>
              <w:jc w:val="center"/>
            </w:pPr>
            <w:r>
              <w:t xml:space="preserve">CV macro-F1</w:t>
            </w:r>
          </w:p>
        </w:tc>
      </w:tr>
      <w:tr>
        <w:tc>
          <w:tcPr/>
          <w:p>
            <w:pPr>
              <w:pStyle w:val="Compact"/>
              <w:jc w:val="left"/>
            </w:pPr>
            <w:r>
              <w:t xml:space="preserve">1</w:t>
            </w:r>
          </w:p>
        </w:tc>
        <w:tc>
          <w:tcPr/>
          <w:p>
            <w:pPr>
              <w:pStyle w:val="Compact"/>
              <w:jc w:val="center"/>
            </w:pPr>
            <w:r>
              <w:t xml:space="preserve">MLP 3L/256h, lr=0.0003 (best)</w:t>
            </w:r>
          </w:p>
        </w:tc>
        <w:tc>
          <w:tcPr/>
          <w:p>
            <w:pPr>
              <w:pStyle w:val="Compact"/>
              <w:jc w:val="center"/>
            </w:pPr>
            <w:r>
              <w:t xml:space="preserve">0.8192</w:t>
            </w:r>
            <w:r>
              <w:t xml:space="preserve"> </w:t>
            </w:r>
            <m:oMath>
              <m:r>
                <m:rPr>
                  <m:sty m:val="p"/>
                </m:rPr>
                <m:t>±</m:t>
              </m:r>
            </m:oMath>
            <w:r>
              <w:t xml:space="preserve"> </w:t>
            </w:r>
            <w:r>
              <w:t xml:space="preserve">0.0032</w:t>
            </w:r>
          </w:p>
        </w:tc>
      </w:tr>
      <w:tr>
        <w:tc>
          <w:tcPr/>
          <w:p>
            <w:pPr>
              <w:pStyle w:val="Compact"/>
              <w:jc w:val="left"/>
            </w:pPr>
            <w:r>
              <w:t xml:space="preserve">2</w:t>
            </w:r>
          </w:p>
        </w:tc>
        <w:tc>
          <w:tcPr/>
          <w:p>
            <w:pPr>
              <w:pStyle w:val="Compact"/>
              <w:jc w:val="center"/>
            </w:pPr>
            <w:r>
              <w:t xml:space="preserve">MLP 2L/256h, lr=0.0003</w:t>
            </w:r>
          </w:p>
        </w:tc>
        <w:tc>
          <w:tcPr/>
          <w:p>
            <w:pPr>
              <w:pStyle w:val="Compact"/>
              <w:jc w:val="center"/>
            </w:pPr>
            <w:r>
              <w:t xml:space="preserve">0.8184</w:t>
            </w:r>
            <w:r>
              <w:t xml:space="preserve"> </w:t>
            </w:r>
            <m:oMath>
              <m:r>
                <m:rPr>
                  <m:sty m:val="p"/>
                </m:rPr>
                <m:t>±</m:t>
              </m:r>
            </m:oMath>
            <w:r>
              <w:t xml:space="preserve"> </w:t>
            </w:r>
            <w:r>
              <w:t xml:space="preserve">0.0030</w:t>
            </w:r>
          </w:p>
        </w:tc>
      </w:tr>
      <w:tr>
        <w:tc>
          <w:tcPr/>
          <w:p>
            <w:pPr>
              <w:pStyle w:val="Compact"/>
              <w:jc w:val="left"/>
            </w:pPr>
            <w:r>
              <w:t xml:space="preserve">3</w:t>
            </w:r>
          </w:p>
        </w:tc>
        <w:tc>
          <w:tcPr/>
          <w:p>
            <w:pPr>
              <w:pStyle w:val="Compact"/>
              <w:jc w:val="center"/>
            </w:pPr>
            <w:r>
              <w:t xml:space="preserve">MLP 6L/384h, lr=0.0003</w:t>
            </w:r>
          </w:p>
        </w:tc>
        <w:tc>
          <w:tcPr/>
          <w:p>
            <w:pPr>
              <w:pStyle w:val="Compact"/>
              <w:jc w:val="center"/>
            </w:pPr>
            <w:r>
              <w:t xml:space="preserve">0.8183</w:t>
            </w:r>
            <w:r>
              <w:t xml:space="preserve"> </w:t>
            </w:r>
            <m:oMath>
              <m:r>
                <m:rPr>
                  <m:sty m:val="p"/>
                </m:rPr>
                <m:t>±</m:t>
              </m:r>
            </m:oMath>
            <w:r>
              <w:t xml:space="preserve"> </w:t>
            </w:r>
            <w:r>
              <w:t xml:space="preserve">0.0023</w:t>
            </w:r>
          </w:p>
        </w:tc>
      </w:tr>
      <w:tr>
        <w:tc>
          <w:tcPr/>
          <w:p>
            <w:pPr>
              <w:pStyle w:val="Compact"/>
              <w:jc w:val="left"/>
            </w:pPr>
            <w:r>
              <w:t xml:space="preserve">4</w:t>
            </w:r>
          </w:p>
        </w:tc>
        <w:tc>
          <w:tcPr/>
          <w:p>
            <w:pPr>
              <w:pStyle w:val="Compact"/>
              <w:jc w:val="center"/>
            </w:pPr>
            <w:r>
              <w:t xml:space="preserve">MLP 2L/384h, lr=0.0003</w:t>
            </w:r>
          </w:p>
        </w:tc>
        <w:tc>
          <w:tcPr/>
          <w:p>
            <w:pPr>
              <w:pStyle w:val="Compact"/>
              <w:jc w:val="center"/>
            </w:pPr>
            <w:r>
              <w:t xml:space="preserve">0.8183</w:t>
            </w:r>
            <w:r>
              <w:t xml:space="preserve"> </w:t>
            </w:r>
            <m:oMath>
              <m:r>
                <m:rPr>
                  <m:sty m:val="p"/>
                </m:rPr>
                <m:t>±</m:t>
              </m:r>
            </m:oMath>
            <w:r>
              <w:t xml:space="preserve"> </w:t>
            </w:r>
            <w:r>
              <w:t xml:space="preserve">0.0022</w:t>
            </w:r>
          </w:p>
        </w:tc>
      </w:tr>
      <w:tr>
        <w:tc>
          <w:tcPr/>
          <w:p>
            <w:pPr>
              <w:pStyle w:val="Compact"/>
              <w:jc w:val="left"/>
            </w:pPr>
            <w:r>
              <w:t xml:space="preserve">5</w:t>
            </w:r>
          </w:p>
        </w:tc>
        <w:tc>
          <w:tcPr/>
          <w:p>
            <w:pPr>
              <w:pStyle w:val="Compact"/>
              <w:jc w:val="center"/>
            </w:pPr>
            <w:r>
              <w:t xml:space="preserve">MLP 4L/256h, lr=0.001</w:t>
            </w:r>
          </w:p>
        </w:tc>
        <w:tc>
          <w:tcPr/>
          <w:p>
            <w:pPr>
              <w:pStyle w:val="Compact"/>
              <w:jc w:val="center"/>
            </w:pPr>
            <w:r>
              <w:t xml:space="preserve">0.8181</w:t>
            </w:r>
            <w:r>
              <w:t xml:space="preserve"> </w:t>
            </w:r>
            <m:oMath>
              <m:r>
                <m:rPr>
                  <m:sty m:val="p"/>
                </m:rPr>
                <m:t>±</m:t>
              </m:r>
            </m:oMath>
            <w:r>
              <w:t xml:space="preserve"> </w:t>
            </w:r>
            <w:r>
              <w:t xml:space="preserve">0.0017</w:t>
            </w:r>
          </w:p>
        </w:tc>
      </w:tr>
      <w:tr>
        <w:tc>
          <w:tcPr/>
          <w:p>
            <w:pPr>
              <w:pStyle w:val="Compact"/>
              <w:jc w:val="left"/>
            </w:pPr>
            <w:r>
              <w:t xml:space="preserve">6</w:t>
            </w:r>
          </w:p>
        </w:tc>
        <w:tc>
          <w:tcPr/>
          <w:p>
            <w:pPr>
              <w:pStyle w:val="Compact"/>
              <w:jc w:val="center"/>
            </w:pPr>
            <w:r>
              <w:t xml:space="preserve">MLP 2L/256h, lr=0.001</w:t>
            </w:r>
          </w:p>
        </w:tc>
        <w:tc>
          <w:tcPr/>
          <w:p>
            <w:pPr>
              <w:pStyle w:val="Compact"/>
              <w:jc w:val="center"/>
            </w:pPr>
            <w:r>
              <w:t xml:space="preserve">0.8180</w:t>
            </w:r>
            <w:r>
              <w:t xml:space="preserve"> </w:t>
            </w:r>
            <m:oMath>
              <m:r>
                <m:rPr>
                  <m:sty m:val="p"/>
                </m:rPr>
                <m:t>±</m:t>
              </m:r>
            </m:oMath>
            <w:r>
              <w:t xml:space="preserve"> </w:t>
            </w:r>
            <w:r>
              <w:t xml:space="preserve">0.0038</w:t>
            </w:r>
          </w:p>
        </w:tc>
      </w:tr>
      <w:tr>
        <w:tc>
          <w:tcPr/>
          <w:p>
            <w:pPr>
              <w:pStyle w:val="Compact"/>
              <w:jc w:val="left"/>
            </w:pPr>
            <w:r>
              <w:t xml:space="preserve">7</w:t>
            </w:r>
          </w:p>
        </w:tc>
        <w:tc>
          <w:tcPr/>
          <w:p>
            <w:pPr>
              <w:pStyle w:val="Compact"/>
              <w:jc w:val="center"/>
            </w:pPr>
            <w:r>
              <w:t xml:space="preserve">MLP 3L/384h, lr=0.0003</w:t>
            </w:r>
          </w:p>
        </w:tc>
        <w:tc>
          <w:tcPr/>
          <w:p>
            <w:pPr>
              <w:pStyle w:val="Compact"/>
              <w:jc w:val="center"/>
            </w:pPr>
            <w:r>
              <w:t xml:space="preserve">0.8176</w:t>
            </w:r>
            <w:r>
              <w:t xml:space="preserve"> </w:t>
            </w:r>
            <m:oMath>
              <m:r>
                <m:rPr>
                  <m:sty m:val="p"/>
                </m:rPr>
                <m:t>±</m:t>
              </m:r>
            </m:oMath>
            <w:r>
              <w:t xml:space="preserve"> </w:t>
            </w:r>
            <w:r>
              <w:t xml:space="preserve">0.0015</w:t>
            </w:r>
          </w:p>
        </w:tc>
      </w:tr>
      <w:tr>
        <w:tc>
          <w:tcPr/>
          <w:p>
            <w:pPr>
              <w:pStyle w:val="Compact"/>
              <w:jc w:val="left"/>
            </w:pPr>
            <w:r>
              <w:t xml:space="preserve">8</w:t>
            </w:r>
          </w:p>
        </w:tc>
        <w:tc>
          <w:tcPr/>
          <w:p>
            <w:pPr>
              <w:pStyle w:val="Compact"/>
              <w:jc w:val="center"/>
            </w:pPr>
            <w:r>
              <w:t xml:space="preserve">MLP 4L/384h, lr=0.0003</w:t>
            </w:r>
          </w:p>
        </w:tc>
        <w:tc>
          <w:tcPr/>
          <w:p>
            <w:pPr>
              <w:pStyle w:val="Compact"/>
              <w:jc w:val="center"/>
            </w:pPr>
            <w:r>
              <w:t xml:space="preserve">0.8175</w:t>
            </w:r>
            <w:r>
              <w:t xml:space="preserve"> </w:t>
            </w:r>
            <m:oMath>
              <m:r>
                <m:rPr>
                  <m:sty m:val="p"/>
                </m:rPr>
                <m:t>±</m:t>
              </m:r>
            </m:oMath>
            <w:r>
              <w:t xml:space="preserve"> </w:t>
            </w:r>
            <w:r>
              <w:t xml:space="preserve">0.0017</w:t>
            </w:r>
          </w:p>
        </w:tc>
      </w:tr>
      <w:tr>
        <w:tc>
          <w:tcPr/>
          <w:p>
            <w:pPr>
              <w:pStyle w:val="Compact"/>
              <w:jc w:val="left"/>
            </w:pPr>
            <w:r>
              <w:t xml:space="preserve">9</w:t>
            </w:r>
          </w:p>
        </w:tc>
        <w:tc>
          <w:tcPr/>
          <w:p>
            <w:pPr>
              <w:pStyle w:val="Compact"/>
              <w:jc w:val="center"/>
            </w:pPr>
            <w:r>
              <w:t xml:space="preserve">MLP 4L/256h, lr=0.0003</w:t>
            </w:r>
          </w:p>
        </w:tc>
        <w:tc>
          <w:tcPr/>
          <w:p>
            <w:pPr>
              <w:pStyle w:val="Compact"/>
              <w:jc w:val="center"/>
            </w:pPr>
            <w:r>
              <w:t xml:space="preserve">0.8169</w:t>
            </w:r>
            <w:r>
              <w:t xml:space="preserve"> </w:t>
            </w:r>
            <m:oMath>
              <m:r>
                <m:rPr>
                  <m:sty m:val="p"/>
                </m:rPr>
                <m:t>±</m:t>
              </m:r>
            </m:oMath>
            <w:r>
              <w:t xml:space="preserve"> </w:t>
            </w:r>
            <w:r>
              <w:t xml:space="preserve">0.0024</w:t>
            </w:r>
          </w:p>
        </w:tc>
      </w:tr>
      <w:tr>
        <w:tc>
          <w:tcPr/>
          <w:p>
            <w:pPr>
              <w:pStyle w:val="Compact"/>
              <w:jc w:val="left"/>
            </w:pPr>
            <w:r>
              <w:t xml:space="preserve">10</w:t>
            </w:r>
          </w:p>
        </w:tc>
        <w:tc>
          <w:tcPr/>
          <w:p>
            <w:pPr>
              <w:pStyle w:val="Compact"/>
              <w:jc w:val="center"/>
            </w:pPr>
            <w:r>
              <w:t xml:space="preserve">MLP 6L/256h, lr=0.0003</w:t>
            </w:r>
          </w:p>
        </w:tc>
        <w:tc>
          <w:tcPr/>
          <w:p>
            <w:pPr>
              <w:pStyle w:val="Compact"/>
              <w:jc w:val="center"/>
            </w:pPr>
            <w:r>
              <w:t xml:space="preserve">0.8168</w:t>
            </w:r>
            <w:r>
              <w:t xml:space="preserve"> </w:t>
            </w:r>
            <m:oMath>
              <m:r>
                <m:rPr>
                  <m:sty m:val="p"/>
                </m:rPr>
                <m:t>±</m:t>
              </m:r>
            </m:oMath>
            <w:r>
              <w:t xml:space="preserve"> </w:t>
            </w:r>
            <w:r>
              <w:t xml:space="preserve">0.0026</w:t>
            </w:r>
          </w:p>
        </w:tc>
      </w:tr>
      <w:tr>
        <w:tc>
          <w:tcPr/>
          <w:p>
            <w:pPr>
              <w:pStyle w:val="Compact"/>
              <w:jc w:val="left"/>
            </w:pPr>
            <w:r>
              <w:t xml:space="preserve">11</w:t>
            </w:r>
          </w:p>
        </w:tc>
        <w:tc>
          <w:tcPr/>
          <w:p>
            <w:pPr>
              <w:pStyle w:val="Compact"/>
              <w:jc w:val="center"/>
            </w:pPr>
            <w:r>
              <w:t xml:space="preserve">MLP 3L/256h, lr=0.001</w:t>
            </w:r>
          </w:p>
        </w:tc>
        <w:tc>
          <w:tcPr/>
          <w:p>
            <w:pPr>
              <w:pStyle w:val="Compact"/>
              <w:jc w:val="center"/>
            </w:pPr>
            <w:r>
              <w:t xml:space="preserve">0.8165</w:t>
            </w:r>
            <w:r>
              <w:t xml:space="preserve"> </w:t>
            </w:r>
            <m:oMath>
              <m:r>
                <m:rPr>
                  <m:sty m:val="p"/>
                </m:rPr>
                <m:t>±</m:t>
              </m:r>
            </m:oMath>
            <w:r>
              <w:t xml:space="preserve"> </w:t>
            </w:r>
            <w:r>
              <w:t xml:space="preserve">0.0030</w:t>
            </w:r>
          </w:p>
        </w:tc>
      </w:tr>
      <w:tr>
        <w:tc>
          <w:tcPr/>
          <w:p>
            <w:pPr>
              <w:pStyle w:val="Compact"/>
              <w:jc w:val="left"/>
            </w:pPr>
            <w:r>
              <w:t xml:space="preserve">12</w:t>
            </w:r>
          </w:p>
        </w:tc>
        <w:tc>
          <w:tcPr/>
          <w:p>
            <w:pPr>
              <w:pStyle w:val="Compact"/>
              <w:jc w:val="center"/>
            </w:pPr>
            <w:r>
              <w:t xml:space="preserve">MLP 2L/384h, lr=0.001</w:t>
            </w:r>
          </w:p>
        </w:tc>
        <w:tc>
          <w:tcPr/>
          <w:p>
            <w:pPr>
              <w:pStyle w:val="Compact"/>
              <w:jc w:val="center"/>
            </w:pPr>
            <w:r>
              <w:t xml:space="preserve">0.8162</w:t>
            </w:r>
            <w:r>
              <w:t xml:space="preserve"> </w:t>
            </w:r>
            <m:oMath>
              <m:r>
                <m:rPr>
                  <m:sty m:val="p"/>
                </m:rPr>
                <m:t>±</m:t>
              </m:r>
            </m:oMath>
            <w:r>
              <w:t xml:space="preserve"> </w:t>
            </w:r>
            <w:r>
              <w:t xml:space="preserve">0.0053</w:t>
            </w:r>
          </w:p>
        </w:tc>
      </w:tr>
      <w:tr>
        <w:tc>
          <w:tcPr/>
          <w:p>
            <w:pPr>
              <w:pStyle w:val="Compact"/>
              <w:jc w:val="left"/>
            </w:pPr>
            <w:r>
              <w:t xml:space="preserve">13</w:t>
            </w:r>
          </w:p>
        </w:tc>
        <w:tc>
          <w:tcPr/>
          <w:p>
            <w:pPr>
              <w:pStyle w:val="Compact"/>
              <w:jc w:val="center"/>
            </w:pPr>
            <w:r>
              <w:t xml:space="preserve">MLP 6L/384h, lr=0.001</w:t>
            </w:r>
          </w:p>
        </w:tc>
        <w:tc>
          <w:tcPr/>
          <w:p>
            <w:pPr>
              <w:pStyle w:val="Compact"/>
              <w:jc w:val="center"/>
            </w:pPr>
            <w:r>
              <w:t xml:space="preserve">0.8156</w:t>
            </w:r>
            <w:r>
              <w:t xml:space="preserve"> </w:t>
            </w:r>
            <m:oMath>
              <m:r>
                <m:rPr>
                  <m:sty m:val="p"/>
                </m:rPr>
                <m:t>±</m:t>
              </m:r>
            </m:oMath>
            <w:r>
              <w:t xml:space="preserve"> </w:t>
            </w:r>
            <w:r>
              <w:t xml:space="preserve">0.0039</w:t>
            </w:r>
          </w:p>
        </w:tc>
      </w:tr>
      <w:tr>
        <w:tc>
          <w:tcPr/>
          <w:p>
            <w:pPr>
              <w:pStyle w:val="Compact"/>
              <w:jc w:val="left"/>
            </w:pPr>
            <w:r>
              <w:t xml:space="preserve">14</w:t>
            </w:r>
          </w:p>
        </w:tc>
        <w:tc>
          <w:tcPr/>
          <w:p>
            <w:pPr>
              <w:pStyle w:val="Compact"/>
              <w:jc w:val="center"/>
            </w:pPr>
            <w:r>
              <w:t xml:space="preserve">MLP 6L/256h, lr=0.001</w:t>
            </w:r>
          </w:p>
        </w:tc>
        <w:tc>
          <w:tcPr/>
          <w:p>
            <w:pPr>
              <w:pStyle w:val="Compact"/>
              <w:jc w:val="center"/>
            </w:pPr>
            <w:r>
              <w:t xml:space="preserve">0.8153</w:t>
            </w:r>
            <w:r>
              <w:t xml:space="preserve"> </w:t>
            </w:r>
            <m:oMath>
              <m:r>
                <m:rPr>
                  <m:sty m:val="p"/>
                </m:rPr>
                <m:t>±</m:t>
              </m:r>
            </m:oMath>
            <w:r>
              <w:t xml:space="preserve"> </w:t>
            </w:r>
            <w:r>
              <w:t xml:space="preserve">0.0027</w:t>
            </w:r>
          </w:p>
        </w:tc>
      </w:tr>
      <w:tr>
        <w:tc>
          <w:tcPr/>
          <w:p>
            <w:pPr>
              <w:pStyle w:val="Compact"/>
              <w:jc w:val="left"/>
            </w:pPr>
            <w:r>
              <w:t xml:space="preserve">15</w:t>
            </w:r>
          </w:p>
        </w:tc>
        <w:tc>
          <w:tcPr/>
          <w:p>
            <w:pPr>
              <w:pStyle w:val="Compact"/>
              <w:jc w:val="center"/>
            </w:pPr>
            <w:r>
              <w:t xml:space="preserve">MLP 4L/384h, lr=0.001</w:t>
            </w:r>
          </w:p>
        </w:tc>
        <w:tc>
          <w:tcPr/>
          <w:p>
            <w:pPr>
              <w:pStyle w:val="Compact"/>
              <w:jc w:val="center"/>
            </w:pPr>
            <w:r>
              <w:t xml:space="preserve">0.8151</w:t>
            </w:r>
            <w:r>
              <w:t xml:space="preserve"> </w:t>
            </w:r>
            <m:oMath>
              <m:r>
                <m:rPr>
                  <m:sty m:val="p"/>
                </m:rPr>
                <m:t>±</m:t>
              </m:r>
            </m:oMath>
            <w:r>
              <w:t xml:space="preserve"> </w:t>
            </w:r>
            <w:r>
              <w:t xml:space="preserve">0.0024</w:t>
            </w:r>
          </w:p>
        </w:tc>
      </w:tr>
      <w:tr>
        <w:tc>
          <w:tcPr/>
          <w:p>
            <w:pPr>
              <w:pStyle w:val="Compact"/>
              <w:jc w:val="left"/>
            </w:pPr>
            <w:r>
              <w:t xml:space="preserve">16</w:t>
            </w:r>
          </w:p>
        </w:tc>
        <w:tc>
          <w:tcPr/>
          <w:p>
            <w:pPr>
              <w:pStyle w:val="Compact"/>
              <w:jc w:val="center"/>
            </w:pPr>
            <w:r>
              <w:t xml:space="preserve">MLP 3L/384h, lr=0.001</w:t>
            </w:r>
          </w:p>
        </w:tc>
        <w:tc>
          <w:tcPr/>
          <w:p>
            <w:pPr>
              <w:pStyle w:val="Compact"/>
              <w:jc w:val="center"/>
            </w:pPr>
            <w:r>
              <w:t xml:space="preserve">0.8151</w:t>
            </w:r>
            <w:r>
              <w:t xml:space="preserve"> </w:t>
            </w:r>
            <m:oMath>
              <m:r>
                <m:rPr>
                  <m:sty m:val="p"/>
                </m:rPr>
                <m:t>±</m:t>
              </m:r>
            </m:oMath>
            <w:r>
              <w:t xml:space="preserve"> </w:t>
            </w:r>
            <w:r>
              <w:t xml:space="preserve">0.0015</w:t>
            </w:r>
          </w:p>
        </w:tc>
      </w:tr>
      <w:tr>
        <w:tc>
          <w:tcPr/>
          <w:p>
            <w:pPr>
              <w:pStyle w:val="Compact"/>
              <w:jc w:val="left"/>
            </w:pPr>
            <w:r>
              <w:t xml:space="preserve">17</w:t>
            </w:r>
          </w:p>
        </w:tc>
        <w:tc>
          <w:tcPr/>
          <w:p>
            <w:pPr>
              <w:pStyle w:val="Compact"/>
              <w:jc w:val="center"/>
            </w:pPr>
            <w:r>
              <w:t xml:space="preserve">LR C=3.0, cw=None (chosen)</w:t>
            </w:r>
          </w:p>
        </w:tc>
        <w:tc>
          <w:tcPr/>
          <w:p>
            <w:pPr>
              <w:pStyle w:val="Compact"/>
              <w:jc w:val="center"/>
            </w:pPr>
            <w:r>
              <w:t xml:space="preserve">0.8101</w:t>
            </w:r>
            <w:r>
              <w:t xml:space="preserve"> </w:t>
            </w:r>
            <m:oMath>
              <m:r>
                <m:rPr>
                  <m:sty m:val="p"/>
                </m:rPr>
                <m:t>±</m:t>
              </m:r>
            </m:oMath>
            <w:r>
              <w:t xml:space="preserve"> </w:t>
            </w:r>
            <w:r>
              <w:t xml:space="preserve">0.0020</w:t>
            </w:r>
          </w:p>
        </w:tc>
      </w:tr>
      <w:tr>
        <w:tc>
          <w:tcPr/>
          <w:p>
            <w:pPr>
              <w:pStyle w:val="Compact"/>
              <w:jc w:val="left"/>
            </w:pPr>
            <w:r>
              <w:t xml:space="preserve">18</w:t>
            </w:r>
          </w:p>
        </w:tc>
        <w:tc>
          <w:tcPr/>
          <w:p>
            <w:pPr>
              <w:pStyle w:val="Compact"/>
              <w:jc w:val="center"/>
            </w:pPr>
            <w:r>
              <w:t xml:space="preserve">LR C=2.0, cw=None</w:t>
            </w:r>
          </w:p>
        </w:tc>
        <w:tc>
          <w:tcPr/>
          <w:p>
            <w:pPr>
              <w:pStyle w:val="Compact"/>
              <w:jc w:val="center"/>
            </w:pPr>
            <w:r>
              <w:t xml:space="preserve">0.8098</w:t>
            </w:r>
            <w:r>
              <w:t xml:space="preserve"> </w:t>
            </w:r>
            <m:oMath>
              <m:r>
                <m:rPr>
                  <m:sty m:val="p"/>
                </m:rPr>
                <m:t>±</m:t>
              </m:r>
            </m:oMath>
            <w:r>
              <w:t xml:space="preserve"> </w:t>
            </w:r>
            <w:r>
              <w:t xml:space="preserve">0.0018</w:t>
            </w:r>
          </w:p>
        </w:tc>
      </w:tr>
      <w:tr>
        <w:tc>
          <w:tcPr/>
          <w:p>
            <w:pPr>
              <w:pStyle w:val="Compact"/>
              <w:jc w:val="left"/>
            </w:pPr>
            <w:r>
              <w:t xml:space="preserve">19</w:t>
            </w:r>
          </w:p>
        </w:tc>
        <w:tc>
          <w:tcPr/>
          <w:p>
            <w:pPr>
              <w:pStyle w:val="Compact"/>
              <w:jc w:val="center"/>
            </w:pPr>
            <w:r>
              <w:t xml:space="preserve">LR C=5.0, cw=None</w:t>
            </w:r>
          </w:p>
        </w:tc>
        <w:tc>
          <w:tcPr/>
          <w:p>
            <w:pPr>
              <w:pStyle w:val="Compact"/>
              <w:jc w:val="center"/>
            </w:pPr>
            <w:r>
              <w:t xml:space="preserve">0.8097</w:t>
            </w:r>
            <w:r>
              <w:t xml:space="preserve"> </w:t>
            </w:r>
            <m:oMath>
              <m:r>
                <m:rPr>
                  <m:sty m:val="p"/>
                </m:rPr>
                <m:t>±</m:t>
              </m:r>
            </m:oMath>
            <w:r>
              <w:t xml:space="preserve"> </w:t>
            </w:r>
            <w:r>
              <w:t xml:space="preserve">0.0017</w:t>
            </w:r>
          </w:p>
        </w:tc>
      </w:tr>
      <w:tr>
        <w:tc>
          <w:tcPr/>
          <w:p>
            <w:pPr>
              <w:pStyle w:val="Compact"/>
              <w:jc w:val="left"/>
            </w:pPr>
            <w:r>
              <w:t xml:space="preserve">20</w:t>
            </w:r>
          </w:p>
        </w:tc>
        <w:tc>
          <w:tcPr/>
          <w:p>
            <w:pPr>
              <w:pStyle w:val="Compact"/>
              <w:jc w:val="center"/>
            </w:pPr>
            <w:r>
              <w:t xml:space="preserve">LR C=1.0, cw=None</w:t>
            </w:r>
          </w:p>
        </w:tc>
        <w:tc>
          <w:tcPr/>
          <w:p>
            <w:pPr>
              <w:pStyle w:val="Compact"/>
              <w:jc w:val="center"/>
            </w:pPr>
            <w:r>
              <w:t xml:space="preserve">0.8087</w:t>
            </w:r>
            <w:r>
              <w:t xml:space="preserve"> </w:t>
            </w:r>
            <m:oMath>
              <m:r>
                <m:rPr>
                  <m:sty m:val="p"/>
                </m:rPr>
                <m:t>±</m:t>
              </m:r>
            </m:oMath>
            <w:r>
              <w:t xml:space="preserve"> </w:t>
            </w:r>
            <w:r>
              <w:t xml:space="preserve">0.0025</w:t>
            </w:r>
          </w:p>
        </w:tc>
      </w:tr>
      <w:tr>
        <w:tc>
          <w:tcPr/>
          <w:p>
            <w:pPr>
              <w:pStyle w:val="Compact"/>
              <w:jc w:val="left"/>
            </w:pPr>
            <w:r>
              <w:t xml:space="preserve">21</w:t>
            </w:r>
          </w:p>
        </w:tc>
        <w:tc>
          <w:tcPr/>
          <w:p>
            <w:pPr>
              <w:pStyle w:val="Compact"/>
              <w:jc w:val="center"/>
            </w:pPr>
            <w:r>
              <w:t xml:space="preserve">LR C=3.0, cw=balanced</w:t>
            </w:r>
          </w:p>
        </w:tc>
        <w:tc>
          <w:tcPr/>
          <w:p>
            <w:pPr>
              <w:pStyle w:val="Compact"/>
              <w:jc w:val="center"/>
            </w:pPr>
            <w:r>
              <w:t xml:space="preserve">0.8079</w:t>
            </w:r>
            <w:r>
              <w:t xml:space="preserve"> </w:t>
            </w:r>
            <m:oMath>
              <m:r>
                <m:rPr>
                  <m:sty m:val="p"/>
                </m:rPr>
                <m:t>±</m:t>
              </m:r>
            </m:oMath>
            <w:r>
              <w:t xml:space="preserve"> </w:t>
            </w:r>
            <w:r>
              <w:t xml:space="preserve">0.0014</w:t>
            </w:r>
          </w:p>
        </w:tc>
      </w:tr>
      <w:tr>
        <w:tc>
          <w:tcPr/>
          <w:p>
            <w:pPr>
              <w:pStyle w:val="Compact"/>
              <w:jc w:val="left"/>
            </w:pPr>
            <w:r>
              <w:t xml:space="preserve">22</w:t>
            </w:r>
          </w:p>
        </w:tc>
        <w:tc>
          <w:tcPr/>
          <w:p>
            <w:pPr>
              <w:pStyle w:val="Compact"/>
              <w:jc w:val="center"/>
            </w:pPr>
            <w:r>
              <w:t xml:space="preserve">LR C=2.0, cw=balanced</w:t>
            </w:r>
          </w:p>
        </w:tc>
        <w:tc>
          <w:tcPr/>
          <w:p>
            <w:pPr>
              <w:pStyle w:val="Compact"/>
              <w:jc w:val="center"/>
            </w:pPr>
            <w:r>
              <w:t xml:space="preserve">0.8077</w:t>
            </w:r>
            <w:r>
              <w:t xml:space="preserve"> </w:t>
            </w:r>
            <m:oMath>
              <m:r>
                <m:rPr>
                  <m:sty m:val="p"/>
                </m:rPr>
                <m:t>±</m:t>
              </m:r>
            </m:oMath>
            <w:r>
              <w:t xml:space="preserve"> </w:t>
            </w:r>
            <w:r>
              <w:t xml:space="preserve">0.0016</w:t>
            </w:r>
          </w:p>
        </w:tc>
      </w:tr>
      <w:tr>
        <w:tc>
          <w:tcPr/>
          <w:p>
            <w:pPr>
              <w:pStyle w:val="Compact"/>
              <w:jc w:val="left"/>
            </w:pPr>
            <w:r>
              <w:t xml:space="preserve">23</w:t>
            </w:r>
          </w:p>
        </w:tc>
        <w:tc>
          <w:tcPr/>
          <w:p>
            <w:pPr>
              <w:pStyle w:val="Compact"/>
              <w:jc w:val="center"/>
            </w:pPr>
            <w:r>
              <w:t xml:space="preserve">LR C=10.0, cw=None</w:t>
            </w:r>
          </w:p>
        </w:tc>
        <w:tc>
          <w:tcPr/>
          <w:p>
            <w:pPr>
              <w:pStyle w:val="Compact"/>
              <w:jc w:val="center"/>
            </w:pPr>
            <w:r>
              <w:t xml:space="preserve">0.8075</w:t>
            </w:r>
            <w:r>
              <w:t xml:space="preserve"> </w:t>
            </w:r>
            <m:oMath>
              <m:r>
                <m:rPr>
                  <m:sty m:val="p"/>
                </m:rPr>
                <m:t>±</m:t>
              </m:r>
            </m:oMath>
            <w:r>
              <w:t xml:space="preserve"> </w:t>
            </w:r>
            <w:r>
              <w:t xml:space="preserve">0.0020</w:t>
            </w:r>
          </w:p>
        </w:tc>
      </w:tr>
      <w:tr>
        <w:tc>
          <w:tcPr/>
          <w:p>
            <w:pPr>
              <w:pStyle w:val="Compact"/>
              <w:jc w:val="left"/>
            </w:pPr>
            <w:r>
              <w:t xml:space="preserve">24</w:t>
            </w:r>
          </w:p>
        </w:tc>
        <w:tc>
          <w:tcPr/>
          <w:p>
            <w:pPr>
              <w:pStyle w:val="Compact"/>
              <w:jc w:val="center"/>
            </w:pPr>
            <w:r>
              <w:t xml:space="preserve">LR C=5.0, cw=balanced</w:t>
            </w:r>
          </w:p>
        </w:tc>
        <w:tc>
          <w:tcPr/>
          <w:p>
            <w:pPr>
              <w:pStyle w:val="Compact"/>
              <w:jc w:val="center"/>
            </w:pPr>
            <w:r>
              <w:t xml:space="preserve">0.8073</w:t>
            </w:r>
            <w:r>
              <w:t xml:space="preserve"> </w:t>
            </w:r>
            <m:oMath>
              <m:r>
                <m:rPr>
                  <m:sty m:val="p"/>
                </m:rPr>
                <m:t>±</m:t>
              </m:r>
            </m:oMath>
            <w:r>
              <w:t xml:space="preserve"> </w:t>
            </w:r>
            <w:r>
              <w:t xml:space="preserve">0.0017</w:t>
            </w:r>
          </w:p>
        </w:tc>
      </w:tr>
      <w:tr>
        <w:tc>
          <w:tcPr/>
          <w:p>
            <w:pPr>
              <w:pStyle w:val="Compact"/>
              <w:jc w:val="left"/>
            </w:pPr>
            <w:r>
              <w:t xml:space="preserve">25</w:t>
            </w:r>
          </w:p>
        </w:tc>
        <w:tc>
          <w:tcPr/>
          <w:p>
            <w:pPr>
              <w:pStyle w:val="Compact"/>
              <w:jc w:val="center"/>
            </w:pPr>
            <w:r>
              <w:t xml:space="preserve">LR C=1.0, cw=balanced</w:t>
            </w:r>
          </w:p>
        </w:tc>
        <w:tc>
          <w:tcPr/>
          <w:p>
            <w:pPr>
              <w:pStyle w:val="Compact"/>
              <w:jc w:val="center"/>
            </w:pPr>
            <w:r>
              <w:t xml:space="preserve">0.8069</w:t>
            </w:r>
            <w:r>
              <w:t xml:space="preserve"> </w:t>
            </w:r>
            <m:oMath>
              <m:r>
                <m:rPr>
                  <m:sty m:val="p"/>
                </m:rPr>
                <m:t>±</m:t>
              </m:r>
            </m:oMath>
            <w:r>
              <w:t xml:space="preserve"> </w:t>
            </w:r>
            <w:r>
              <w:t xml:space="preserve">0.0026</w:t>
            </w:r>
          </w:p>
        </w:tc>
      </w:tr>
      <w:tr>
        <w:tc>
          <w:tcPr/>
          <w:p>
            <w:pPr>
              <w:pStyle w:val="Compact"/>
              <w:jc w:val="left"/>
            </w:pPr>
            <w:r>
              <w:t xml:space="preserve">26</w:t>
            </w:r>
          </w:p>
        </w:tc>
        <w:tc>
          <w:tcPr/>
          <w:p>
            <w:pPr>
              <w:pStyle w:val="Compact"/>
              <w:jc w:val="center"/>
            </w:pPr>
            <w:r>
              <w:t xml:space="preserve">LR C=10.0, cw=balanced</w:t>
            </w:r>
          </w:p>
        </w:tc>
        <w:tc>
          <w:tcPr/>
          <w:p>
            <w:pPr>
              <w:pStyle w:val="Compact"/>
              <w:jc w:val="center"/>
            </w:pPr>
            <w:r>
              <w:t xml:space="preserve">0.8063</w:t>
            </w:r>
            <w:r>
              <w:t xml:space="preserve"> </w:t>
            </w:r>
            <m:oMath>
              <m:r>
                <m:rPr>
                  <m:sty m:val="p"/>
                </m:rPr>
                <m:t>±</m:t>
              </m:r>
            </m:oMath>
            <w:r>
              <w:t xml:space="preserve"> </w:t>
            </w:r>
            <w:r>
              <w:t xml:space="preserve">0.0013</w:t>
            </w:r>
          </w:p>
        </w:tc>
      </w:tr>
      <w:tr>
        <w:tc>
          <w:tcPr/>
          <w:p>
            <w:pPr>
              <w:pStyle w:val="Compact"/>
              <w:jc w:val="left"/>
            </w:pPr>
            <w:r>
              <w:t xml:space="preserve">27</w:t>
            </w:r>
          </w:p>
        </w:tc>
        <w:tc>
          <w:tcPr/>
          <w:p>
            <w:pPr>
              <w:pStyle w:val="Compact"/>
              <w:jc w:val="center"/>
            </w:pPr>
            <w:r>
              <w:t xml:space="preserve">LR C=30.0, cw=None</w:t>
            </w:r>
          </w:p>
        </w:tc>
        <w:tc>
          <w:tcPr/>
          <w:p>
            <w:pPr>
              <w:pStyle w:val="Compact"/>
              <w:jc w:val="center"/>
            </w:pPr>
            <w:r>
              <w:t xml:space="preserve">0.8039</w:t>
            </w:r>
            <w:r>
              <w:t xml:space="preserve"> </w:t>
            </w:r>
            <m:oMath>
              <m:r>
                <m:rPr>
                  <m:sty m:val="p"/>
                </m:rPr>
                <m:t>±</m:t>
              </m:r>
            </m:oMath>
            <w:r>
              <w:t xml:space="preserve"> </w:t>
            </w:r>
            <w:r>
              <w:t xml:space="preserve">0.0023</w:t>
            </w:r>
          </w:p>
        </w:tc>
      </w:tr>
      <w:tr>
        <w:tc>
          <w:tcPr/>
          <w:p>
            <w:pPr>
              <w:pStyle w:val="Compact"/>
              <w:jc w:val="left"/>
            </w:pPr>
            <w:r>
              <w:t xml:space="preserve">28</w:t>
            </w:r>
          </w:p>
        </w:tc>
        <w:tc>
          <w:tcPr/>
          <w:p>
            <w:pPr>
              <w:pStyle w:val="Compact"/>
              <w:jc w:val="center"/>
            </w:pPr>
            <w:r>
              <w:t xml:space="preserve">LR C=30.0, cw=balanced</w:t>
            </w:r>
          </w:p>
        </w:tc>
        <w:tc>
          <w:tcPr/>
          <w:p>
            <w:pPr>
              <w:pStyle w:val="Compact"/>
              <w:jc w:val="center"/>
            </w:pPr>
            <w:r>
              <w:t xml:space="preserve">0.8022</w:t>
            </w:r>
            <w:r>
              <w:t xml:space="preserve"> </w:t>
            </w:r>
            <m:oMath>
              <m:r>
                <m:rPr>
                  <m:sty m:val="p"/>
                </m:rPr>
                <m:t>±</m:t>
              </m:r>
            </m:oMath>
            <w:r>
              <w:t xml:space="preserve"> </w:t>
            </w:r>
            <w:r>
              <w:t xml:space="preserve">0.0016</w:t>
            </w:r>
          </w:p>
        </w:tc>
      </w:tr>
      <w:tr>
        <w:tc>
          <w:tcPr/>
          <w:p>
            <w:pPr>
              <w:pStyle w:val="Compact"/>
              <w:jc w:val="left"/>
            </w:pPr>
            <w:r>
              <w:t xml:space="preserve">29</w:t>
            </w:r>
          </w:p>
        </w:tc>
        <w:tc>
          <w:tcPr/>
          <w:p>
            <w:pPr>
              <w:pStyle w:val="Compact"/>
              <w:jc w:val="center"/>
            </w:pPr>
            <w:r>
              <w:t xml:space="preserve">LR C=100.0, cw=None</w:t>
            </w:r>
          </w:p>
        </w:tc>
        <w:tc>
          <w:tcPr/>
          <w:p>
            <w:pPr>
              <w:pStyle w:val="Compact"/>
              <w:jc w:val="center"/>
            </w:pPr>
            <w:r>
              <w:t xml:space="preserve">0.7967</w:t>
            </w:r>
            <w:r>
              <w:t xml:space="preserve"> </w:t>
            </w:r>
            <m:oMath>
              <m:r>
                <m:rPr>
                  <m:sty m:val="p"/>
                </m:rPr>
                <m:t>±</m:t>
              </m:r>
            </m:oMath>
            <w:r>
              <w:t xml:space="preserve"> </w:t>
            </w:r>
            <w:r>
              <w:t xml:space="preserve">0.0010</w:t>
            </w:r>
          </w:p>
        </w:tc>
      </w:tr>
      <w:tr>
        <w:tc>
          <w:tcPr/>
          <w:p>
            <w:pPr>
              <w:pStyle w:val="Compact"/>
              <w:jc w:val="left"/>
            </w:pPr>
            <w:r>
              <w:t xml:space="preserve">30</w:t>
            </w:r>
          </w:p>
        </w:tc>
        <w:tc>
          <w:tcPr/>
          <w:p>
            <w:pPr>
              <w:pStyle w:val="Compact"/>
              <w:jc w:val="center"/>
            </w:pPr>
            <w:r>
              <w:t xml:space="preserve">LR C=100.0, cw=balanced</w:t>
            </w:r>
          </w:p>
        </w:tc>
        <w:tc>
          <w:tcPr/>
          <w:p>
            <w:pPr>
              <w:pStyle w:val="Compact"/>
              <w:jc w:val="center"/>
            </w:pPr>
            <w:r>
              <w:t xml:space="preserve">0.7942</w:t>
            </w:r>
            <w:r>
              <w:t xml:space="preserve"> </w:t>
            </w:r>
            <m:oMath>
              <m:r>
                <m:rPr>
                  <m:sty m:val="p"/>
                </m:rPr>
                <m:t>±</m:t>
              </m:r>
            </m:oMath>
            <w:r>
              <w:t xml:space="preserve"> </w:t>
            </w:r>
            <w:r>
              <w:t xml:space="preserve">0.0017</w:t>
            </w:r>
          </w:p>
        </w:tc>
      </w:tr>
      <w:tr>
        <w:tc>
          <w:tcPr/>
          <w:p>
            <w:pPr>
              <w:pStyle w:val="Compact"/>
              <w:jc w:val="left"/>
            </w:pPr>
            <w:r>
              <w:t xml:space="preserve">31</w:t>
            </w:r>
          </w:p>
        </w:tc>
        <w:tc>
          <w:tcPr/>
          <w:p>
            <w:pPr>
              <w:pStyle w:val="Compact"/>
              <w:jc w:val="center"/>
            </w:pPr>
            <w:r>
              <w:t xml:space="preserve">LR C=0.1, cw=balanced</w:t>
            </w:r>
          </w:p>
        </w:tc>
        <w:tc>
          <w:tcPr/>
          <w:p>
            <w:pPr>
              <w:pStyle w:val="Compact"/>
              <w:jc w:val="center"/>
            </w:pPr>
            <w:r>
              <w:t xml:space="preserve">0.7919</w:t>
            </w:r>
            <w:r>
              <w:t xml:space="preserve"> </w:t>
            </w:r>
            <m:oMath>
              <m:r>
                <m:rPr>
                  <m:sty m:val="p"/>
                </m:rPr>
                <m:t>±</m:t>
              </m:r>
            </m:oMath>
            <w:r>
              <w:t xml:space="preserve"> </w:t>
            </w:r>
            <w:r>
              <w:t xml:space="preserve">0.0032</w:t>
            </w:r>
          </w:p>
        </w:tc>
      </w:tr>
      <w:tr>
        <w:tc>
          <w:tcPr/>
          <w:p>
            <w:pPr>
              <w:pStyle w:val="Compact"/>
              <w:jc w:val="left"/>
            </w:pPr>
            <w:r>
              <w:t xml:space="preserve">32</w:t>
            </w:r>
          </w:p>
        </w:tc>
        <w:tc>
          <w:tcPr/>
          <w:p>
            <w:pPr>
              <w:pStyle w:val="Compact"/>
              <w:jc w:val="center"/>
            </w:pPr>
            <w:r>
              <w:t xml:space="preserve">LR C=0.1, cw=None</w:t>
            </w:r>
          </w:p>
        </w:tc>
        <w:tc>
          <w:tcPr/>
          <w:p>
            <w:pPr>
              <w:pStyle w:val="Compact"/>
              <w:jc w:val="center"/>
            </w:pPr>
            <w:r>
              <w:t xml:space="preserve">0.7904</w:t>
            </w:r>
            <w:r>
              <w:t xml:space="preserve"> </w:t>
            </w:r>
            <m:oMath>
              <m:r>
                <m:rPr>
                  <m:sty m:val="p"/>
                </m:rPr>
                <m:t>±</m:t>
              </m:r>
            </m:oMath>
            <w:r>
              <w:t xml:space="preserve"> </w:t>
            </w:r>
            <w:r>
              <w:t xml:space="preserve">0.0032</w:t>
            </w:r>
          </w:p>
        </w:tc>
      </w:tr>
    </w:tbl>
    <w:bookmarkEnd w:id="105"/>
    <w:bookmarkEnd w:id="106"/>
    <w:bookmarkStart w:id="124" w:name="app:register-removal"/>
    <w:p>
      <w:pPr>
        <w:pStyle w:val="Heading1"/>
      </w:pPr>
      <w:r>
        <w:t xml:space="preserve">Register Removal: Convergence and Validation</w:t>
      </w:r>
    </w:p>
    <w:bookmarkStart w:id="111" w:name="app:register-robustness"/>
    <w:p>
      <w:pPr>
        <w:pStyle w:val="Heading2"/>
      </w:pPr>
      <w:r>
        <w:t xml:space="preserve">Convergence</w:t>
      </w:r>
    </w:p>
    <w:p>
      <w:pPr>
        <w:pStyle w:val="FirstParagraph"/>
      </w:pPr>
      <w:r>
        <w:t xml:space="preserve">The full INLP procedure and identification argument are given in Methodology (Section </w:t>
      </w:r>
      <w:hyperlink w:anchor="sec:register-adjustment-inlp">
        <w:r>
          <w:rPr>
            <w:rStyle w:val="Hyperlink"/>
          </w:rPr>
          <w:t xml:space="preserve">3.8</w:t>
        </w:r>
      </w:hyperlink>
      <w:r>
        <w:t xml:space="preserve">). This appendix reports the convergence behaviour of the procedure and the construct validation of the component it removes. The adjusted results are the primary decomposition, not sensitivity diagnostics.</w:t>
      </w:r>
    </w:p>
    <w:bookmarkStart w:id="107" w:name="sampling-design."/>
    <w:p>
      <w:pPr>
        <w:pStyle w:val="Heading4"/>
      </w:pPr>
      <w:r>
        <w:t xml:space="preserve">Sampling design.</w:t>
      </w:r>
    </w:p>
    <w:p>
      <w:pPr>
        <w:pStyle w:val="FirstParagraph"/>
      </w:pPr>
      <w:r>
        <w:t xml:space="preserve">Two details of the sampling in Section </w:t>
      </w:r>
      <w:hyperlink w:anchor="sec:register-adjustment-inlp">
        <w:r>
          <w:rPr>
            <w:rStyle w:val="Hyperlink"/>
          </w:rPr>
          <w:t xml:space="preserve">3.8</w:t>
        </w:r>
      </w:hyperlink>
      <w:r>
        <w:t xml:space="preserve"> </w:t>
      </w:r>
      <w:r>
        <w:t xml:space="preserve">bear on how the adjusted gap should be read. First,</w:t>
      </w:r>
      <w:r>
        <w:t xml:space="preserve"> </w:t>
      </w:r>
      <m:oMath>
        <m:sSub>
          <m:e>
            <m:r>
              <m:t>n</m:t>
            </m:r>
          </m:e>
          <m:sub>
            <m:r>
              <m:rPr>
                <m:nor/>
                <m:sty m:val="p"/>
              </m:rPr>
              <m:t>target</m:t>
            </m:r>
          </m:sub>
        </m:sSub>
      </m:oMath>
      <w:r>
        <w:t xml:space="preserve"> </w:t>
      </w:r>
      <w:r>
        <w:t xml:space="preserve">is one global constant – the smallest available count across all SDG–corpus pools, 1123 segments for MPNet – so every SDG contributes the same number of research and policy texts at every iteration regardless of how large its actual pool is; how much text an SDG has cannot change how much register adjustment it receives. Second, the stratified sample is redrawn independently at each iteration (seeded per iteration, without replacement within each draw), so the learned directions do not hinge on any single subsample of the pool. One residue is unavoidable: for the pool that binds the global minimum, all available texts are used at every iteration, so that one stratum sees identical samples throughout; this affects only the smallest pool, treats both corpora identically, and cannot differentiate well-covered from sparsely-covered goals.</w:t>
      </w:r>
    </w:p>
    <w:bookmarkEnd w:id="107"/>
    <w:bookmarkStart w:id="108" w:name="app:register-inlp"/>
    <w:p>
      <w:pPr>
        <w:pStyle w:val="Heading4"/>
      </w:pPr>
      <w:r>
        <w:t xml:space="preserve">Convergence results.</w:t>
      </w:r>
    </w:p>
    <w:p>
      <w:pPr>
        <w:pStyle w:val="FirstParagraph"/>
      </w:pPr>
      <w:r>
        <w:t xml:space="preserve">INLP removal converges fast. Held-out accuracy falls from 0.978 at iteration 1 to 0.498 by iteration 62, and the mean gap shrinks by 41% before flattening. Almost all of that happens in the first 15 directions: the gap’s correlation with the raw (un-removed) gap drops from 0.995 to about 0.352 and stays there. Table </w:t>
      </w:r>
      <w:hyperlink w:anchor="tab:iterative-register-check">
        <w:r>
          <w:rPr>
            <w:rStyle w:val="Hyperlink"/>
          </w:rPr>
          <w:t xml:space="preserve">15</w:t>
        </w:r>
      </w:hyperlink>
      <w:r>
        <w:t xml:space="preserve"> </w:t>
      </w:r>
      <w:r>
        <w:t xml:space="preserve">shows the per-iteration path for all three encoders.</w:t>
      </w:r>
    </w:p>
    <w:p>
      <w:pPr>
        <w:pStyle w:val="BodyText"/>
      </w:pPr>
      <w:r>
        <w:t xml:space="preserve">The decomposition identifies the SDG 17 inversion discussed in Results (Section </w:t>
      </w:r>
      <w:hyperlink w:anchor="sec:semantic-gap">
        <w:r>
          <w:rPr>
            <w:rStyle w:val="Hyperlink"/>
          </w:rPr>
          <w:t xml:space="preserve">4.3</w:t>
        </w:r>
      </w:hyperlink>
      <w:r>
        <w:t xml:space="preserve">) and Table </w:t>
      </w:r>
      <w:hyperlink w:anchor="tab:register-decomposition">
        <w:r>
          <w:rPr>
            <w:rStyle w:val="Hyperlink"/>
          </w:rPr>
          <w:t xml:space="preserve">4</w:t>
        </w:r>
      </w:hyperlink>
      <w:r>
        <w:t xml:space="preserve">: the register component is positive for all SDGs except SDG 17 (range: +0.076 to +0.261, smallest SDG 10, largest SDG 13), the only negative value, where register</w:t>
      </w:r>
      <w:r>
        <w:t xml:space="preserve"> </w:t>
      </w:r>
      <w:r>
        <w:rPr>
          <w:iCs/>
          <w:i/>
        </w:rPr>
        <w:t xml:space="preserve">increases</w:t>
      </w:r>
      <w:r>
        <w:t xml:space="preserve"> </w:t>
      </w:r>
      <w:r>
        <w:t xml:space="preserve">the apparent research–policy similarity of the partnership goal.</w:t>
      </w:r>
    </w:p>
    <w:bookmarkEnd w:id="108"/>
    <w:bookmarkStart w:id="110" w:name="cross-config-replication."/>
    <w:p>
      <w:pPr>
        <w:pStyle w:val="Heading4"/>
      </w:pPr>
      <w:r>
        <w:t xml:space="preserve">Cross-config replication.</w:t>
      </w:r>
    </w:p>
    <w:p>
      <w:pPr>
        <w:pStyle w:val="FirstParagraph"/>
      </w:pPr>
      <w:r>
        <w:t xml:space="preserve">The same iterative procedure was run on the MiniLM and SciBERT encoder tracks (the latter two on the S1 subset, by design). All three reach the</w:t>
      </w:r>
      <w:r>
        <w:t xml:space="preserve"> </w:t>
      </w:r>
      <m:oMath>
        <m:r>
          <m:rPr>
            <m:sty m:val="p"/>
          </m:rPr>
          <m:t>≤</m:t>
        </m:r>
        <m:r>
          <m:t>0.5</m:t>
        </m:r>
      </m:oMath>
      <w:r>
        <w:t xml:space="preserve"> </w:t>
      </w:r>
      <w:r>
        <w:t xml:space="preserve">stopping threshold. Held-out register-classification accuracy falls from 0.965–0.978 at iteration 1 to 0.491–0.498 at convergence, and all three compress sharply in the first 15 iterations (to 0.539–0.685) before plateauing at the majority-class baseline. The iteration count required to reach the threshold differs across encoders, but the qualitative convergence — a rapid early drop followed by a plateau — is identical, confirming that the convergence behaviour is a property of the INLP procedure rather than of the MPNet embedding space.</w:t>
      </w:r>
    </w:p>
    <w:bookmarkStart w:id="109" w:name="tab:iterative-register-check"/>
    <w:p>
      <w:pPr>
        <w:pStyle w:val="TableCaption"/>
      </w:pPr>
      <w:r>
        <w:t xml:space="preserve">Stratified iterative register-removal diagnostic across the three encoder tracks.</w:t>
      </w:r>
    </w:p>
    <w:tbl>
      <w:tblPr>
        <w:tblStyle w:val="Table"/>
        <w:tblW w:type="auto" w:w="0"/>
        <w:tblLook w:firstRow="1" w:lastRow="0" w:firstColumn="0" w:lastColumn="0" w:noHBand="0" w:noVBand="0" w:val="0020"/>
        <w:jc w:val="start"/>
        <w:tblCaption w:val="Stratified iterative register-removal diagnostic across the three encoder tracks."/>
      </w:tblPr>
      <w:tblGrid>
        <w:gridCol w:w="792"/>
        <w:gridCol w:w="792"/>
        <w:gridCol w:w="792"/>
        <w:gridCol w:w="792"/>
        <w:gridCol w:w="792"/>
        <w:gridCol w:w="792"/>
        <w:gridCol w:w="792"/>
        <w:gridCol w:w="792"/>
        <w:gridCol w:w="792"/>
        <w:gridCol w:w="792"/>
      </w:tblGrid>
      <w:tr>
        <w:trPr>
          <w:tblHeader w:val="true"/>
        </w:trPr>
        <w:tc>
          <w:tcPr/>
          <w:p>
            <w:pPr>
              <w:pStyle w:val="Compact"/>
            </w:pPr>
          </w:p>
        </w:tc>
        <w:tc>
          <w:tcPr>
            <w:gridSpan w:val="3"/>
          </w:tcPr>
          <w:p>
            <w:pPr>
              <w:pStyle w:val="Compact"/>
              <w:jc w:val="center"/>
            </w:pPr>
            <w:r>
              <w:t xml:space="preserve">MPNet</w:t>
            </w:r>
          </w:p>
        </w:tc>
        <w:tc>
          <w:tcPr>
            <w:gridSpan w:val="3"/>
          </w:tcPr>
          <w:p>
            <w:pPr>
              <w:pStyle w:val="Compact"/>
              <w:jc w:val="center"/>
            </w:pPr>
            <w:r>
              <w:t xml:space="preserve">MiniLM</w:t>
            </w:r>
          </w:p>
        </w:tc>
        <w:tc>
          <w:tcPr>
            <w:gridSpan w:val="3"/>
          </w:tcPr>
          <w:p>
            <w:pPr>
              <w:pStyle w:val="Compact"/>
              <w:jc w:val="center"/>
            </w:pPr>
            <w:r>
              <w:t xml:space="preserve">SciBERT</w:t>
            </w:r>
          </w:p>
        </w:tc>
      </w:tr>
      <w:tr>
        <w:tc>
          <w:tcPr/>
          <w:p>
            <w:pPr>
              <w:pStyle w:val="Compact"/>
              <w:jc w:val="left"/>
            </w:pPr>
            <w:r>
              <w:t xml:space="preserve">2-4</w:t>
            </w:r>
            <w:r>
              <w:t xml:space="preserve"> </w:t>
            </w:r>
            <w:r>
              <w:t xml:space="preserve">(lr)</w:t>
            </w:r>
            <w:r>
              <w:t xml:space="preserve">5-7</w:t>
            </w:r>
            <w:r>
              <w:t xml:space="preserve"> </w:t>
            </w:r>
            <w:r>
              <w:t xml:space="preserve">(lr)</w:t>
            </w:r>
            <w:r>
              <w:t xml:space="preserve">8-10</w:t>
            </w:r>
            <w:r>
              <w:t xml:space="preserve"> </w:t>
            </w:r>
            <w:r>
              <w:t xml:space="preserve">It.</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c>
          <w:tcPr/>
          <w:p>
            <w:pPr>
              <w:pStyle w:val="Compact"/>
              <w:jc w:val="right"/>
            </w:pPr>
            <w:r>
              <w:t xml:space="preserve">acc</w:t>
            </w:r>
          </w:p>
        </w:tc>
        <w:tc>
          <w:tcPr/>
          <w:p>
            <w:pPr>
              <w:pStyle w:val="Compact"/>
              <w:jc w:val="right"/>
            </w:pPr>
            <w:r>
              <w:t xml:space="preserve">gap</w:t>
            </w:r>
          </w:p>
        </w:tc>
        <w:tc>
          <w:tcPr/>
          <w:p>
            <w:pPr>
              <w:pStyle w:val="Compact"/>
              <w:jc w:val="right"/>
            </w:pPr>
            <w:r>
              <w:t xml:space="preserve">p vs raw</w:t>
            </w:r>
          </w:p>
        </w:tc>
      </w:tr>
      <w:tr>
        <w:tc>
          <w:tcPr/>
          <w:p>
            <w:pPr>
              <w:pStyle w:val="Compact"/>
              <w:jc w:val="left"/>
            </w:pPr>
            <w:r>
              <w:t xml:space="preserve">1</w:t>
            </w:r>
          </w:p>
        </w:tc>
        <w:tc>
          <w:tcPr/>
          <w:p>
            <w:pPr>
              <w:pStyle w:val="Compact"/>
              <w:jc w:val="right"/>
            </w:pPr>
            <w:r>
              <w:t xml:space="preserve">0.978</w:t>
            </w:r>
          </w:p>
        </w:tc>
        <w:tc>
          <w:tcPr/>
          <w:p>
            <w:pPr>
              <w:pStyle w:val="Compact"/>
              <w:jc w:val="right"/>
            </w:pPr>
            <w:r>
              <w:t xml:space="preserve">0.315</w:t>
            </w:r>
          </w:p>
        </w:tc>
        <w:tc>
          <w:tcPr/>
          <w:p>
            <w:pPr>
              <w:pStyle w:val="Compact"/>
              <w:jc w:val="right"/>
            </w:pPr>
            <w:r>
              <w:t xml:space="preserve">0.995</w:t>
            </w:r>
          </w:p>
        </w:tc>
        <w:tc>
          <w:tcPr/>
          <w:p>
            <w:pPr>
              <w:pStyle w:val="Compact"/>
              <w:jc w:val="right"/>
            </w:pPr>
            <w:r>
              <w:t xml:space="preserve">0.965</w:t>
            </w:r>
          </w:p>
        </w:tc>
        <w:tc>
          <w:tcPr/>
          <w:p>
            <w:pPr>
              <w:pStyle w:val="Compact"/>
              <w:jc w:val="right"/>
            </w:pPr>
            <w:r>
              <w:t xml:space="preserve">0.312</w:t>
            </w:r>
          </w:p>
        </w:tc>
        <w:tc>
          <w:tcPr/>
          <w:p>
            <w:pPr>
              <w:pStyle w:val="Compact"/>
              <w:jc w:val="right"/>
            </w:pPr>
            <w:r>
              <w:t xml:space="preserve">0.988</w:t>
            </w:r>
          </w:p>
        </w:tc>
        <w:tc>
          <w:tcPr/>
          <w:p>
            <w:pPr>
              <w:pStyle w:val="Compact"/>
              <w:jc w:val="right"/>
            </w:pPr>
            <w:r>
              <w:t xml:space="preserve">0.973</w:t>
            </w:r>
          </w:p>
        </w:tc>
        <w:tc>
          <w:tcPr/>
          <w:p>
            <w:pPr>
              <w:pStyle w:val="Compact"/>
              <w:jc w:val="right"/>
            </w:pPr>
            <w:r>
              <w:t xml:space="preserve">0.014</w:t>
            </w:r>
          </w:p>
        </w:tc>
        <w:tc>
          <w:tcPr/>
          <w:p>
            <w:pPr>
              <w:pStyle w:val="Compact"/>
              <w:jc w:val="right"/>
            </w:pPr>
            <w:r>
              <w:t xml:space="preserve">0.877</w:t>
            </w:r>
          </w:p>
        </w:tc>
      </w:tr>
      <w:tr>
        <w:tc>
          <w:tcPr/>
          <w:p>
            <w:pPr>
              <w:pStyle w:val="Compact"/>
              <w:jc w:val="left"/>
            </w:pPr>
            <w:r>
              <w:t xml:space="preserve">2</w:t>
            </w:r>
          </w:p>
        </w:tc>
        <w:tc>
          <w:tcPr/>
          <w:p>
            <w:pPr>
              <w:pStyle w:val="Compact"/>
              <w:jc w:val="right"/>
            </w:pPr>
            <w:r>
              <w:t xml:space="preserve">0.938</w:t>
            </w:r>
          </w:p>
        </w:tc>
        <w:tc>
          <w:tcPr/>
          <w:p>
            <w:pPr>
              <w:pStyle w:val="Compact"/>
              <w:jc w:val="right"/>
            </w:pPr>
            <w:r>
              <w:t xml:space="preserve">0.303</w:t>
            </w:r>
          </w:p>
        </w:tc>
        <w:tc>
          <w:tcPr/>
          <w:p>
            <w:pPr>
              <w:pStyle w:val="Compact"/>
              <w:jc w:val="right"/>
            </w:pPr>
            <w:r>
              <w:t xml:space="preserve">0.985</w:t>
            </w:r>
          </w:p>
        </w:tc>
        <w:tc>
          <w:tcPr/>
          <w:p>
            <w:pPr>
              <w:pStyle w:val="Compact"/>
              <w:jc w:val="right"/>
            </w:pPr>
            <w:r>
              <w:t xml:space="preserve">0.913</w:t>
            </w:r>
          </w:p>
        </w:tc>
        <w:tc>
          <w:tcPr/>
          <w:p>
            <w:pPr>
              <w:pStyle w:val="Compact"/>
              <w:jc w:val="right"/>
            </w:pPr>
            <w:r>
              <w:t xml:space="preserve">0.285</w:t>
            </w:r>
          </w:p>
        </w:tc>
        <w:tc>
          <w:tcPr/>
          <w:p>
            <w:pPr>
              <w:pStyle w:val="Compact"/>
              <w:jc w:val="right"/>
            </w:pPr>
            <w:r>
              <w:t xml:space="preserve">0.976</w:t>
            </w:r>
          </w:p>
        </w:tc>
        <w:tc>
          <w:tcPr/>
          <w:p>
            <w:pPr>
              <w:pStyle w:val="Compact"/>
              <w:jc w:val="right"/>
            </w:pPr>
            <w:r>
              <w:t xml:space="preserve">0.872</w:t>
            </w:r>
          </w:p>
        </w:tc>
        <w:tc>
          <w:tcPr/>
          <w:p>
            <w:pPr>
              <w:pStyle w:val="Compact"/>
              <w:jc w:val="right"/>
            </w:pPr>
            <w:r>
              <w:t xml:space="preserve">0.011</w:t>
            </w:r>
          </w:p>
        </w:tc>
        <w:tc>
          <w:tcPr/>
          <w:p>
            <w:pPr>
              <w:pStyle w:val="Compact"/>
              <w:jc w:val="right"/>
            </w:pPr>
            <w:r>
              <w:t xml:space="preserve">0.792</w:t>
            </w:r>
          </w:p>
        </w:tc>
      </w:tr>
      <w:tr>
        <w:tc>
          <w:tcPr/>
          <w:p>
            <w:pPr>
              <w:pStyle w:val="Compact"/>
              <w:jc w:val="left"/>
            </w:pPr>
            <w:r>
              <w:t xml:space="preserve">3</w:t>
            </w:r>
          </w:p>
        </w:tc>
        <w:tc>
          <w:tcPr/>
          <w:p>
            <w:pPr>
              <w:pStyle w:val="Compact"/>
              <w:jc w:val="right"/>
            </w:pPr>
            <w:r>
              <w:t xml:space="preserve">0.895</w:t>
            </w:r>
          </w:p>
        </w:tc>
        <w:tc>
          <w:tcPr/>
          <w:p>
            <w:pPr>
              <w:pStyle w:val="Compact"/>
              <w:jc w:val="right"/>
            </w:pPr>
            <w:r>
              <w:t xml:space="preserve">0.290</w:t>
            </w:r>
          </w:p>
        </w:tc>
        <w:tc>
          <w:tcPr/>
          <w:p>
            <w:pPr>
              <w:pStyle w:val="Compact"/>
              <w:jc w:val="right"/>
            </w:pPr>
            <w:r>
              <w:t xml:space="preserve">0.983</w:t>
            </w:r>
          </w:p>
        </w:tc>
        <w:tc>
          <w:tcPr/>
          <w:p>
            <w:pPr>
              <w:pStyle w:val="Compact"/>
              <w:jc w:val="right"/>
            </w:pPr>
            <w:r>
              <w:t xml:space="preserve">0.852</w:t>
            </w:r>
          </w:p>
        </w:tc>
        <w:tc>
          <w:tcPr/>
          <w:p>
            <w:pPr>
              <w:pStyle w:val="Compact"/>
              <w:jc w:val="right"/>
            </w:pPr>
            <w:r>
              <w:t xml:space="preserve">0.265</w:t>
            </w:r>
          </w:p>
        </w:tc>
        <w:tc>
          <w:tcPr/>
          <w:p>
            <w:pPr>
              <w:pStyle w:val="Compact"/>
              <w:jc w:val="right"/>
            </w:pPr>
            <w:r>
              <w:t xml:space="preserve">0.951</w:t>
            </w:r>
          </w:p>
        </w:tc>
        <w:tc>
          <w:tcPr/>
          <w:p>
            <w:pPr>
              <w:pStyle w:val="Compact"/>
              <w:jc w:val="right"/>
            </w:pPr>
            <w:r>
              <w:t xml:space="preserve">0.755</w:t>
            </w:r>
          </w:p>
        </w:tc>
        <w:tc>
          <w:tcPr/>
          <w:p>
            <w:pPr>
              <w:pStyle w:val="Compact"/>
              <w:jc w:val="right"/>
            </w:pPr>
            <w:r>
              <w:t xml:space="preserve">0.011</w:t>
            </w:r>
          </w:p>
        </w:tc>
        <w:tc>
          <w:tcPr/>
          <w:p>
            <w:pPr>
              <w:pStyle w:val="Compact"/>
              <w:jc w:val="right"/>
            </w:pPr>
            <w:r>
              <w:t xml:space="preserve">0.748</w:t>
            </w:r>
          </w:p>
        </w:tc>
      </w:tr>
      <w:tr>
        <w:tc>
          <w:tcPr/>
          <w:p>
            <w:pPr>
              <w:pStyle w:val="Compact"/>
              <w:jc w:val="left"/>
            </w:pPr>
            <w:r>
              <w:t xml:space="preserve">4</w:t>
            </w:r>
          </w:p>
        </w:tc>
        <w:tc>
          <w:tcPr/>
          <w:p>
            <w:pPr>
              <w:pStyle w:val="Compact"/>
              <w:jc w:val="right"/>
            </w:pPr>
            <w:r>
              <w:t xml:space="preserve">0.864</w:t>
            </w:r>
          </w:p>
        </w:tc>
        <w:tc>
          <w:tcPr/>
          <w:p>
            <w:pPr>
              <w:pStyle w:val="Compact"/>
              <w:jc w:val="right"/>
            </w:pPr>
            <w:r>
              <w:t xml:space="preserve">0.282</w:t>
            </w:r>
          </w:p>
        </w:tc>
        <w:tc>
          <w:tcPr/>
          <w:p>
            <w:pPr>
              <w:pStyle w:val="Compact"/>
              <w:jc w:val="right"/>
            </w:pPr>
            <w:r>
              <w:t xml:space="preserve">0.980</w:t>
            </w:r>
          </w:p>
        </w:tc>
        <w:tc>
          <w:tcPr/>
          <w:p>
            <w:pPr>
              <w:pStyle w:val="Compact"/>
              <w:jc w:val="right"/>
            </w:pPr>
            <w:r>
              <w:t xml:space="preserve">0.796</w:t>
            </w:r>
          </w:p>
        </w:tc>
        <w:tc>
          <w:tcPr/>
          <w:p>
            <w:pPr>
              <w:pStyle w:val="Compact"/>
              <w:jc w:val="right"/>
            </w:pPr>
            <w:r>
              <w:t xml:space="preserve">0.248</w:t>
            </w:r>
          </w:p>
        </w:tc>
        <w:tc>
          <w:tcPr/>
          <w:p>
            <w:pPr>
              <w:pStyle w:val="Compact"/>
              <w:jc w:val="right"/>
            </w:pPr>
            <w:r>
              <w:t xml:space="preserve">0.922</w:t>
            </w:r>
          </w:p>
        </w:tc>
        <w:tc>
          <w:tcPr/>
          <w:p>
            <w:pPr>
              <w:pStyle w:val="Compact"/>
              <w:jc w:val="right"/>
            </w:pPr>
            <w:r>
              <w:t xml:space="preserve">0.691</w:t>
            </w:r>
          </w:p>
        </w:tc>
        <w:tc>
          <w:tcPr/>
          <w:p>
            <w:pPr>
              <w:pStyle w:val="Compact"/>
              <w:jc w:val="right"/>
            </w:pPr>
            <w:r>
              <w:t xml:space="preserve">0.010</w:t>
            </w:r>
          </w:p>
        </w:tc>
        <w:tc>
          <w:tcPr/>
          <w:p>
            <w:pPr>
              <w:pStyle w:val="Compact"/>
              <w:jc w:val="right"/>
            </w:pPr>
            <w:r>
              <w:t xml:space="preserve">0.757</w:t>
            </w:r>
          </w:p>
        </w:tc>
      </w:tr>
      <w:tr>
        <w:tc>
          <w:tcPr/>
          <w:p>
            <w:pPr>
              <w:pStyle w:val="Compact"/>
              <w:jc w:val="left"/>
            </w:pPr>
            <w:r>
              <w:t xml:space="preserve">5</w:t>
            </w:r>
          </w:p>
        </w:tc>
        <w:tc>
          <w:tcPr/>
          <w:p>
            <w:pPr>
              <w:pStyle w:val="Compact"/>
              <w:jc w:val="right"/>
            </w:pPr>
            <w:r>
              <w:t xml:space="preserve">0.831</w:t>
            </w:r>
          </w:p>
        </w:tc>
        <w:tc>
          <w:tcPr/>
          <w:p>
            <w:pPr>
              <w:pStyle w:val="Compact"/>
              <w:jc w:val="right"/>
            </w:pPr>
            <w:r>
              <w:t xml:space="preserve">0.279</w:t>
            </w:r>
          </w:p>
        </w:tc>
        <w:tc>
          <w:tcPr/>
          <w:p>
            <w:pPr>
              <w:pStyle w:val="Compact"/>
              <w:jc w:val="right"/>
            </w:pPr>
            <w:r>
              <w:t xml:space="preserve">0.973</w:t>
            </w:r>
          </w:p>
        </w:tc>
        <w:tc>
          <w:tcPr/>
          <w:p>
            <w:pPr>
              <w:pStyle w:val="Compact"/>
              <w:jc w:val="right"/>
            </w:pPr>
            <w:r>
              <w:t xml:space="preserve">0.763</w:t>
            </w:r>
          </w:p>
        </w:tc>
        <w:tc>
          <w:tcPr/>
          <w:p>
            <w:pPr>
              <w:pStyle w:val="Compact"/>
              <w:jc w:val="right"/>
            </w:pPr>
            <w:r>
              <w:t xml:space="preserve">0.234</w:t>
            </w:r>
          </w:p>
        </w:tc>
        <w:tc>
          <w:tcPr/>
          <w:p>
            <w:pPr>
              <w:pStyle w:val="Compact"/>
              <w:jc w:val="right"/>
            </w:pPr>
            <w:r>
              <w:t xml:space="preserve">0.882</w:t>
            </w:r>
          </w:p>
        </w:tc>
        <w:tc>
          <w:tcPr/>
          <w:p>
            <w:pPr>
              <w:pStyle w:val="Compact"/>
              <w:jc w:val="right"/>
            </w:pPr>
            <w:r>
              <w:t xml:space="preserve">0.634</w:t>
            </w:r>
          </w:p>
        </w:tc>
        <w:tc>
          <w:tcPr/>
          <w:p>
            <w:pPr>
              <w:pStyle w:val="Compact"/>
              <w:jc w:val="right"/>
            </w:pPr>
            <w:r>
              <w:t xml:space="preserve">0.010</w:t>
            </w:r>
          </w:p>
        </w:tc>
        <w:tc>
          <w:tcPr/>
          <w:p>
            <w:pPr>
              <w:pStyle w:val="Compact"/>
              <w:jc w:val="right"/>
            </w:pPr>
            <w:r>
              <w:t xml:space="preserve">0.738</w:t>
            </w:r>
          </w:p>
        </w:tc>
      </w:tr>
      <w:tr>
        <w:tc>
          <w:tcPr/>
          <w:p>
            <w:pPr>
              <w:pStyle w:val="Compact"/>
              <w:jc w:val="left"/>
            </w:pPr>
            <w:r>
              <w:t xml:space="preserve">10</w:t>
            </w:r>
          </w:p>
        </w:tc>
        <w:tc>
          <w:tcPr/>
          <w:p>
            <w:pPr>
              <w:pStyle w:val="Compact"/>
              <w:jc w:val="right"/>
            </w:pPr>
            <w:r>
              <w:t xml:space="preserve">0.747</w:t>
            </w:r>
          </w:p>
        </w:tc>
        <w:tc>
          <w:tcPr/>
          <w:p>
            <w:pPr>
              <w:pStyle w:val="Compact"/>
              <w:jc w:val="right"/>
            </w:pPr>
            <w:r>
              <w:t xml:space="preserve">0.237</w:t>
            </w:r>
          </w:p>
        </w:tc>
        <w:tc>
          <w:tcPr/>
          <w:p>
            <w:pPr>
              <w:pStyle w:val="Compact"/>
              <w:jc w:val="right"/>
            </w:pPr>
            <w:r>
              <w:t xml:space="preserve">0.708</w:t>
            </w:r>
          </w:p>
        </w:tc>
        <w:tc>
          <w:tcPr/>
          <w:p>
            <w:pPr>
              <w:pStyle w:val="Compact"/>
              <w:jc w:val="right"/>
            </w:pPr>
            <w:r>
              <w:t xml:space="preserve">0.633</w:t>
            </w:r>
          </w:p>
        </w:tc>
        <w:tc>
          <w:tcPr/>
          <w:p>
            <w:pPr>
              <w:pStyle w:val="Compact"/>
              <w:jc w:val="right"/>
            </w:pPr>
            <w:r>
              <w:t xml:space="preserve">0.188</w:t>
            </w:r>
          </w:p>
        </w:tc>
        <w:tc>
          <w:tcPr/>
          <w:p>
            <w:pPr>
              <w:pStyle w:val="Compact"/>
              <w:jc w:val="right"/>
            </w:pPr>
            <w:r>
              <w:t xml:space="preserve">0.532</w:t>
            </w:r>
          </w:p>
        </w:tc>
        <w:tc>
          <w:tcPr/>
          <w:p>
            <w:pPr>
              <w:pStyle w:val="Compact"/>
              <w:jc w:val="right"/>
            </w:pPr>
            <w:r>
              <w:t xml:space="preserve">0.581</w:t>
            </w:r>
          </w:p>
        </w:tc>
        <w:tc>
          <w:tcPr/>
          <w:p>
            <w:pPr>
              <w:pStyle w:val="Compact"/>
              <w:jc w:val="right"/>
            </w:pPr>
            <w:r>
              <w:t xml:space="preserve">0.011</w:t>
            </w:r>
          </w:p>
        </w:tc>
        <w:tc>
          <w:tcPr/>
          <w:p>
            <w:pPr>
              <w:pStyle w:val="Compact"/>
              <w:jc w:val="right"/>
            </w:pPr>
            <w:r>
              <w:t xml:space="preserve">0.667</w:t>
            </w:r>
          </w:p>
        </w:tc>
      </w:tr>
      <w:tr>
        <w:tc>
          <w:tcPr/>
          <w:p>
            <w:pPr>
              <w:pStyle w:val="Compact"/>
              <w:jc w:val="left"/>
            </w:pPr>
            <w:r>
              <w:t xml:space="preserve">15</w:t>
            </w:r>
          </w:p>
        </w:tc>
        <w:tc>
          <w:tcPr/>
          <w:p>
            <w:pPr>
              <w:pStyle w:val="Compact"/>
              <w:jc w:val="right"/>
            </w:pPr>
            <w:r>
              <w:t xml:space="preserve">0.685</w:t>
            </w:r>
          </w:p>
        </w:tc>
        <w:tc>
          <w:tcPr/>
          <w:p>
            <w:pPr>
              <w:pStyle w:val="Compact"/>
              <w:jc w:val="right"/>
            </w:pPr>
            <w:r>
              <w:t xml:space="preserve">0.206</w:t>
            </w:r>
          </w:p>
        </w:tc>
        <w:tc>
          <w:tcPr/>
          <w:p>
            <w:pPr>
              <w:pStyle w:val="Compact"/>
              <w:jc w:val="right"/>
            </w:pPr>
            <w:r>
              <w:t xml:space="preserve">0.444</w:t>
            </w:r>
          </w:p>
        </w:tc>
        <w:tc>
          <w:tcPr/>
          <w:p>
            <w:pPr>
              <w:pStyle w:val="Compact"/>
              <w:jc w:val="right"/>
            </w:pPr>
            <w:r>
              <w:t xml:space="preserve">0.584</w:t>
            </w:r>
          </w:p>
        </w:tc>
        <w:tc>
          <w:tcPr/>
          <w:p>
            <w:pPr>
              <w:pStyle w:val="Compact"/>
              <w:jc w:val="right"/>
            </w:pPr>
            <w:r>
              <w:t xml:space="preserve">0.173</w:t>
            </w:r>
          </w:p>
        </w:tc>
        <w:tc>
          <w:tcPr/>
          <w:p>
            <w:pPr>
              <w:pStyle w:val="Compact"/>
              <w:jc w:val="right"/>
            </w:pPr>
            <w:r>
              <w:t xml:space="preserve">0.392</w:t>
            </w:r>
          </w:p>
        </w:tc>
        <w:tc>
          <w:tcPr/>
          <w:p>
            <w:pPr>
              <w:pStyle w:val="Compact"/>
              <w:jc w:val="right"/>
            </w:pPr>
            <w:r>
              <w:t xml:space="preserve">0.539</w:t>
            </w:r>
          </w:p>
        </w:tc>
        <w:tc>
          <w:tcPr/>
          <w:p>
            <w:pPr>
              <w:pStyle w:val="Compact"/>
              <w:jc w:val="right"/>
            </w:pPr>
            <w:r>
              <w:t xml:space="preserve">0.012</w:t>
            </w:r>
          </w:p>
        </w:tc>
        <w:tc>
          <w:tcPr/>
          <w:p>
            <w:pPr>
              <w:pStyle w:val="Compact"/>
              <w:jc w:val="right"/>
            </w:pPr>
            <w:r>
              <w:t xml:space="preserve">0.608</w:t>
            </w:r>
          </w:p>
        </w:tc>
      </w:tr>
      <w:tr>
        <w:tc>
          <w:tcPr/>
          <w:p>
            <w:pPr>
              <w:pStyle w:val="Compact"/>
              <w:jc w:val="left"/>
            </w:pPr>
            <w:r>
              <w:t xml:space="preserve">20</w:t>
            </w:r>
          </w:p>
        </w:tc>
        <w:tc>
          <w:tcPr/>
          <w:p>
            <w:pPr>
              <w:pStyle w:val="Compact"/>
              <w:jc w:val="right"/>
            </w:pPr>
            <w:r>
              <w:t xml:space="preserve">0.593</w:t>
            </w:r>
          </w:p>
        </w:tc>
        <w:tc>
          <w:tcPr/>
          <w:p>
            <w:pPr>
              <w:pStyle w:val="Compact"/>
              <w:jc w:val="right"/>
            </w:pPr>
            <w:r>
              <w:t xml:space="preserve">0.195</w:t>
            </w:r>
          </w:p>
        </w:tc>
        <w:tc>
          <w:tcPr/>
          <w:p>
            <w:pPr>
              <w:pStyle w:val="Compact"/>
              <w:jc w:val="right"/>
            </w:pPr>
            <w:r>
              <w:t xml:space="preserve">0.365</w:t>
            </w:r>
          </w:p>
        </w:tc>
        <w:tc>
          <w:tcPr/>
          <w:p>
            <w:pPr>
              <w:pStyle w:val="Compact"/>
              <w:jc w:val="right"/>
            </w:pPr>
            <w:r>
              <w:t xml:space="preserve">0.545</w:t>
            </w:r>
          </w:p>
        </w:tc>
        <w:tc>
          <w:tcPr/>
          <w:p>
            <w:pPr>
              <w:pStyle w:val="Compact"/>
              <w:jc w:val="right"/>
            </w:pPr>
            <w:r>
              <w:t xml:space="preserve">0.167</w:t>
            </w:r>
          </w:p>
        </w:tc>
        <w:tc>
          <w:tcPr/>
          <w:p>
            <w:pPr>
              <w:pStyle w:val="Compact"/>
              <w:jc w:val="right"/>
            </w:pPr>
            <w:r>
              <w:t xml:space="preserve">0.382</w:t>
            </w:r>
          </w:p>
        </w:tc>
        <w:tc>
          <w:tcPr/>
          <w:p>
            <w:pPr>
              <w:pStyle w:val="Compact"/>
              <w:jc w:val="right"/>
            </w:pPr>
            <w:r>
              <w:t xml:space="preserve">0.582</w:t>
            </w:r>
          </w:p>
        </w:tc>
        <w:tc>
          <w:tcPr/>
          <w:p>
            <w:pPr>
              <w:pStyle w:val="Compact"/>
              <w:jc w:val="right"/>
            </w:pPr>
            <w:r>
              <w:t xml:space="preserve">0.014</w:t>
            </w:r>
          </w:p>
        </w:tc>
        <w:tc>
          <w:tcPr/>
          <w:p>
            <w:pPr>
              <w:pStyle w:val="Compact"/>
              <w:jc w:val="right"/>
            </w:pPr>
            <w:r>
              <w:t xml:space="preserve">0.588</w:t>
            </w:r>
          </w:p>
        </w:tc>
      </w:tr>
      <w:tr>
        <w:tc>
          <w:tcPr/>
          <w:p>
            <w:pPr>
              <w:pStyle w:val="Compact"/>
              <w:jc w:val="left"/>
            </w:pPr>
            <w:r>
              <w:t xml:space="preserve">30</w:t>
            </w:r>
          </w:p>
        </w:tc>
        <w:tc>
          <w:tcPr/>
          <w:p>
            <w:pPr>
              <w:pStyle w:val="Compact"/>
              <w:jc w:val="right"/>
            </w:pPr>
            <w:r>
              <w:t xml:space="preserve">0.558</w:t>
            </w:r>
          </w:p>
        </w:tc>
        <w:tc>
          <w:tcPr/>
          <w:p>
            <w:pPr>
              <w:pStyle w:val="Compact"/>
              <w:jc w:val="right"/>
            </w:pPr>
            <w:r>
              <w:t xml:space="preserve">0.188</w:t>
            </w:r>
          </w:p>
        </w:tc>
        <w:tc>
          <w:tcPr/>
          <w:p>
            <w:pPr>
              <w:pStyle w:val="Compact"/>
              <w:jc w:val="right"/>
            </w:pPr>
            <w:r>
              <w:t xml:space="preserve">0.390</w:t>
            </w:r>
          </w:p>
        </w:tc>
        <w:tc>
          <w:tcPr/>
          <w:p>
            <w:pPr>
              <w:pStyle w:val="Compact"/>
              <w:jc w:val="right"/>
            </w:pPr>
            <w:r>
              <w:t xml:space="preserve">0.500</w:t>
            </w:r>
          </w:p>
        </w:tc>
        <w:tc>
          <w:tcPr/>
          <w:p>
            <w:pPr>
              <w:pStyle w:val="Compact"/>
              <w:jc w:val="right"/>
            </w:pPr>
            <w:r>
              <w:t xml:space="preserve">0.162</w:t>
            </w:r>
          </w:p>
        </w:tc>
        <w:tc>
          <w:tcPr/>
          <w:p>
            <w:pPr>
              <w:pStyle w:val="Compact"/>
              <w:jc w:val="right"/>
            </w:pPr>
            <w:r>
              <w:t xml:space="preserve">0.336</w:t>
            </w:r>
          </w:p>
        </w:tc>
        <w:tc>
          <w:tcPr/>
          <w:p>
            <w:pPr>
              <w:pStyle w:val="Compact"/>
              <w:jc w:val="right"/>
            </w:pPr>
            <w:r>
              <w:t xml:space="preserve">0.634</w:t>
            </w:r>
          </w:p>
        </w:tc>
        <w:tc>
          <w:tcPr/>
          <w:p>
            <w:pPr>
              <w:pStyle w:val="Compact"/>
              <w:jc w:val="right"/>
            </w:pPr>
            <w:r>
              <w:t xml:space="preserve">0.023</w:t>
            </w:r>
          </w:p>
        </w:tc>
        <w:tc>
          <w:tcPr/>
          <w:p>
            <w:pPr>
              <w:pStyle w:val="Compact"/>
              <w:jc w:val="right"/>
            </w:pPr>
            <w:r>
              <w:t xml:space="preserve">0.515</w:t>
            </w:r>
          </w:p>
        </w:tc>
      </w:tr>
      <w:tr>
        <w:tc>
          <w:tcPr/>
          <w:p>
            <w:pPr>
              <w:pStyle w:val="Compact"/>
              <w:jc w:val="left"/>
            </w:pPr>
            <w:r>
              <w:t xml:space="preserve">40</w:t>
            </w:r>
          </w:p>
        </w:tc>
        <w:tc>
          <w:tcPr/>
          <w:p>
            <w:pPr>
              <w:pStyle w:val="Compact"/>
              <w:jc w:val="right"/>
            </w:pPr>
            <w:r>
              <w:t xml:space="preserve">0.535</w:t>
            </w:r>
          </w:p>
        </w:tc>
        <w:tc>
          <w:tcPr/>
          <w:p>
            <w:pPr>
              <w:pStyle w:val="Compact"/>
              <w:jc w:val="right"/>
            </w:pPr>
            <w:r>
              <w:t xml:space="preserve">0.186</w:t>
            </w:r>
          </w:p>
        </w:tc>
        <w:tc>
          <w:tcPr/>
          <w:p>
            <w:pPr>
              <w:pStyle w:val="Compact"/>
              <w:jc w:val="right"/>
            </w:pPr>
            <w:r>
              <w:t xml:space="preserve">0.355</w:t>
            </w:r>
          </w:p>
        </w:tc>
        <w:tc>
          <w:tcPr/>
          <w:p>
            <w:pPr>
              <w:pStyle w:val="Compact"/>
              <w:jc w:val="right"/>
            </w:pPr>
            <w:r>
              <w:t xml:space="preserve">0.498</w:t>
            </w:r>
          </w:p>
        </w:tc>
        <w:tc>
          <w:tcPr/>
          <w:p>
            <w:pPr>
              <w:pStyle w:val="Compact"/>
              <w:jc w:val="right"/>
            </w:pPr>
            <w:r>
              <w:t xml:space="preserve">0.161</w:t>
            </w:r>
          </w:p>
        </w:tc>
        <w:tc>
          <w:tcPr/>
          <w:p>
            <w:pPr>
              <w:pStyle w:val="Compact"/>
              <w:jc w:val="right"/>
            </w:pPr>
            <w:r>
              <w:t xml:space="preserve">0.328</w:t>
            </w:r>
          </w:p>
        </w:tc>
        <w:tc>
          <w:tcPr/>
          <w:p>
            <w:pPr>
              <w:pStyle w:val="Compact"/>
              <w:jc w:val="right"/>
            </w:pPr>
            <w:r>
              <w:t xml:space="preserve">0.596</w:t>
            </w:r>
          </w:p>
        </w:tc>
        <w:tc>
          <w:tcPr/>
          <w:p>
            <w:pPr>
              <w:pStyle w:val="Compact"/>
              <w:jc w:val="right"/>
            </w:pPr>
            <w:r>
              <w:t xml:space="preserve">0.032</w:t>
            </w:r>
          </w:p>
        </w:tc>
        <w:tc>
          <w:tcPr/>
          <w:p>
            <w:pPr>
              <w:pStyle w:val="Compact"/>
              <w:jc w:val="right"/>
            </w:pPr>
            <w:r>
              <w:t xml:space="preserve">0.463</w:t>
            </w:r>
          </w:p>
        </w:tc>
      </w:tr>
      <w:tr>
        <w:tc>
          <w:tcPr/>
          <w:p>
            <w:pPr>
              <w:pStyle w:val="Compact"/>
              <w:jc w:val="left"/>
            </w:pPr>
            <w:r>
              <w:t xml:space="preserve">50</w:t>
            </w:r>
          </w:p>
        </w:tc>
        <w:tc>
          <w:tcPr/>
          <w:p>
            <w:pPr>
              <w:pStyle w:val="Compact"/>
              <w:jc w:val="right"/>
            </w:pPr>
            <w:r>
              <w:t xml:space="preserve">0.523</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0.581</w:t>
            </w:r>
          </w:p>
        </w:tc>
        <w:tc>
          <w:tcPr/>
          <w:p>
            <w:pPr>
              <w:pStyle w:val="Compact"/>
              <w:jc w:val="right"/>
            </w:pPr>
            <w:r>
              <w:t xml:space="preserve">0.034</w:t>
            </w:r>
          </w:p>
        </w:tc>
        <w:tc>
          <w:tcPr/>
          <w:p>
            <w:pPr>
              <w:pStyle w:val="Compact"/>
              <w:jc w:val="right"/>
            </w:pPr>
            <w:r>
              <w:t xml:space="preserve">0.485</w:t>
            </w:r>
          </w:p>
        </w:tc>
      </w:tr>
      <w:tr>
        <w:tc>
          <w:tcPr/>
          <w:p>
            <w:pPr>
              <w:pStyle w:val="Compact"/>
              <w:jc w:val="left"/>
            </w:pPr>
            <w:r>
              <w:t xml:space="preserve">60</w:t>
            </w:r>
          </w:p>
        </w:tc>
        <w:tc>
          <w:tcPr/>
          <w:p>
            <w:pPr>
              <w:pStyle w:val="Compact"/>
              <w:jc w:val="right"/>
            </w:pPr>
            <w:r>
              <w:t xml:space="preserve">0.512</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0.562</w:t>
            </w:r>
          </w:p>
        </w:tc>
        <w:tc>
          <w:tcPr/>
          <w:p>
            <w:pPr>
              <w:pStyle w:val="Compact"/>
              <w:jc w:val="right"/>
            </w:pPr>
            <w:r>
              <w:t xml:space="preserve">0.036</w:t>
            </w:r>
          </w:p>
        </w:tc>
        <w:tc>
          <w:tcPr/>
          <w:p>
            <w:pPr>
              <w:pStyle w:val="Compact"/>
              <w:jc w:val="right"/>
            </w:pPr>
            <w:r>
              <w:t xml:space="preserve">0.483</w:t>
            </w:r>
          </w:p>
        </w:tc>
      </w:tr>
      <w:tr>
        <w:tc>
          <w:tcPr/>
          <w:p>
            <w:pPr>
              <w:pStyle w:val="Compact"/>
              <w:jc w:val="left"/>
            </w:pPr>
            <w:r>
              <w:t xml:space="preserve">62</w:t>
            </w:r>
          </w:p>
        </w:tc>
        <w:tc>
          <w:tcPr/>
          <w:p>
            <w:pPr>
              <w:pStyle w:val="Compact"/>
              <w:jc w:val="right"/>
            </w:pPr>
            <w:r>
              <w:t xml:space="preserve">0.498</w:t>
            </w:r>
          </w:p>
        </w:tc>
        <w:tc>
          <w:tcPr/>
          <w:p>
            <w:pPr>
              <w:pStyle w:val="Compact"/>
              <w:jc w:val="right"/>
            </w:pPr>
            <w:r>
              <w:t xml:space="preserve">0.187</w:t>
            </w:r>
          </w:p>
        </w:tc>
        <w:tc>
          <w:tcPr/>
          <w:p>
            <w:pPr>
              <w:pStyle w:val="Compact"/>
              <w:jc w:val="right"/>
            </w:pPr>
            <w:r>
              <w:t xml:space="preserve">0.338</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left"/>
            </w:pPr>
            <w:r>
              <w:t xml:space="preserve">70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0.552</w:t>
            </w:r>
          </w:p>
        </w:tc>
        <w:tc>
          <w:tcPr/>
          <w:p>
            <w:pPr>
              <w:pStyle w:val="Compact"/>
              <w:jc w:val="right"/>
            </w:pPr>
            <w:r>
              <w:t xml:space="preserve">0.038</w:t>
            </w:r>
          </w:p>
        </w:tc>
        <w:tc>
          <w:tcPr/>
          <w:p>
            <w:pPr>
              <w:pStyle w:val="Compact"/>
              <w:jc w:val="right"/>
            </w:pPr>
            <w:r>
              <w:t xml:space="preserve">0.500</w:t>
            </w:r>
          </w:p>
        </w:tc>
      </w:tr>
      <w:tr>
        <w:tc>
          <w:tcPr/>
          <w:p>
            <w:pPr>
              <w:pStyle w:val="Compact"/>
              <w:jc w:val="left"/>
            </w:pPr>
            <w:r>
              <w:t xml:space="preserve">79</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0.491</w:t>
            </w:r>
          </w:p>
        </w:tc>
        <w:tc>
          <w:tcPr/>
          <w:p>
            <w:pPr>
              <w:pStyle w:val="Compact"/>
              <w:jc w:val="right"/>
            </w:pPr>
            <w:r>
              <w:t xml:space="preserve">0.041</w:t>
            </w:r>
          </w:p>
        </w:tc>
        <w:tc>
          <w:tcPr/>
          <w:p>
            <w:pPr>
              <w:pStyle w:val="Compact"/>
              <w:jc w:val="right"/>
            </w:pPr>
            <w:r>
              <w:t xml:space="preserve">0.471</w:t>
            </w:r>
          </w:p>
        </w:tc>
      </w:tr>
    </w:tbl>
    <w:bookmarkEnd w:id="109"/>
    <w:p>
      <w:pPr>
        <w:pStyle w:val="BodyText"/>
      </w:pPr>
      <w:r>
        <w:rPr>
          <w:iCs/>
          <w:i/>
        </w:rPr>
        <w:t xml:space="preserve">Notes:</w:t>
      </w:r>
      <w:r>
        <w:t xml:space="preserve"> </w:t>
      </w:r>
      <w:r>
        <w:t xml:space="preserve">acc = held-out accuracy on a stratified 15% test split after projecting out the first</w:t>
      </w:r>
      <w:r>
        <w:t xml:space="preserve"> </w:t>
      </w:r>
      <m:oMath>
        <m:r>
          <m:t>k</m:t>
        </m:r>
      </m:oMath>
      <w:r>
        <w:t xml:space="preserve"> </w:t>
      </w:r>
      <w:r>
        <w:t xml:space="preserve">learned directions. gap = average within-SDG semantic gap after</w:t>
      </w:r>
      <w:r>
        <w:t xml:space="preserve"> </w:t>
      </w:r>
      <m:oMath>
        <m:r>
          <m:t>k</m:t>
        </m:r>
      </m:oMath>
      <w:r>
        <w:t xml:space="preserve"> </w:t>
      </w:r>
      <w:r>
        <w:t xml:space="preserve">removals. p vs raw = Spearman rank correlation of the gap vector at iteration </w:t>
      </w:r>
      <m:oMath>
        <m:r>
          <m:t>k</m:t>
        </m:r>
      </m:oMath>
      <w:r>
        <w:t xml:space="preserve"> </w:t>
      </w:r>
      <w:r>
        <w:t xml:space="preserve">versus the raw (iteration 0, un-projected) gap vector; reported per encoder track. Cells marked — indicate an iteration not shown for that track.</w:t>
      </w:r>
    </w:p>
    <w:bookmarkEnd w:id="110"/>
    <w:bookmarkEnd w:id="111"/>
    <w:bookmarkStart w:id="123" w:name="app:register-validation"/>
    <w:p>
      <w:pPr>
        <w:pStyle w:val="Heading2"/>
      </w:pPr>
      <w:r>
        <w:t xml:space="preserve">Construct Validation</w:t>
      </w:r>
    </w:p>
    <w:bookmarkStart w:id="112" w:name="sec:regval-purpose"/>
    <w:p>
      <w:pPr>
        <w:pStyle w:val="Heading3"/>
      </w:pPr>
      <w:r>
        <w:t xml:space="preserve">Purpose and Validation Question</w:t>
      </w:r>
    </w:p>
    <w:p>
      <w:pPr>
        <w:pStyle w:val="FirstParagraph"/>
      </w:pPr>
      <w:r>
        <w:t xml:space="preserve">Section </w:t>
      </w:r>
      <w:hyperlink w:anchor="sec:register-adjustment-inlp">
        <w:r>
          <w:rPr>
            <w:rStyle w:val="Hyperlink"/>
          </w:rPr>
          <w:t xml:space="preserve">3.8</w:t>
        </w:r>
      </w:hyperlink>
      <w:r>
        <w:t xml:space="preserve"> </w:t>
      </w:r>
      <w:r>
        <w:t xml:space="preserve">shows</w:t>
      </w:r>
      <w:r>
        <w:t xml:space="preserve"> </w:t>
      </w:r>
      <w:r>
        <w:rPr>
          <w:iCs/>
          <w:i/>
        </w:rPr>
        <w:t xml:space="preserve">what</w:t>
      </w:r>
      <w:r>
        <w:t xml:space="preserve"> </w:t>
      </w:r>
      <w:r>
        <w:t xml:space="preserve">INLP removes, a corpus-separable linear component, but not what that component is. This subsection evaluates the register interpretation empirically, using an independent surface-linguistic register score computed from the segment texts, following Biber-style register features</w:t>
      </w:r>
      <w:r>
        <w:t xml:space="preserve"> </w:t>
      </w:r>
      <w:r>
        <w:t xml:space="preserve">(Biber, 1988)</w:t>
      </w:r>
      <w:r>
        <w:t xml:space="preserve">.</w:t>
      </w:r>
    </w:p>
    <w:p>
      <w:pPr>
        <w:pStyle w:val="BodyText"/>
      </w:pPr>
      <w:r>
        <w:t xml:space="preserve">The validation can show three things: whether the adjustment removes a large corpus-separable component; whether the removal is accompanied by evidence that SDG (topic) structure is being destroyed; and whether apparent residual register signals survive controlled samples. It cannot prove that the removed subspace is identical to the measured linguistic register features, and the register score used here is a small set of surface indicators. The validation is single-encoder and sample-limited.</w:t>
      </w:r>
    </w:p>
    <w:bookmarkEnd w:id="112"/>
    <w:bookmarkStart w:id="115" w:name="sec:regval-operationalisation"/>
    <w:p>
      <w:pPr>
        <w:pStyle w:val="Heading3"/>
      </w:pPr>
      <w:r>
        <w:t xml:space="preserve">Register Operationalisation and Sample Construction</w:t>
      </w:r>
    </w:p>
    <w:p>
      <w:pPr>
        <w:pStyle w:val="FirstParagraph"/>
      </w:pPr>
      <w:r>
        <w:rPr>
          <w:bCs/>
          <w:b/>
        </w:rPr>
        <w:t xml:space="preserve">What the test checks:</w:t>
      </w:r>
      <w:r>
        <w:t xml:space="preserve"> </w:t>
      </w:r>
      <w:r>
        <w:t xml:space="preserve">The main analysis removes a writing-style (register) component with INLP and reads the remaining gap as topic. The appendix checks that reading with independent, surface-level style measurements. Two questions are asked: (1) does removal actually weaken the research–policy distinction? (2) does removal destroy topic? The short answer is yes to (1) and no to (2); whether the removed part is truly</w:t>
      </w:r>
      <w:r>
        <w:t xml:space="preserve"> </w:t>
      </w:r>
      <w:r>
        <w:rPr>
          <w:iCs/>
          <w:i/>
        </w:rPr>
        <w:t xml:space="preserve">register</w:t>
      </w:r>
      <w:r>
        <w:t xml:space="preserve"> </w:t>
      </w:r>
      <w:r>
        <w:t xml:space="preserve">is not proven (see the conclusion).</w:t>
      </w:r>
    </w:p>
    <w:p>
      <w:pPr>
        <w:pStyle w:val="BodyText"/>
      </w:pPr>
      <w:r>
        <w:rPr>
          <w:bCs/>
          <w:b/>
        </w:rPr>
        <w:t xml:space="preserve">Sample construction:</w:t>
      </w:r>
      <w:r>
        <w:t xml:space="preserve"> </w:t>
      </w:r>
      <w:r>
        <w:t xml:space="preserve">All results use the canonical MPNet track (408 segments per sample: 12 per SDG per corpus, seed 42), and the same frozen projection matrix</w:t>
      </w:r>
      <w:r>
        <w:t xml:space="preserve"> </w:t>
      </w:r>
      <m:oMath>
        <m:r>
          <m:t>G</m:t>
        </m:r>
      </m:oMath>
      <w:r>
        <w:t xml:space="preserve"> </w:t>
      </w:r>
      <w:r>
        <w:t xml:space="preserve">as the main analysis. A small set of long flagship reports (the SDSN Sustainable Development Reports 2024 and 2025, the UNDP Human Development Report 2021/22, the WHO report on ethics and governance of AI for health, the EU AI Act, and two UN SDG progress reports) contribute 25 segments across 15 of the 17 SDGs, often as near-duplicates of the same document. These segments are style outliers (mean sentence length 276.9 words vs. 35.6 for the remaining units; nominalisation rate 20.0 vs. 38.8) and, because segments of one document sit close in embedding space, can create fake pooled correlations. The main test therefore uses a one-segment-per-document design (global deduplication by source document; 408 distinct parents, no multi-parent units), which caps each flagship document at one segment and replaces excluded segments with other policy segments from the same SDG, drawn mostly from shorter national and thematic monitoring reports. The two designs differ in makeup, which the Limitations return to. Table </w:t>
      </w:r>
      <w:hyperlink w:anchor="tab:register-sample-design">
        <w:r>
          <w:rPr>
            <w:rStyle w:val="Hyperlink"/>
          </w:rPr>
          <w:t xml:space="preserve">16</w:t>
        </w:r>
      </w:hyperlink>
      <w:r>
        <w:t xml:space="preserve"> </w:t>
      </w:r>
      <w:r>
        <w:t xml:space="preserve">summarises both.</w:t>
      </w:r>
    </w:p>
    <w:bookmarkStart w:id="113" w:name="tab:register-sample-design"/>
    <w:p>
      <w:pPr>
        <w:pStyle w:val="TableCaption"/>
      </w:pPr>
      <w:r>
        <w:t xml:space="preserve">Validation sample construction: the two designs.</w:t>
      </w:r>
    </w:p>
    <w:tbl>
      <w:tblPr>
        <w:tblStyle w:val="Table"/>
        <w:tblW w:type="auto" w:w="0"/>
        <w:tblLook w:firstRow="1" w:lastRow="0" w:firstColumn="0" w:lastColumn="0" w:noHBand="0" w:noVBand="0" w:val="0020"/>
        <w:jc w:val="start"/>
        <w:tblCaption w:val="Validation sample construction: the two designs."/>
      </w:tblPr>
      <w:tblGrid>
        <w:gridCol w:w="990"/>
        <w:gridCol w:w="990"/>
        <w:gridCol w:w="990"/>
        <w:gridCol w:w="990"/>
        <w:gridCol w:w="990"/>
        <w:gridCol w:w="990"/>
        <w:gridCol w:w="990"/>
        <w:gridCol w:w="990"/>
      </w:tblGrid>
      <w:tr>
        <w:trPr>
          <w:tblHeader w:val="true"/>
        </w:trPr>
        <w:tc>
          <w:tcPr/>
          <w:p>
            <w:pPr>
              <w:pStyle w:val="Compact"/>
              <w:jc w:val="left"/>
            </w:pPr>
            <w:r>
              <w:t xml:space="preserve">Design</w:t>
            </w:r>
          </w:p>
        </w:tc>
        <w:tc>
          <w:tcPr/>
          <w:p>
            <w:pPr>
              <w:pStyle w:val="Compact"/>
              <w:jc w:val="right"/>
            </w:pPr>
            <w:r>
              <w:t xml:space="preserve">Segments</w:t>
            </w:r>
          </w:p>
        </w:tc>
        <w:tc>
          <w:tcPr/>
          <w:p>
            <w:pPr>
              <w:pStyle w:val="Compact"/>
              <w:jc w:val="right"/>
            </w:pPr>
            <w:r>
              <w:t xml:space="preserve">Research</w:t>
            </w:r>
          </w:p>
        </w:tc>
        <w:tc>
          <w:tcPr/>
          <w:p>
            <w:pPr>
              <w:pStyle w:val="Compact"/>
              <w:jc w:val="right"/>
            </w:pPr>
            <w:r>
              <w:t xml:space="preserve">Policy</w:t>
            </w:r>
          </w:p>
        </w:tc>
        <w:tc>
          <w:tcPr/>
          <w:p>
            <w:pPr>
              <w:pStyle w:val="Compact"/>
              <w:jc w:val="right"/>
            </w:pPr>
            <w:r>
              <w:t xml:space="preserve">Distinct docs</w:t>
            </w:r>
          </w:p>
        </w:tc>
        <w:tc>
          <w:tcPr/>
          <w:p>
            <w:pPr>
              <w:pStyle w:val="Compact"/>
              <w:jc w:val="right"/>
            </w:pPr>
            <w:r>
              <w:t xml:space="preserve">Multi-parent units</w:t>
            </w:r>
          </w:p>
        </w:tc>
        <w:tc>
          <w:tcPr/>
          <w:p>
            <w:pPr>
              <w:pStyle w:val="Compact"/>
              <w:jc w:val="right"/>
            </w:pPr>
            <w:r>
              <w:t xml:space="preserve">Mega-doc segments</w:t>
            </w:r>
          </w:p>
        </w:tc>
        <w:tc>
          <w:tcPr/>
          <w:p>
            <w:pPr>
              <w:pStyle w:val="Compact"/>
              <w:jc w:val="right"/>
            </w:pPr>
            <w:r>
              <w:t xml:space="preserve">Mega-SDGs</w:t>
            </w:r>
          </w:p>
        </w:tc>
      </w:tr>
      <w:tr>
        <w:tc>
          <w:tcPr/>
          <w:p>
            <w:pPr>
              <w:pStyle w:val="Compact"/>
              <w:jc w:val="left"/>
            </w:pPr>
            <w:r>
              <w:t xml:space="preserve">Original (per-SDG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390</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15</w:t>
            </w:r>
          </w:p>
        </w:tc>
      </w:tr>
      <w:tr>
        <w:tc>
          <w:tcPr/>
          <w:p>
            <w:pPr>
              <w:pStyle w:val="Compact"/>
              <w:jc w:val="left"/>
            </w:pPr>
            <w:r>
              <w:t xml:space="preserve">One-per-parent (global dedup)</w:t>
            </w:r>
          </w:p>
        </w:tc>
        <w:tc>
          <w:tcPr/>
          <w:p>
            <w:pPr>
              <w:pStyle w:val="Compact"/>
              <w:jc w:val="right"/>
            </w:pPr>
            <w:r>
              <w:t xml:space="preserve">408</w:t>
            </w:r>
          </w:p>
        </w:tc>
        <w:tc>
          <w:tcPr/>
          <w:p>
            <w:pPr>
              <w:pStyle w:val="Compact"/>
              <w:jc w:val="right"/>
            </w:pPr>
            <w:r>
              <w:t xml:space="preserve">204</w:t>
            </w:r>
          </w:p>
        </w:tc>
        <w:tc>
          <w:tcPr/>
          <w:p>
            <w:pPr>
              <w:pStyle w:val="Compact"/>
              <w:jc w:val="right"/>
            </w:pPr>
            <w:r>
              <w:t xml:space="preserve">204</w:t>
            </w:r>
          </w:p>
        </w:tc>
        <w:tc>
          <w:tcPr/>
          <w:p>
            <w:pPr>
              <w:pStyle w:val="Compact"/>
              <w:jc w:val="right"/>
            </w:pPr>
            <w:r>
              <w:t xml:space="preserve">408</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bl>
    <w:bookmarkEnd w:id="113"/>
    <w:p>
      <w:pPr>
        <w:pStyle w:val="BodyText"/>
      </w:pPr>
      <w:r>
        <w:rPr>
          <w:iCs/>
          <w:i/>
        </w:rPr>
        <w:t xml:space="preserve">Notes:</w:t>
      </w:r>
      <w:r>
        <w:t xml:space="preserve"> </w:t>
      </w:r>
      <w:r>
        <w:t xml:space="preserve">The one-per-parent sample is a rebuild, not a subset of the original sample: excluded flagship segments are replaced by shorter national and thematic monitoring reports, so the two samples differ in composition. Each sample holds 12 segments per SDG per corpus.</w:t>
      </w:r>
    </w:p>
    <w:p>
      <w:pPr>
        <w:pStyle w:val="BodyText"/>
      </w:pPr>
      <w:r>
        <w:rPr>
          <w:bCs/>
          <w:b/>
        </w:rPr>
        <w:t xml:space="preserve">Register score:</w:t>
      </w:r>
      <w:r>
        <w:t xml:space="preserve"> </w:t>
      </w:r>
      <w:r>
        <w:t xml:space="preserve">Each sampled segment is lower-cased and tokenised. Six surface features are counted and, except sentence length, expressed per 1</w:t>
      </w:r>
      <w:r>
        <w:t xml:space="preserve">,</w:t>
      </w:r>
      <w:r>
        <w:t xml:space="preserve">000 words:</w:t>
      </w:r>
    </w:p>
    <w:p>
      <w:pPr>
        <w:numPr>
          <w:ilvl w:val="0"/>
          <w:numId w:val="1005"/>
        </w:numPr>
      </w:pPr>
      <w:r>
        <w:rPr>
          <w:bCs/>
          <w:b/>
        </w:rPr>
        <w:t xml:space="preserve">Hedge rate:</w:t>
      </w:r>
      <w:r>
        <w:t xml:space="preserve"> </w:t>
      </w:r>
      <w:r>
        <w:t xml:space="preserve">occurrences of</w:t>
      </w:r>
      <w:r>
        <w:t xml:space="preserve"> </w:t>
      </w:r>
      <w:r>
        <w:rPr>
          <w:iCs/>
          <w:i/>
        </w:rPr>
        <w:t xml:space="preserve">may, might, could, suggests, appears, potentially, likely</w:t>
      </w:r>
      <w:r>
        <w:t xml:space="preserve">.</w:t>
      </w:r>
    </w:p>
    <w:p>
      <w:pPr>
        <w:numPr>
          <w:ilvl w:val="0"/>
          <w:numId w:val="1005"/>
        </w:numPr>
      </w:pPr>
      <w:r>
        <w:rPr>
          <w:bCs/>
          <w:b/>
        </w:rPr>
        <w:t xml:space="preserve">Deontic-modality rate:</w:t>
      </w:r>
      <w:r>
        <w:t xml:space="preserve"> </w:t>
      </w:r>
      <w:r>
        <w:rPr>
          <w:iCs/>
          <w:i/>
        </w:rPr>
        <w:t xml:space="preserve">must, shall, should, will</w:t>
      </w:r>
      <w:r>
        <w:t xml:space="preserve">.</w:t>
      </w:r>
    </w:p>
    <w:p>
      <w:pPr>
        <w:numPr>
          <w:ilvl w:val="0"/>
          <w:numId w:val="1005"/>
        </w:numPr>
      </w:pPr>
      <w:r>
        <w:rPr>
          <w:bCs/>
          <w:b/>
        </w:rPr>
        <w:t xml:space="preserve">First-person rate:</w:t>
      </w:r>
      <w:r>
        <w:t xml:space="preserve"> </w:t>
      </w:r>
      <w:r>
        <w:t xml:space="preserve">first-person pronouns (</w:t>
      </w:r>
      <w:r>
        <w:rPr>
          <w:iCs/>
          <w:i/>
        </w:rPr>
        <w:t xml:space="preserve">I, we, our, us, me, my</w:t>
      </w:r>
      <w:r>
        <w:t xml:space="preserve"> </w:t>
      </w:r>
      <w:r>
        <w:t xml:space="preserve">and variants).</w:t>
      </w:r>
    </w:p>
    <w:p>
      <w:pPr>
        <w:numPr>
          <w:ilvl w:val="0"/>
          <w:numId w:val="1005"/>
        </w:numPr>
      </w:pPr>
      <w:r>
        <w:rPr>
          <w:bCs/>
          <w:b/>
        </w:rPr>
        <w:t xml:space="preserve">Nominalisation rate:</w:t>
      </w:r>
      <w:r>
        <w:t xml:space="preserve"> </w:t>
      </w:r>
      <w:r>
        <w:t xml:space="preserve">words ending in</w:t>
      </w:r>
      <w:r>
        <w:t xml:space="preserve"> </w:t>
      </w:r>
      <w:r>
        <w:rPr>
          <w:iCs/>
          <w:i/>
        </w:rPr>
        <w:t xml:space="preserve">-tion, -ment, -ness</w:t>
      </w:r>
      <w:r>
        <w:t xml:space="preserve">.</w:t>
      </w:r>
    </w:p>
    <w:p>
      <w:pPr>
        <w:numPr>
          <w:ilvl w:val="0"/>
          <w:numId w:val="1005"/>
        </w:numPr>
      </w:pPr>
      <w:r>
        <w:rPr>
          <w:bCs/>
          <w:b/>
        </w:rPr>
        <w:t xml:space="preserve">Passive-voice frequency:</w:t>
      </w:r>
      <w:r>
        <w:t xml:space="preserve"> </w:t>
      </w:r>
      <w:r>
        <w:t xml:space="preserve">a be-form (</w:t>
      </w:r>
      <w:r>
        <w:rPr>
          <w:iCs/>
          <w:i/>
        </w:rPr>
        <w:t xml:space="preserve">am/is/are/was/were/be/been/being</w:t>
      </w:r>
      <w:r>
        <w:t xml:space="preserve">) immediately followed by a past participle, allowing one intervening adverb; detected by part-of-speech tagging.</w:t>
      </w:r>
    </w:p>
    <w:p>
      <w:pPr>
        <w:numPr>
          <w:ilvl w:val="0"/>
          <w:numId w:val="1005"/>
        </w:numPr>
      </w:pPr>
      <w:r>
        <w:rPr>
          <w:bCs/>
          <w:b/>
        </w:rPr>
        <w:t xml:space="preserve">Mean sentence length:</w:t>
      </w:r>
      <w:r>
        <w:t xml:space="preserve"> </w:t>
      </w:r>
      <w:r>
        <w:t xml:space="preserve">words per sentence (sentence-split).</w:t>
      </w:r>
    </w:p>
    <w:p>
      <w:pPr>
        <w:pStyle w:val="FirstParagraph"/>
      </w:pPr>
      <w:r>
        <w:t xml:space="preserve">The register score is the first principal component (PC1) of the six standardised features. It is oriented so that it correlates positively with sentence length, but this is only a sign convention and the score does not rest on any single feature.</w:t>
      </w:r>
    </w:p>
    <w:p>
      <w:pPr>
        <w:pStyle w:val="BodyText"/>
      </w:pPr>
      <w:r>
        <w:t xml:space="preserve">This manual score is the study’s independent, human-readable register benchmark. It is not used in the main analysis, which relies on INLP’s removed embedding subspace. It is the yardstick against which INLP removal is validated in G.2.3–G.2.5, where the manual score tracks INLP removal only weakly: its correlation with the amount of embedding removed is</w:t>
      </w:r>
      <w:r>
        <w:t xml:space="preserve"> </w:t>
      </w:r>
      <m:oMath>
        <m:r>
          <m:t>ρ</m:t>
        </m:r>
        <m:r>
          <m:rPr>
            <m:sty m:val="p"/>
          </m:rPr>
          <m:t>≈</m:t>
        </m:r>
        <m:r>
          <m:t>0.10</m:t>
        </m:r>
      </m:oMath>
      <w:r>
        <w:t xml:space="preserve"> </w:t>
      </w:r>
      <w:r>
        <w:t xml:space="preserve">on the original sample and not significant on the cleaner one-per-parent sample, and a classifier built from the six features alone separates research from policy at about chance. The manual score therefore captures only a small, unstable part of what INLP removes – which is why the register reading is offered as plausible but unproven.</w:t>
      </w:r>
    </w:p>
    <w:p>
      <w:pPr>
        <w:pStyle w:val="BodyText"/>
      </w:pPr>
      <w:r>
        <w:rPr>
          <w:bCs/>
          <w:b/>
        </w:rPr>
        <w:t xml:space="preserve">Corpus feature contrasts:</w:t>
      </w:r>
      <w:r>
        <w:t xml:space="preserve"> </w:t>
      </w:r>
      <w:r>
        <w:t xml:space="preserve">Table </w:t>
      </w:r>
      <w:hyperlink w:anchor="tab:register-feature-contrasts">
        <w:r>
          <w:rPr>
            <w:rStyle w:val="Hyperlink"/>
          </w:rPr>
          <w:t xml:space="preserve">17</w:t>
        </w:r>
      </w:hyperlink>
      <w:r>
        <w:t xml:space="preserve"> </w:t>
      </w:r>
      <w:r>
        <w:t xml:space="preserve">shows all six features: policy uses markedly more deontic language and research hedges and passivises more, both stable across samples; first-person and nominalisation rates are about balanced, with the flagship segments the outliers on both. Mean sentence length is the one feature whose direction is not robust – its apparent policy lead is driven by the flagship documents and reverses once they are set aside, so it is treated as composition-sensitive rather than load-bearing.</w:t>
      </w:r>
    </w:p>
    <w:bookmarkStart w:id="114" w:name="tab:register-feature-contrasts"/>
    <w:p>
      <w:pPr>
        <w:pStyle w:val="TableCaption"/>
      </w:pPr>
      <w:r>
        <w:t xml:space="preserve">Corpus register-feature contrasts (original sample).</w:t>
      </w:r>
    </w:p>
    <w:tbl>
      <w:tblPr>
        <w:tblStyle w:val="Table"/>
        <w:tblW w:type="auto" w:w="0"/>
        <w:tblLook w:firstRow="1" w:lastRow="0" w:firstColumn="0" w:lastColumn="0" w:noHBand="0" w:noVBand="0" w:val="0020"/>
        <w:jc w:val="start"/>
        <w:tblCaption w:val="Corpus register-feature contrasts (original sample)."/>
      </w:tblPr>
      <w:tblGrid>
        <w:gridCol w:w="1131"/>
        <w:gridCol w:w="1131"/>
        <w:gridCol w:w="1131"/>
        <w:gridCol w:w="1131"/>
        <w:gridCol w:w="1131"/>
        <w:gridCol w:w="1131"/>
        <w:gridCol w:w="1131"/>
      </w:tblGrid>
      <w:tr>
        <w:trPr>
          <w:tblHeader w:val="true"/>
        </w:trPr>
        <w:tc>
          <w:tcPr/>
          <w:p>
            <w:pPr>
              <w:pStyle w:val="Compact"/>
              <w:jc w:val="left"/>
            </w:pPr>
            <w:r>
              <w:t xml:space="preserve">Feature</w:t>
            </w:r>
          </w:p>
        </w:tc>
        <w:tc>
          <w:tcPr>
            <w:gridSpan w:val="2"/>
          </w:tcPr>
          <w:p>
            <w:pPr>
              <w:pStyle w:val="Compact"/>
              <w:jc w:val="center"/>
            </w:pPr>
            <w:r>
              <w:t xml:space="preserve">Corpus mean</w:t>
            </w:r>
          </w:p>
        </w:tc>
        <w:tc>
          <w:tcPr/>
          <w:p>
            <w:pPr>
              <w:pStyle w:val="Compact"/>
              <w:jc w:val="left"/>
            </w:pPr>
            <w:r>
              <w:t xml:space="preserve">Direction</w:t>
            </w:r>
          </w:p>
        </w:tc>
        <w:tc>
          <w:tcPr/>
          <w:p>
            <w:pPr>
              <w:pStyle w:val="Compact"/>
              <w:jc w:val="left"/>
            </w:pPr>
            <w:r>
              <w:t xml:space="preserve">Load-bearing?</w:t>
            </w:r>
          </w:p>
        </w:tc>
        <w:tc>
          <w:tcPr>
            <w:gridSpan w:val="2"/>
          </w:tcPr>
          <w:p>
            <w:pPr>
              <w:pStyle w:val="Compact"/>
              <w:jc w:val="center"/>
            </w:pPr>
            <w:r>
              <w:t xml:space="preserve">Mega-doc vs rest</w:t>
            </w:r>
          </w:p>
        </w:tc>
      </w:tr>
      <w:tr>
        <w:tc>
          <w:tcPr/>
          <w:p>
            <w:pPr>
              <w:pStyle w:val="Compact"/>
              <w:jc w:val="left"/>
            </w:pPr>
            <w:r>
              <w:t xml:space="preserve">2-3</w:t>
            </w:r>
            <w:r>
              <w:t xml:space="preserve"> </w:t>
            </w:r>
            <w:r>
              <w:t xml:space="preserve">(lr)</w:t>
            </w:r>
            <w:r>
              <w:t xml:space="preserve">6-7</w:t>
            </w:r>
          </w:p>
        </w:tc>
        <w:tc>
          <w:tcPr/>
          <w:p>
            <w:pPr>
              <w:pStyle w:val="Compact"/>
              <w:jc w:val="right"/>
            </w:pPr>
            <w:r>
              <w:t xml:space="preserve">Policy</w:t>
            </w:r>
          </w:p>
        </w:tc>
        <w:tc>
          <w:tcPr/>
          <w:p>
            <w:pPr>
              <w:pStyle w:val="Compact"/>
              <w:jc w:val="right"/>
            </w:pPr>
            <w:r>
              <w:t xml:space="preserve">Research</w:t>
            </w:r>
          </w:p>
        </w:tc>
        <w:tc>
          <w:tcPr/>
          <w:p>
            <w:pPr>
              <w:pStyle w:val="Compact"/>
            </w:pPr>
          </w:p>
        </w:tc>
        <w:tc>
          <w:tcPr/>
          <w:p>
            <w:pPr>
              <w:pStyle w:val="Compact"/>
            </w:pPr>
          </w:p>
        </w:tc>
        <w:tc>
          <w:tcPr/>
          <w:p>
            <w:pPr>
              <w:pStyle w:val="Compact"/>
              <w:jc w:val="right"/>
            </w:pPr>
            <w:r>
              <w:t xml:space="preserve">Mega-doc</w:t>
            </w:r>
          </w:p>
        </w:tc>
        <w:tc>
          <w:tcPr/>
          <w:p>
            <w:pPr>
              <w:pStyle w:val="Compact"/>
              <w:jc w:val="right"/>
            </w:pPr>
            <w:r>
              <w:t xml:space="preserve">Rest</w:t>
            </w:r>
          </w:p>
        </w:tc>
      </w:tr>
      <w:tr>
        <w:tc>
          <w:tcPr/>
          <w:p>
            <w:pPr>
              <w:pStyle w:val="Compact"/>
              <w:jc w:val="left"/>
            </w:pPr>
            <w:r>
              <w:t xml:space="preserve">Hedge rate (/1k words)</w:t>
            </w:r>
          </w:p>
        </w:tc>
        <w:tc>
          <w:tcPr/>
          <w:p>
            <w:pPr>
              <w:pStyle w:val="Compact"/>
              <w:jc w:val="right"/>
            </w:pPr>
            <w:r>
              <w:t xml:space="preserve">0.85</w:t>
            </w:r>
          </w:p>
        </w:tc>
        <w:tc>
          <w:tcPr/>
          <w:p>
            <w:pPr>
              <w:pStyle w:val="Compact"/>
              <w:jc w:val="right"/>
            </w:pPr>
            <w:r>
              <w:t xml:space="preserve">1.43</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1.21</w:t>
            </w:r>
          </w:p>
        </w:tc>
        <w:tc>
          <w:tcPr/>
          <w:p>
            <w:pPr>
              <w:pStyle w:val="Compact"/>
              <w:jc w:val="right"/>
            </w:pPr>
            <w:r>
              <w:t xml:space="preserve">1.14</w:t>
            </w:r>
          </w:p>
        </w:tc>
      </w:tr>
      <w:tr>
        <w:tc>
          <w:tcPr/>
          <w:p>
            <w:pPr>
              <w:pStyle w:val="Compact"/>
              <w:jc w:val="left"/>
            </w:pPr>
            <w:r>
              <w:t xml:space="preserve">Deontic (must/should) rate (/1k words)</w:t>
            </w:r>
          </w:p>
        </w:tc>
        <w:tc>
          <w:tcPr/>
          <w:p>
            <w:pPr>
              <w:pStyle w:val="Compact"/>
              <w:jc w:val="right"/>
            </w:pPr>
            <w:r>
              <w:t xml:space="preserve">3.13</w:t>
            </w:r>
          </w:p>
        </w:tc>
        <w:tc>
          <w:tcPr/>
          <w:p>
            <w:pPr>
              <w:pStyle w:val="Compact"/>
              <w:jc w:val="right"/>
            </w:pPr>
            <w:r>
              <w:t xml:space="preserve">0.78</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Yes</w:t>
            </w:r>
          </w:p>
        </w:tc>
        <w:tc>
          <w:tcPr/>
          <w:p>
            <w:pPr>
              <w:pStyle w:val="Compact"/>
              <w:jc w:val="right"/>
            </w:pPr>
            <w:r>
              <w:t xml:space="preserve">2.21</w:t>
            </w:r>
          </w:p>
        </w:tc>
        <w:tc>
          <w:tcPr/>
          <w:p>
            <w:pPr>
              <w:pStyle w:val="Compact"/>
              <w:jc w:val="right"/>
            </w:pPr>
            <w:r>
              <w:t xml:space="preserve">1.94</w:t>
            </w:r>
          </w:p>
        </w:tc>
      </w:tr>
      <w:tr>
        <w:tc>
          <w:tcPr/>
          <w:p>
            <w:pPr>
              <w:pStyle w:val="Compact"/>
              <w:jc w:val="left"/>
            </w:pPr>
            <w:r>
              <w:t xml:space="preserve">Passive-voice rate (/1k words)</w:t>
            </w:r>
          </w:p>
        </w:tc>
        <w:tc>
          <w:tcPr/>
          <w:p>
            <w:pPr>
              <w:pStyle w:val="Compact"/>
              <w:jc w:val="right"/>
            </w:pPr>
            <w:r>
              <w:t xml:space="preserve">8.45</w:t>
            </w:r>
          </w:p>
        </w:tc>
        <w:tc>
          <w:tcPr/>
          <w:p>
            <w:pPr>
              <w:pStyle w:val="Compact"/>
              <w:jc w:val="right"/>
            </w:pPr>
            <w:r>
              <w:t xml:space="preserve">10.30</w:t>
            </w:r>
          </w:p>
        </w:tc>
        <w:tc>
          <w:tcPr/>
          <w:p>
            <w:pPr>
              <w:pStyle w:val="Compact"/>
              <w:jc w:val="left"/>
            </w:pPr>
            <w:r>
              <w:t xml:space="preserve">R</w:t>
            </w:r>
            <w:r>
              <w:t xml:space="preserve"> </w:t>
            </w:r>
            <m:oMath>
              <m:r>
                <m:rPr>
                  <m:sty m:val="p"/>
                </m:rPr>
                <m:t>&gt;</m:t>
              </m:r>
            </m:oMath>
            <w:r>
              <w:t xml:space="preserve"> </w:t>
            </w:r>
            <w:r>
              <w:t xml:space="preserve">P</w:t>
            </w:r>
          </w:p>
        </w:tc>
        <w:tc>
          <w:tcPr/>
          <w:p>
            <w:pPr>
              <w:pStyle w:val="Compact"/>
              <w:jc w:val="left"/>
            </w:pPr>
            <w:r>
              <w:t xml:space="preserve">Yes</w:t>
            </w:r>
          </w:p>
        </w:tc>
        <w:tc>
          <w:tcPr/>
          <w:p>
            <w:pPr>
              <w:pStyle w:val="Compact"/>
              <w:jc w:val="right"/>
            </w:pPr>
            <w:r>
              <w:t xml:space="preserve">3.35</w:t>
            </w:r>
          </w:p>
        </w:tc>
        <w:tc>
          <w:tcPr/>
          <w:p>
            <w:pPr>
              <w:pStyle w:val="Compact"/>
              <w:jc w:val="right"/>
            </w:pPr>
            <w:r>
              <w:t xml:space="preserve">9.77</w:t>
            </w:r>
          </w:p>
        </w:tc>
      </w:tr>
      <w:tr>
        <w:tc>
          <w:tcPr/>
          <w:p>
            <w:pPr>
              <w:pStyle w:val="Compact"/>
              <w:jc w:val="left"/>
            </w:pPr>
            <w:r>
              <w:t xml:space="preserve">Mean sentence length (words)</w:t>
            </w:r>
          </w:p>
        </w:tc>
        <w:tc>
          <w:tcPr/>
          <w:p>
            <w:pPr>
              <w:pStyle w:val="Compact"/>
              <w:jc w:val="right"/>
            </w:pPr>
            <w:r>
              <w:t xml:space="preserve">63.8</w:t>
            </w:r>
          </w:p>
        </w:tc>
        <w:tc>
          <w:tcPr/>
          <w:p>
            <w:pPr>
              <w:pStyle w:val="Compact"/>
              <w:jc w:val="right"/>
            </w:pPr>
            <w:r>
              <w:t xml:space="preserve">37.0</w:t>
            </w:r>
          </w:p>
        </w:tc>
        <w:tc>
          <w:tcPr/>
          <w:p>
            <w:pPr>
              <w:pStyle w:val="Compact"/>
              <w:jc w:val="left"/>
            </w:pPr>
            <w:r>
              <w:t xml:space="preserve">P</w:t>
            </w:r>
            <w:r>
              <w:t xml:space="preserve"> </w:t>
            </w:r>
            <m:oMath>
              <m:r>
                <m:rPr>
                  <m:sty m:val="p"/>
                </m:rPr>
                <m:t>&gt;</m:t>
              </m:r>
            </m:oMath>
            <w:r>
              <w:t xml:space="preserve"> </w:t>
            </w:r>
            <w:r>
              <w:t xml:space="preserve">R</w:t>
            </w:r>
          </w:p>
        </w:tc>
        <w:tc>
          <w:tcPr/>
          <w:p>
            <w:pPr>
              <w:pStyle w:val="Compact"/>
              <w:jc w:val="left"/>
            </w:pPr>
            <w:r>
              <w:t xml:space="preserve">No</w:t>
            </w:r>
          </w:p>
        </w:tc>
        <w:tc>
          <w:tcPr/>
          <w:p>
            <w:pPr>
              <w:pStyle w:val="Compact"/>
              <w:jc w:val="right"/>
            </w:pPr>
            <w:r>
              <w:t xml:space="preserve">276.9</w:t>
            </w:r>
          </w:p>
        </w:tc>
        <w:tc>
          <w:tcPr/>
          <w:p>
            <w:pPr>
              <w:pStyle w:val="Compact"/>
              <w:jc w:val="right"/>
            </w:pPr>
            <w:r>
              <w:t xml:space="preserve">35.6</w:t>
            </w:r>
          </w:p>
        </w:tc>
      </w:tr>
      <w:tr>
        <w:tc>
          <w:tcPr/>
          <w:p>
            <w:pPr>
              <w:pStyle w:val="Compact"/>
              <w:jc w:val="left"/>
            </w:pPr>
            <w:r>
              <w:t xml:space="preserve">First-person rate (/1k words)</w:t>
            </w:r>
          </w:p>
        </w:tc>
        <w:tc>
          <w:tcPr/>
          <w:p>
            <w:pPr>
              <w:pStyle w:val="Compact"/>
              <w:jc w:val="right"/>
            </w:pPr>
            <w:r>
              <w:t xml:space="preserve">6.46</w:t>
            </w:r>
          </w:p>
        </w:tc>
        <w:tc>
          <w:tcPr/>
          <w:p>
            <w:pPr>
              <w:pStyle w:val="Compact"/>
              <w:jc w:val="right"/>
            </w:pPr>
            <w:r>
              <w:t xml:space="preserve">6.90</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19.00</w:t>
            </w:r>
          </w:p>
        </w:tc>
        <w:tc>
          <w:tcPr/>
          <w:p>
            <w:pPr>
              <w:pStyle w:val="Compact"/>
              <w:jc w:val="right"/>
            </w:pPr>
            <w:r>
              <w:t xml:space="preserve">5.88</w:t>
            </w:r>
          </w:p>
        </w:tc>
      </w:tr>
      <w:tr>
        <w:tc>
          <w:tcPr/>
          <w:p>
            <w:pPr>
              <w:pStyle w:val="Compact"/>
              <w:jc w:val="left"/>
            </w:pPr>
            <w:r>
              <w:t xml:space="preserve">Nominalisation rate (/1k words)</w:t>
            </w:r>
          </w:p>
        </w:tc>
        <w:tc>
          <w:tcPr/>
          <w:p>
            <w:pPr>
              <w:pStyle w:val="Compact"/>
              <w:jc w:val="right"/>
            </w:pPr>
            <w:r>
              <w:t xml:space="preserve">39.00</w:t>
            </w:r>
          </w:p>
        </w:tc>
        <w:tc>
          <w:tcPr/>
          <w:p>
            <w:pPr>
              <w:pStyle w:val="Compact"/>
              <w:jc w:val="right"/>
            </w:pPr>
            <w:r>
              <w:t xml:space="preserve">36.37</w:t>
            </w:r>
          </w:p>
        </w:tc>
        <w:tc>
          <w:tcPr/>
          <w:p>
            <w:pPr>
              <w:pStyle w:val="Compact"/>
              <w:jc w:val="left"/>
            </w:pPr>
            <m:oMath>
              <m:r>
                <m:rPr>
                  <m:sty m:val="p"/>
                </m:rPr>
                <m:t>≈</m:t>
              </m:r>
            </m:oMath>
          </w:p>
        </w:tc>
        <w:tc>
          <w:tcPr/>
          <w:p>
            <w:pPr>
              <w:pStyle w:val="Compact"/>
              <w:jc w:val="left"/>
            </w:pPr>
            <w:r>
              <w:t xml:space="preserve">No</w:t>
            </w:r>
          </w:p>
        </w:tc>
        <w:tc>
          <w:tcPr/>
          <w:p>
            <w:pPr>
              <w:pStyle w:val="Compact"/>
              <w:jc w:val="right"/>
            </w:pPr>
            <w:r>
              <w:t xml:space="preserve">20.02</w:t>
            </w:r>
          </w:p>
        </w:tc>
        <w:tc>
          <w:tcPr/>
          <w:p>
            <w:pPr>
              <w:pStyle w:val="Compact"/>
              <w:jc w:val="right"/>
            </w:pPr>
            <w:r>
              <w:t xml:space="preserve">38.84</w:t>
            </w:r>
          </w:p>
        </w:tc>
      </w:tr>
    </w:tbl>
    <w:bookmarkEnd w:id="114"/>
    <w:p>
      <w:pPr>
        <w:pStyle w:val="BodyText"/>
      </w:pPr>
      <w:r>
        <w:rPr>
          <w:iCs/>
          <w:i/>
        </w:rPr>
        <w:t xml:space="preserve">Notes:</w:t>
      </w:r>
      <w:r>
        <w:t xml:space="preserve"> </w:t>
      </w:r>
      <w:r>
        <w:t xml:space="preserve">Policy and Research are corpus-mean feature values on the original sample. Mega-doc = mean among the 25 flagship segments; Rest = mean among the remaining units. Rates are per 1</w:t>
      </w:r>
      <w:r>
        <w:t xml:space="preserve">,</w:t>
      </w:r>
      <w:r>
        <w:t xml:space="preserve">000 words except mean sentence length (words). Load-bearing? marks features used as stable corpus-style signals; sentence length is flagged composition-sensitive.</w:t>
      </w:r>
    </w:p>
    <w:bookmarkEnd w:id="115"/>
    <w:bookmarkStart w:id="116" w:name="sec:regval-discrimination"/>
    <w:p>
      <w:pPr>
        <w:pStyle w:val="Heading3"/>
      </w:pPr>
      <w:r>
        <w:t xml:space="preserve">Corpus Discrimination Before and After INLP</w:t>
      </w:r>
    </w:p>
    <w:p>
      <w:pPr>
        <w:pStyle w:val="FirstParagraph"/>
      </w:pPr>
      <w:r>
        <w:t xml:space="preserve">A 5-fold logistic-regression classifier separates research from policy segments almost perfectly on raw embeddings (accuracy 0.909 on the original sample; 0.944 on the one-per-parent sample; Table </w:t>
      </w:r>
      <w:hyperlink w:anchor="tab:register-validation-accuracy">
        <w:r>
          <w:rPr>
            <w:rStyle w:val="Hyperlink"/>
          </w:rPr>
          <w:t xml:space="preserve">18</w:t>
        </w:r>
      </w:hyperlink>
      <w:r>
        <w:t xml:space="preserve">). After register removal the accuracy falls to 0.505 on the original sample and 0.603 on the one-per-parent sample – a large share of the corpus-linear signal is gone, though not all – and the canonical one-per-parent value stays above chance (</w:t>
      </w:r>
      <m:oMath>
        <m:r>
          <m:t>0.603</m:t>
        </m:r>
        <m:r>
          <m:t>​</m:t>
        </m:r>
      </m:oMath>
      <w:r>
        <w:t xml:space="preserve">). Confidence intervals and</w:t>
      </w:r>
      <w:r>
        <w:t xml:space="preserve"> </w:t>
      </w:r>
      <m:oMath>
        <m:r>
          <m:t>p</m:t>
        </m:r>
      </m:oMath>
      <w:r>
        <w:t xml:space="preserve">-values are in the table.</w:t>
      </w:r>
    </w:p>
    <w:p>
      <w:pPr>
        <w:pStyle w:val="BodyText"/>
      </w:pPr>
      <w:r>
        <w:t xml:space="preserve">A per-SDG-deduplicated variant of the sample (dominated by the 25 flagship policy segments) yields an adjusted accuracy of 0.505, indistinguishable from chance. Excluding those segments raises it to 0.574 (difference +0.098, 95% CI [0.025, 0.169]), confirming that flagship clustering drives the original-sample result. The canonical one-per-parent estimate (0.603) is the primary result. Residual above-chance separation after removal is not a method failure, since INLP’s stopping rule converges on its own training distribution while the validation classifier is re-estimated from scratch.</w:t>
      </w:r>
    </w:p>
    <w:p>
      <w:pPr>
        <w:pStyle w:val="BodyText"/>
      </w:pPr>
      <w:r>
        <w:t xml:space="preserve">The register-only rows of Table </w:t>
      </w:r>
      <w:hyperlink w:anchor="tab:register-validation-accuracy">
        <w:r>
          <w:rPr>
            <w:rStyle w:val="Hyperlink"/>
          </w:rPr>
          <w:t xml:space="preserve">18</w:t>
        </w:r>
      </w:hyperlink>
      <w:r>
        <w:t xml:space="preserve"> </w:t>
      </w:r>
      <w:r>
        <w:t xml:space="preserve">bound the interpretation. A classifier trained on the six surface features alone reaches only 0.456 on the original sample and 0.544 on the one-per-parent sample, barely above chance in the latter case. The linguistic markers therefore capture only a part of the corpus distinction. This is consistent with the register reading (the corpora do differ in register-like surface ways), but it also delimits it: the removed embedding component is far broader than these six surface features, so the validation cannot claim that the removed subspace is exhausted by, or identical to, the measured features.</w:t>
      </w:r>
    </w:p>
    <w:bookmarkEnd w:id="116"/>
    <w:bookmarkStart w:id="117" w:name="sec:regval-topic"/>
    <w:p>
      <w:pPr>
        <w:pStyle w:val="Heading3"/>
      </w:pPr>
      <w:r>
        <w:t xml:space="preserve">Topic Preservation</w:t>
      </w:r>
    </w:p>
    <w:p>
      <w:pPr>
        <w:pStyle w:val="FirstParagraph"/>
      </w:pPr>
      <w:r>
        <w:t xml:space="preserve">If the adjustment removed topic, 17-way SDG selectivity, how well the SDG of a segment can be predicted from its embedding, would fall. It does not (Table </w:t>
      </w:r>
      <w:hyperlink w:anchor="tab:register-validation-selectivity">
        <w:r>
          <w:rPr>
            <w:rStyle w:val="Hyperlink"/>
          </w:rPr>
          <w:t xml:space="preserve">19</w:t>
        </w:r>
      </w:hyperlink>
      <w:r>
        <w:t xml:space="preserve">): on the original per-SDG-dedup sample (draw 1), LR cross-validated accuracy is 0.691 on raw and 0.672 on adjusted embeddings, and kNN 0.554 and 0.578 (chance 0.059). The change is small and of mixed sign, so there is no evidence that topic structure is systematically removed; the analysis does not claim perfect preservation, and it was run on the original sample only, not re-estimated on the one-per-parent rebuild. Topic remains linearly decodable after register removal, as the identification argument anticipates.</w:t>
      </w:r>
    </w:p>
    <w:bookmarkEnd w:id="117"/>
    <w:bookmarkStart w:id="118" w:name="sec:regval-residual"/>
    <w:p>
      <w:pPr>
        <w:pStyle w:val="Heading3"/>
      </w:pPr>
      <w:r>
        <w:t xml:space="preserve">Residual Register Diagnostics and Robustness Investigation</w:t>
      </w:r>
    </w:p>
    <w:p>
      <w:pPr>
        <w:pStyle w:val="FirstParagraph"/>
      </w:pPr>
      <w:r>
        <w:t xml:space="preserve">The register score used here is the independent surface-linguistic score defined in G.2.2. Does any register survive removal? Two faint traces appear on the messy sample but both vanish or reverse on the cleaner one-per-parent sample, so they reflect flagship-document clustering, not real residual register. Specifically, on the messy sample the manual score correlates weakly with the amount removed (+0.102, within-research +0.212, within-policy +0.191), and correlates more strongly with SDG-centroid distance in adjusted than raw space (+0.126</w:t>
      </w:r>
      <w:r>
        <w:t xml:space="preserve"> </w:t>
      </w:r>
      <m:oMath>
        <m:r>
          <m:rPr>
            <m:sty m:val="p"/>
          </m:rPr>
          <m:t>→</m:t>
        </m:r>
      </m:oMath>
      <w:r>
        <w:t xml:space="preserve"> </w:t>
      </w:r>
      <w:r>
        <w:t xml:space="preserve">+0.247). On the clean sample both correlations disappear or go negative (+0.092; centroid -0.212</w:t>
      </w:r>
      <w:r>
        <w:t xml:space="preserve"> </w:t>
      </w:r>
      <m:oMath>
        <m:r>
          <m:rPr>
            <m:sty m:val="p"/>
          </m:rPr>
          <m:t>→</m:t>
        </m:r>
      </m:oMath>
      <w:r>
        <w:t xml:space="preserve"> </w:t>
      </w:r>
      <w:r>
        <w:t xml:space="preserve">-0.197). A within-SDG trace (-0.197) and the draw-stability check (seeds 43–45, sign-flipping, only 0/17 SDGs significant) confirm it is draw-level noise, not structure.</w:t>
      </w:r>
    </w:p>
    <w:bookmarkEnd w:id="118"/>
    <w:bookmarkStart w:id="119" w:name="sec:regval-conclusion"/>
    <w:p>
      <w:pPr>
        <w:pStyle w:val="Heading3"/>
      </w:pPr>
      <w:r>
        <w:t xml:space="preserve">Validation Conclusion</w:t>
      </w:r>
    </w:p>
    <w:p>
      <w:pPr>
        <w:pStyle w:val="FirstParagraph"/>
      </w:pPr>
      <w:r>
        <w:t xml:space="preserve">The validation supports the following claims.</w:t>
      </w:r>
    </w:p>
    <w:p>
      <w:pPr>
        <w:numPr>
          <w:ilvl w:val="0"/>
          <w:numId w:val="1006"/>
        </w:numPr>
      </w:pPr>
      <w:r>
        <w:t xml:space="preserve">The adjustment removes a corpus-level component: corpus-discrimination accuracy falls from near-perfect on raw embeddings to moderately above chance after removal, on both the original and one-per-parent samples (Table </w:t>
      </w:r>
      <w:hyperlink w:anchor="tab:register-validation-accuracy">
        <w:r>
          <w:rPr>
            <w:rStyle w:val="Hyperlink"/>
          </w:rPr>
          <w:t xml:space="preserve">18</w:t>
        </w:r>
      </w:hyperlink>
      <w:r>
        <w:t xml:space="preserve">).</w:t>
      </w:r>
    </w:p>
    <w:p>
      <w:pPr>
        <w:numPr>
          <w:ilvl w:val="0"/>
          <w:numId w:val="1006"/>
        </w:numPr>
      </w:pPr>
      <w:r>
        <w:t xml:space="preserve">The removed component is not strongly attributable to SDG topic loss: 17-way SDG selectivity is essentially unchanged (Table </w:t>
      </w:r>
      <w:hyperlink w:anchor="tab:register-validation-selectivity">
        <w:r>
          <w:rPr>
            <w:rStyle w:val="Hyperlink"/>
          </w:rPr>
          <w:t xml:space="preserve">19</w:t>
        </w:r>
      </w:hyperlink>
      <w:r>
        <w:t xml:space="preserve">).</w:t>
      </w:r>
    </w:p>
    <w:p>
      <w:pPr>
        <w:numPr>
          <w:ilvl w:val="0"/>
          <w:numId w:val="1006"/>
        </w:numPr>
      </w:pPr>
      <w:r>
        <w:t xml:space="preserve">Apparent residual register signals were explained by sampling and document-clustering effects rather than by stable residual structure: the initial removed-magnitude and centroid-distance associations vanished or reversed on the controlled sample, and the one surviving within-SDG trace was draw-unstable.</w:t>
      </w:r>
    </w:p>
    <w:p>
      <w:pPr>
        <w:numPr>
          <w:ilvl w:val="0"/>
          <w:numId w:val="1006"/>
        </w:numPr>
      </w:pPr>
      <w:r>
        <w:t xml:space="preserve">The remaining evidence provides partial empirical support for the register reading: the corpora differ in register-like surface features in stable directions, and the adjustment removes corpus-separable signal while leaving topic structure intact, but a measured correspondence between the removed component and the six features was not demonstrated, and residual corpus-linear signal remains.</w:t>
      </w:r>
    </w:p>
    <w:p>
      <w:pPr>
        <w:pStyle w:val="FirstParagraph"/>
      </w:pPr>
      <w:r>
        <w:t xml:space="preserve">The register interpretation is therefore consistent with the validation evidence rather than confirmed by it. The main text describes it as resting on partial empirical support.</w:t>
      </w:r>
    </w:p>
    <w:bookmarkEnd w:id="119"/>
    <w:bookmarkStart w:id="122" w:name="sec:regval-limitations"/>
    <w:p>
      <w:pPr>
        <w:pStyle w:val="Heading3"/>
      </w:pPr>
      <w:r>
        <w:t xml:space="preserve">Limitations</w:t>
      </w:r>
    </w:p>
    <w:p>
      <w:pPr>
        <w:pStyle w:val="FirstParagraph"/>
      </w:pPr>
      <w:r>
        <w:t xml:space="preserve">The validation is bounded in ways that should be read alongside the main text. First, the register score is one choice among several: an alternative a-priori</w:t>
      </w:r>
      <w:r>
        <w:t xml:space="preserve"> </w:t>
      </w:r>
      <w:r>
        <w:t xml:space="preserve">“</w:t>
      </w:r>
      <w:r>
        <w:t xml:space="preserve">institutional</w:t>
      </w:r>
      <w:r>
        <w:t xml:space="preserve">”</w:t>
      </w:r>
      <w:r>
        <w:t xml:space="preserve"> </w:t>
      </w:r>
      <w:r>
        <w:t xml:space="preserve">combination gave null or reversed results, and the score’s sign is a convention, not a substantive prior. Second, each sample contains only 408 segments (12 per SDG per corpus), and the per-SDG tests within the draw-stability stage have</w:t>
      </w:r>
      <w:r>
        <w:t xml:space="preserve"> </w:t>
      </w:r>
      <m:oMath>
        <m:r>
          <m:t>n</m:t>
        </m:r>
        <m:r>
          <m:rPr>
            <m:sty m:val="p"/>
          </m:rPr>
          <m:t>=</m:t>
        </m:r>
        <m:r>
          <m:t>12</m:t>
        </m:r>
      </m:oMath>
      <w:r>
        <w:t xml:space="preserve"> </w:t>
      </w:r>
      <w:r>
        <w:t xml:space="preserve">policy units each, so the 0-of-17 significant per-SDG result is not evidence of absence at the per-SDG level. Third, the draw-stability check was applied to the within-SDG trace only; the corpus-level accuracies in Table </w:t>
      </w:r>
      <w:hyperlink w:anchor="tab:register-validation-accuracy">
        <w:r>
          <w:rPr>
            <w:rStyle w:val="Hyperlink"/>
          </w:rPr>
          <w:t xml:space="preserve">18</w:t>
        </w:r>
      </w:hyperlink>
      <w:r>
        <w:t xml:space="preserve"> </w:t>
      </w:r>
      <w:r>
        <w:t xml:space="preserve">were not re-estimated on fresh draws. Fourth, the one-per-parent sample is a rebuild, not a subset of the original sample, and the excluded flagship documents are replaced by shorter national and thematic monitoring reports, so the two-sample comparison is partly compositional. Fifth, the validation is MPNet-canonical only. Sixth, the residual corpus-linear signal that survives adjustment is not characterised further; its exact linguistic content remains open, part of why the empirical support is only partial.</w:t>
      </w:r>
    </w:p>
    <w:bookmarkStart w:id="120" w:name="tab:register-validation-accuracy"/>
    <w:p>
      <w:pPr>
        <w:pStyle w:val="TableCaption"/>
      </w:pPr>
      <w:r>
        <w:t xml:space="preserve">Corpus discrimination accuracy (research vs. policy, 5-fold logistic regression) before and after INLP register removal.</w:t>
      </w:r>
    </w:p>
    <w:tbl>
      <w:tblPr>
        <w:tblStyle w:val="Table"/>
        <w:tblW w:type="auto" w:w="0"/>
        <w:tblLook w:firstRow="1" w:lastRow="0" w:firstColumn="0" w:lastColumn="0" w:noHBand="0" w:noVBand="0" w:val="0020"/>
        <w:jc w:val="start"/>
        <w:tblCaption w:val="Corpus discrimination accuracy (research vs. policy, 5-fold logistic regression) before and after INLP register removal."/>
      </w:tblPr>
      <w:tblGrid>
        <w:gridCol w:w="990"/>
        <w:gridCol w:w="990"/>
        <w:gridCol w:w="990"/>
        <w:gridCol w:w="990"/>
        <w:gridCol w:w="990"/>
        <w:gridCol w:w="990"/>
        <w:gridCol w:w="990"/>
        <w:gridCol w:w="990"/>
      </w:tblGrid>
      <w:tr>
        <w:trPr>
          <w:tblHeader w:val="true"/>
        </w:trPr>
        <w:tc>
          <w:tcPr/>
          <w:p>
            <w:pPr>
              <w:pStyle w:val="Compact"/>
              <w:jc w:val="left"/>
            </w:pPr>
            <w:r>
              <w:t xml:space="preserve">Sample</w:t>
            </w:r>
          </w:p>
        </w:tc>
        <w:tc>
          <w:tcPr/>
          <w:p>
            <w:pPr>
              <w:pStyle w:val="Compact"/>
              <w:jc w:val="left"/>
            </w:pPr>
            <w:r>
              <w:t xml:space="preserve">Input</w:t>
            </w:r>
          </w:p>
        </w:tc>
        <w:tc>
          <w:tcPr/>
          <w:p>
            <w:pPr>
              <w:pStyle w:val="Compact"/>
              <w:jc w:val="left"/>
            </w:pPr>
            <m:oMath>
              <m:r>
                <m:t>n</m:t>
              </m:r>
            </m:oMath>
          </w:p>
        </w:tc>
        <w:tc>
          <w:tcPr/>
          <w:p>
            <w:pPr>
              <w:pStyle w:val="Compact"/>
              <w:jc w:val="right"/>
            </w:pPr>
            <w:r>
              <w:t xml:space="preserve">Fold-mean acc.</w:t>
            </w:r>
          </w:p>
        </w:tc>
        <w:tc>
          <w:tcPr/>
          <w:p>
            <w:pPr>
              <w:pStyle w:val="Compact"/>
              <w:jc w:val="right"/>
            </w:pPr>
            <w:r>
              <w:t xml:space="preserve">Pooled acc. (</w:t>
            </w:r>
            <m:oMath>
              <m:r>
                <m:t>k</m:t>
              </m:r>
              <m:r>
                <m:rPr>
                  <m:sty m:val="p"/>
                </m:rPr>
                <m:t>/</m:t>
              </m:r>
              <m:r>
                <m:t>n</m:t>
              </m:r>
            </m:oMath>
            <w:r>
              <w:t xml:space="preserve">)</w:t>
            </w:r>
          </w:p>
        </w:tc>
        <w:tc>
          <w:tcPr/>
          <w:p>
            <w:pPr>
              <w:pStyle w:val="Compact"/>
              <w:jc w:val="right"/>
            </w:pPr>
            <w:r>
              <w:t xml:space="preserve">Wilson 95% CI</w:t>
            </w:r>
          </w:p>
        </w:tc>
        <w:tc>
          <w:tcPr/>
          <w:p>
            <w:pPr>
              <w:pStyle w:val="Compact"/>
              <w:jc w:val="right"/>
            </w:pPr>
            <w:r>
              <w:t xml:space="preserve">Binom. </w:t>
            </w:r>
            <m:oMath>
              <m:r>
                <m:t>p</m:t>
              </m:r>
            </m:oMath>
          </w:p>
        </w:tc>
        <w:tc>
          <w:tcPr/>
          <w:p>
            <w:pPr>
              <w:pStyle w:val="Compact"/>
            </w:pPr>
          </w:p>
        </w:tc>
      </w:tr>
      <w:tr>
        <w:tc>
          <w:tcPr/>
          <w:p>
            <w:pPr>
              <w:pStyle w:val="Compact"/>
              <w:jc w:val="left"/>
            </w:pPr>
            <w:r>
              <w:t xml:space="preserve">Original (per-SDG dedup)</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0.456</w:t>
            </w:r>
          </w:p>
        </w:tc>
        <w:tc>
          <w:tcPr/>
          <w:p>
            <w:pPr>
              <w:pStyle w:val="Compact"/>
              <w:jc w:val="right"/>
            </w:pPr>
            <w:r>
              <w:t xml:space="preserve">0.456 (186/408)</w:t>
            </w:r>
          </w:p>
        </w:tc>
        <w:tc>
          <w:tcPr/>
          <w:p>
            <w:pPr>
              <w:pStyle w:val="Compact"/>
              <w:jc w:val="right"/>
            </w:pPr>
            <w:r>
              <w:t xml:space="preserve">[0.408, 0.504]</w:t>
            </w:r>
          </w:p>
        </w:tc>
        <w:tc>
          <w:tcPr/>
          <w:p>
            <w:pPr>
              <w:pStyle w:val="Compact"/>
              <w:jc w:val="right"/>
            </w:pPr>
            <w:r>
              <w:t xml:space="preserve">0.967</w:t>
            </w:r>
          </w:p>
        </w:tc>
        <w:tc>
          <w:tcPr/>
          <w:p>
            <w:pPr>
              <w:pStyle w:val="Compact"/>
            </w:pPr>
          </w:p>
        </w:tc>
      </w:tr>
      <w:tr>
        <w:tc>
          <w:tcPr/>
          <w:p>
            <w:pPr>
              <w:pStyle w:val="Compact"/>
              <w:jc w:val="left"/>
            </w:pPr>
            <w:r>
              <w:t xml:space="preserve">Original (per-SDG dedup)</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0.909</w:t>
            </w:r>
          </w:p>
        </w:tc>
        <w:tc>
          <w:tcPr/>
          <w:p>
            <w:pPr>
              <w:pStyle w:val="Compact"/>
              <w:jc w:val="right"/>
            </w:pPr>
            <w:r>
              <w:t xml:space="preserve">0.909 (371/408)</w:t>
            </w:r>
          </w:p>
        </w:tc>
        <w:tc>
          <w:tcPr/>
          <w:p>
            <w:pPr>
              <w:pStyle w:val="Compact"/>
              <w:jc w:val="right"/>
            </w:pPr>
            <w:r>
              <w:t xml:space="preserve">[0.878, 0.933]</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0.505</w:t>
            </w:r>
          </w:p>
        </w:tc>
        <w:tc>
          <w:tcPr/>
          <w:p>
            <w:pPr>
              <w:pStyle w:val="Compact"/>
              <w:jc w:val="right"/>
            </w:pPr>
            <w:r>
              <w:t xml:space="preserve">0.505 (206/408)</w:t>
            </w:r>
          </w:p>
        </w:tc>
        <w:tc>
          <w:tcPr/>
          <w:p>
            <w:pPr>
              <w:pStyle w:val="Compact"/>
              <w:jc w:val="right"/>
            </w:pPr>
            <w:r>
              <w:t xml:space="preserve">[0.457, 0.553]</w:t>
            </w:r>
          </w:p>
        </w:tc>
        <w:tc>
          <w:tcPr/>
          <w:p>
            <w:pPr>
              <w:pStyle w:val="Compact"/>
              <w:jc w:val="right"/>
            </w:pPr>
            <w:r>
              <w:t xml:space="preserve">0.441</w:t>
            </w:r>
          </w:p>
        </w:tc>
        <w:tc>
          <w:tcPr/>
          <w:p>
            <w:pPr>
              <w:pStyle w:val="Compact"/>
            </w:pPr>
          </w:p>
        </w:tc>
      </w:tr>
      <w:tr>
        <w:tc>
          <w:tcPr/>
          <w:p>
            <w:pPr>
              <w:pStyle w:val="Compact"/>
              <w:jc w:val="left"/>
            </w:pPr>
            <w:r>
              <w:t xml:space="preserve">One-per-parent</w:t>
            </w:r>
          </w:p>
        </w:tc>
        <w:tc>
          <w:tcPr/>
          <w:p>
            <w:pPr>
              <w:pStyle w:val="Compact"/>
              <w:jc w:val="left"/>
            </w:pPr>
            <w:r>
              <w:t xml:space="preserve">register-only</w:t>
            </w:r>
          </w:p>
        </w:tc>
        <w:tc>
          <w:tcPr/>
          <w:p>
            <w:pPr>
              <w:pStyle w:val="Compact"/>
              <w:jc w:val="left"/>
            </w:pPr>
            <w:r>
              <w:t xml:space="preserve">408</w:t>
            </w:r>
          </w:p>
        </w:tc>
        <w:tc>
          <w:tcPr/>
          <w:p>
            <w:pPr>
              <w:pStyle w:val="Compact"/>
              <w:jc w:val="right"/>
            </w:pPr>
            <w:r>
              <w:t xml:space="preserve">0.544</w:t>
            </w:r>
          </w:p>
        </w:tc>
        <w:tc>
          <w:tcPr/>
          <w:p>
            <w:pPr>
              <w:pStyle w:val="Compact"/>
              <w:jc w:val="right"/>
            </w:pPr>
            <w:r>
              <w:t xml:space="preserve">0.544 (222/408)</w:t>
            </w:r>
          </w:p>
        </w:tc>
        <w:tc>
          <w:tcPr/>
          <w:p>
            <w:pPr>
              <w:pStyle w:val="Compact"/>
              <w:jc w:val="right"/>
            </w:pPr>
            <w:r>
              <w:t xml:space="preserve">[0.496, 0.592]</w:t>
            </w:r>
          </w:p>
        </w:tc>
        <w:tc>
          <w:tcPr/>
          <w:p>
            <w:pPr>
              <w:pStyle w:val="Compact"/>
              <w:jc w:val="right"/>
            </w:pPr>
            <w:r>
              <w:t xml:space="preserve">0.042</w:t>
            </w:r>
          </w:p>
        </w:tc>
        <w:tc>
          <w:tcPr/>
          <w:p>
            <w:pPr>
              <w:pStyle w:val="Compact"/>
            </w:pPr>
          </w:p>
        </w:tc>
      </w:tr>
      <w:tr>
        <w:tc>
          <w:tcPr/>
          <w:p>
            <w:pPr>
              <w:pStyle w:val="Compact"/>
              <w:jc w:val="left"/>
            </w:pPr>
            <w:r>
              <w:t xml:space="preserve">One-per-parent</w:t>
            </w:r>
          </w:p>
        </w:tc>
        <w:tc>
          <w:tcPr/>
          <w:p>
            <w:pPr>
              <w:pStyle w:val="Compact"/>
              <w:jc w:val="left"/>
            </w:pPr>
            <w:r>
              <w:t xml:space="preserve">raw embeddings</w:t>
            </w:r>
          </w:p>
        </w:tc>
        <w:tc>
          <w:tcPr/>
          <w:p>
            <w:pPr>
              <w:pStyle w:val="Compact"/>
              <w:jc w:val="left"/>
            </w:pPr>
            <w:r>
              <w:t xml:space="preserve">408</w:t>
            </w:r>
          </w:p>
        </w:tc>
        <w:tc>
          <w:tcPr/>
          <w:p>
            <w:pPr>
              <w:pStyle w:val="Compact"/>
              <w:jc w:val="right"/>
            </w:pPr>
            <w:r>
              <w:t xml:space="preserve">0.944</w:t>
            </w:r>
          </w:p>
        </w:tc>
        <w:tc>
          <w:tcPr/>
          <w:p>
            <w:pPr>
              <w:pStyle w:val="Compact"/>
              <w:jc w:val="right"/>
            </w:pPr>
            <w:r>
              <w:t xml:space="preserve">0.944 (385/408)</w:t>
            </w:r>
          </w:p>
        </w:tc>
        <w:tc>
          <w:tcPr/>
          <w:p>
            <w:pPr>
              <w:pStyle w:val="Compact"/>
              <w:jc w:val="right"/>
            </w:pPr>
            <w:r>
              <w:t xml:space="preserve">[0.917, 0.962]</w:t>
            </w:r>
          </w:p>
        </w:tc>
        <w:tc>
          <w:tcPr/>
          <w:p>
            <w:pPr>
              <w:pStyle w:val="Compact"/>
              <w:jc w:val="right"/>
            </w:pPr>
            <m:oMath>
              <m:r>
                <m:rPr>
                  <m:sty m:val="p"/>
                </m:rPr>
                <m:t>&lt;</m:t>
              </m:r>
              <m:r>
                <m:t>0.001</m:t>
              </m:r>
            </m:oMath>
          </w:p>
        </w:tc>
        <w:tc>
          <w:tcPr/>
          <w:p>
            <w:pPr>
              <w:pStyle w:val="Compact"/>
            </w:pPr>
          </w:p>
        </w:tc>
      </w:tr>
      <w:tr>
        <w:tc>
          <w:tcPr/>
          <w:p>
            <w:pPr>
              <w:pStyle w:val="Compact"/>
              <w:jc w:val="left"/>
            </w:pPr>
            <w:r>
              <w:t xml:space="preserve">One-per-parent</w:t>
            </w:r>
          </w:p>
        </w:tc>
        <w:tc>
          <w:tcPr/>
          <w:p>
            <w:pPr>
              <w:pStyle w:val="Compact"/>
              <w:jc w:val="left"/>
            </w:pPr>
            <w:r>
              <w:t xml:space="preserve">adjusted (INLP)</w:t>
            </w:r>
          </w:p>
        </w:tc>
        <w:tc>
          <w:tcPr/>
          <w:p>
            <w:pPr>
              <w:pStyle w:val="Compact"/>
              <w:jc w:val="left"/>
            </w:pPr>
            <w:r>
              <w:t xml:space="preserve">408</w:t>
            </w:r>
          </w:p>
        </w:tc>
        <w:tc>
          <w:tcPr/>
          <w:p>
            <w:pPr>
              <w:pStyle w:val="Compact"/>
              <w:jc w:val="right"/>
            </w:pPr>
            <w:r>
              <w:t xml:space="preserve">0.603</w:t>
            </w:r>
          </w:p>
        </w:tc>
        <w:tc>
          <w:tcPr/>
          <w:p>
            <w:pPr>
              <w:pStyle w:val="Compact"/>
              <w:jc w:val="right"/>
            </w:pPr>
            <w:r>
              <w:t xml:space="preserve">0.603 (246/408)</w:t>
            </w:r>
          </w:p>
        </w:tc>
        <w:tc>
          <w:tcPr/>
          <w:p>
            <w:pPr>
              <w:pStyle w:val="Compact"/>
              <w:jc w:val="right"/>
            </w:pPr>
            <w:r>
              <w:t xml:space="preserve">[0.555, 0.649]</w:t>
            </w:r>
          </w:p>
        </w:tc>
        <w:tc>
          <w:tcPr/>
          <w:p>
            <w:pPr>
              <w:pStyle w:val="Compact"/>
              <w:jc w:val="right"/>
            </w:pPr>
            <m:oMath>
              <m:r>
                <m:rPr>
                  <m:sty m:val="p"/>
                </m:rPr>
                <m:t>&lt;</m:t>
              </m:r>
              <m:r>
                <m:t>0.001</m:t>
              </m:r>
            </m:oMath>
          </w:p>
        </w:tc>
        <w:tc>
          <w:tcPr/>
          <w:p>
            <w:pPr>
              <w:pStyle w:val="Compact"/>
            </w:pPr>
          </w:p>
        </w:tc>
      </w:tr>
      <w:tr>
        <w:tc>
          <w:tcPr/>
          <w:p>
            <w:pPr>
              <w:pStyle w:val="Compact"/>
              <w:jc w:val="left"/>
            </w:pPr>
            <w:r>
              <w:t xml:space="preserve">Original (per-SDG dedup)</w:t>
            </w:r>
          </w:p>
        </w:tc>
        <w:tc>
          <w:tcPr/>
          <w:p>
            <w:pPr>
              <w:pStyle w:val="Compact"/>
              <w:jc w:val="left"/>
            </w:pPr>
            <w:r>
              <w:t xml:space="preserve">adjusted, mega-policy excluded</w:t>
            </w:r>
          </w:p>
        </w:tc>
        <w:tc>
          <w:tcPr/>
          <w:p>
            <w:pPr>
              <w:pStyle w:val="Compact"/>
              <w:jc w:val="left"/>
            </w:pPr>
            <w:r>
              <w:t xml:space="preserve">383</w:t>
            </w:r>
          </w:p>
        </w:tc>
        <w:tc>
          <w:tcPr/>
          <w:p>
            <w:pPr>
              <w:pStyle w:val="Compact"/>
              <w:jc w:val="right"/>
            </w:pPr>
            <w:r>
              <w:t xml:space="preserve">0.574</w:t>
            </w:r>
          </w:p>
        </w:tc>
        <w:tc>
          <w:tcPr/>
          <w:p>
            <w:pPr>
              <w:pStyle w:val="Compact"/>
              <w:jc w:val="right"/>
            </w:pPr>
            <w:r>
              <w:t xml:space="preserve">0.574 (220/383)</w:t>
            </w:r>
          </w:p>
        </w:tc>
        <w:tc>
          <w:tcPr/>
          <w:p>
            <w:pPr>
              <w:pStyle w:val="Compact"/>
              <w:jc w:val="right"/>
            </w:pPr>
            <w:r>
              <w:t xml:space="preserve">[0.524, 0.623]</w:t>
            </w:r>
          </w:p>
        </w:tc>
        <w:tc>
          <w:tcPr/>
          <w:p>
            <w:pPr>
              <w:pStyle w:val="Compact"/>
              <w:jc w:val="right"/>
            </w:pPr>
            <w:r>
              <w:t xml:space="preserve">0.002</w:t>
            </w:r>
          </w:p>
        </w:tc>
        <w:tc>
          <w:tcPr/>
          <w:p>
            <w:pPr>
              <w:pStyle w:val="Compact"/>
            </w:pPr>
          </w:p>
        </w:tc>
      </w:tr>
    </w:tbl>
    <w:bookmarkEnd w:id="120"/>
    <w:p>
      <w:pPr>
        <w:pStyle w:val="BodyText"/>
      </w:pPr>
      <w:r>
        <w:rPr>
          <w:iCs/>
          <w:i/>
        </w:rPr>
        <w:t xml:space="preserve">Notes:</w:t>
      </w:r>
      <w:r>
        <w:t xml:space="preserve"> </w:t>
      </w:r>
      <w:r>
        <w:t xml:space="preserve">Pooled accuracy = proportion of correct predictions across the five test folds. Wilson 95% CI and one-sided binomial test against 0.5 on the pooled proportion. In the one-per-parent sample each segment comes from a distinct source document, so no test segment shares a source document with its training folds; in the original per-SDG-dedup sample, segments of the same flagship document can straddle folds, so the original-sample rows carry a mild grouped-similarity caveat. Mega-policy excluded = original sample minus the 25 policy segments contributed by the 7 multi-segment documents.</w:t>
      </w:r>
    </w:p>
    <w:bookmarkStart w:id="121" w:name="tab:register-validation-selectivity"/>
    <w:p>
      <w:pPr>
        <w:pStyle w:val="TableCaption"/>
      </w:pPr>
      <w:r>
        <w:t xml:space="preserve">17-way SDG (topic) selectivity before and after register removal (original per-SDG-dedup sample, draw 1).</w:t>
      </w:r>
    </w:p>
    <w:tbl>
      <w:tblPr>
        <w:tblStyle w:val="Table"/>
        <w:tblW w:type="auto" w:w="0"/>
        <w:tblLook w:firstRow="1" w:lastRow="0" w:firstColumn="0" w:lastColumn="0" w:noHBand="0" w:noVBand="0" w:val="0020"/>
        <w:jc w:val="start"/>
        <w:tblCaption w:val="17-way SDG (topic) selectivity before and after register removal (original per-SDG-dedup sample, draw 1)."/>
      </w:tblPr>
      <w:tblGrid>
        <w:gridCol w:w="1980"/>
        <w:gridCol w:w="1980"/>
        <w:gridCol w:w="1980"/>
        <w:gridCol w:w="1980"/>
      </w:tblGrid>
      <w:tr>
        <w:trPr>
          <w:tblHeader w:val="true"/>
        </w:trPr>
        <w:tc>
          <w:tcPr/>
          <w:p>
            <w:pPr>
              <w:pStyle w:val="Compact"/>
              <w:jc w:val="left"/>
            </w:pPr>
            <w:r>
              <w:t xml:space="preserve">Input</w:t>
            </w:r>
          </w:p>
        </w:tc>
        <w:tc>
          <w:tcPr/>
          <w:p>
            <w:pPr>
              <w:pStyle w:val="Compact"/>
              <w:jc w:val="right"/>
            </w:pPr>
            <w:r>
              <w:t xml:space="preserve">LR CV acc.</w:t>
            </w:r>
          </w:p>
        </w:tc>
        <w:tc>
          <w:tcPr/>
          <w:p>
            <w:pPr>
              <w:pStyle w:val="Compact"/>
              <w:jc w:val="right"/>
            </w:pPr>
            <w:r>
              <w:t xml:space="preserve">kNN(5) CV acc.</w:t>
            </w:r>
          </w:p>
        </w:tc>
        <w:tc>
          <w:tcPr/>
          <w:p>
            <w:pPr>
              <w:pStyle w:val="Compact"/>
              <w:jc w:val="right"/>
            </w:pPr>
            <w:r>
              <w:t xml:space="preserve">Chance</w:t>
            </w:r>
          </w:p>
        </w:tc>
      </w:tr>
      <w:tr>
        <w:tc>
          <w:tcPr/>
          <w:p>
            <w:pPr>
              <w:pStyle w:val="Compact"/>
              <w:jc w:val="left"/>
            </w:pPr>
            <w:r>
              <w:t xml:space="preserve">Raw</w:t>
            </w:r>
          </w:p>
        </w:tc>
        <w:tc>
          <w:tcPr/>
          <w:p>
            <w:pPr>
              <w:pStyle w:val="Compact"/>
              <w:jc w:val="right"/>
            </w:pPr>
            <w:r>
              <w:t xml:space="preserve">0.691</w:t>
            </w:r>
          </w:p>
        </w:tc>
        <w:tc>
          <w:tcPr/>
          <w:p>
            <w:pPr>
              <w:pStyle w:val="Compact"/>
              <w:jc w:val="right"/>
            </w:pPr>
            <w:r>
              <w:t xml:space="preserve">0.554</w:t>
            </w:r>
          </w:p>
        </w:tc>
        <w:tc>
          <w:tcPr/>
          <w:p>
            <w:pPr>
              <w:pStyle w:val="Compact"/>
              <w:jc w:val="right"/>
            </w:pPr>
            <w:r>
              <w:t xml:space="preserve">0.059</w:t>
            </w:r>
          </w:p>
        </w:tc>
      </w:tr>
      <w:tr>
        <w:tc>
          <w:tcPr/>
          <w:p>
            <w:pPr>
              <w:pStyle w:val="Compact"/>
              <w:jc w:val="left"/>
            </w:pPr>
            <w:r>
              <w:t xml:space="preserve">Adjusted (INLP)</w:t>
            </w:r>
          </w:p>
        </w:tc>
        <w:tc>
          <w:tcPr/>
          <w:p>
            <w:pPr>
              <w:pStyle w:val="Compact"/>
              <w:jc w:val="right"/>
            </w:pPr>
            <w:r>
              <w:t xml:space="preserve">0.672</w:t>
            </w:r>
          </w:p>
        </w:tc>
        <w:tc>
          <w:tcPr/>
          <w:p>
            <w:pPr>
              <w:pStyle w:val="Compact"/>
              <w:jc w:val="right"/>
            </w:pPr>
            <w:r>
              <w:t xml:space="preserve">0.578</w:t>
            </w:r>
          </w:p>
        </w:tc>
        <w:tc>
          <w:tcPr/>
          <w:p>
            <w:pPr>
              <w:pStyle w:val="Compact"/>
              <w:jc w:val="right"/>
            </w:pPr>
            <w:r>
              <w:t xml:space="preserve">0.059</w:t>
            </w:r>
          </w:p>
        </w:tc>
      </w:tr>
    </w:tbl>
    <w:bookmarkEnd w:id="121"/>
    <w:p>
      <w:pPr>
        <w:pStyle w:val="BodyText"/>
      </w:pPr>
      <w:r>
        <w:rPr>
          <w:iCs/>
          <w:i/>
        </w:rPr>
        <w:t xml:space="preserve">Notes:</w:t>
      </w:r>
      <w:r>
        <w:t xml:space="preserve"> </w:t>
      </w:r>
      <w:r>
        <w:t xml:space="preserve">Five-fold stratified cross-validated accuracy of logistic regression (</w:t>
      </w:r>
      <m:oMath>
        <m:r>
          <m:t>C</m:t>
        </m:r>
        <m:r>
          <m:rPr>
            <m:sty m:val="p"/>
          </m:rPr>
          <m:t>=</m:t>
        </m:r>
        <m:r>
          <m:t>10</m:t>
        </m:r>
      </m:oMath>
      <w:r>
        <w:t xml:space="preserve">) and</w:t>
      </w:r>
      <w:r>
        <w:t xml:space="preserve"> </w:t>
      </w:r>
      <m:oMath>
        <m:r>
          <m:t>k</m:t>
        </m:r>
      </m:oMath>
      <w:r>
        <w:t xml:space="preserve">-nearest-neighbour classification (</w:t>
      </w:r>
      <m:oMath>
        <m:r>
          <m:t>k</m:t>
        </m:r>
        <m:r>
          <m:rPr>
            <m:sty m:val="p"/>
          </m:rPr>
          <m:t>=</m:t>
        </m:r>
        <m:r>
          <m:t>5</m:t>
        </m:r>
      </m:oMath>
      <w:r>
        <w:t xml:space="preserve">)</w:t>
      </w:r>
      <w:r>
        <w:t xml:space="preserve"> </w:t>
      </w:r>
      <w:r>
        <w:t xml:space="preserve">(Cover and Hart, 1967)</w:t>
      </w:r>
      <w:r>
        <w:t xml:space="preserve"> </w:t>
      </w:r>
      <w:r>
        <w:t xml:space="preserve">in predicting the SDG of each segment from raw and adjusted embeddings; chance = 1/17. If the adjustment removed topic, these accuracies would fall.</w:t>
      </w:r>
    </w:p>
    <w:bookmarkEnd w:id="122"/>
    <w:bookmarkEnd w:id="123"/>
    <w:bookmarkEnd w:id="124"/>
    <w:bookmarkStart w:id="146" w:name="app:cross-method-section"/>
    <w:p>
      <w:pPr>
        <w:pStyle w:val="Heading1"/>
      </w:pPr>
      <w:r>
        <w:t xml:space="preserve">Supplementary Cross-Method Data</w:t>
      </w:r>
    </w:p>
    <w:bookmarkStart w:id="125" w:name="app:cross-method-gap-values"/>
    <w:p>
      <w:pPr>
        <w:pStyle w:val="Heading2"/>
      </w:pPr>
      <w:r>
        <w:t xml:space="preserve">Cross-Method Coverage and Semantic Gap Values</w:t>
      </w:r>
    </w:p>
    <w:p>
      <w:pPr>
        <w:pStyle w:val="FirstParagraph"/>
      </w:pPr>
      <w:r>
        <w:t xml:space="preserve">Tables </w:t>
      </w:r>
      <w:hyperlink w:anchor="tab:app-cross-method-covgap">
        <w:r>
          <w:rPr>
            <w:rStyle w:val="Hyperlink"/>
          </w:rPr>
          <w:t xml:space="preserve">28</w:t>
        </w:r>
      </w:hyperlink>
      <w:r>
        <w:t xml:space="preserve"> </w:t>
      </w:r>
      <w:r>
        <w:t xml:space="preserve">and </w:t>
      </w:r>
      <w:hyperlink w:anchor="tab:app-cross-method-semgap">
        <w:r>
          <w:rPr>
            <w:rStyle w:val="Hyperlink"/>
          </w:rPr>
          <w:t xml:space="preserve">29</w:t>
        </w:r>
      </w:hyperlink>
      <w:r>
        <w:t xml:space="preserve"> </w:t>
      </w:r>
      <w:r>
        <w:t xml:space="preserve">report the raw coverage gap and semantic gap values for each SDG across seven encoder–classifier combinations, with an additional concept-retrieval LR column for comparison against the keyword-retrieved research corpus baseline (Appendix </w:t>
      </w:r>
      <w:hyperlink w:anchor="app:concept-retrieval-sensitivity">
        <w:r>
          <w:rPr>
            <w:rStyle w:val="Hyperlink"/>
          </w:rPr>
          <w:t xml:space="preserve">7</w:t>
        </w:r>
      </w:hyperlink>
      <w:r>
        <w:t xml:space="preserve">). While Tables </w:t>
      </w:r>
      <w:hyperlink w:anchor="tab:cross-sensitivity-robustness">
        <w:r>
          <w:rPr>
            <w:rStyle w:val="Hyperlink"/>
          </w:rPr>
          <w:t xml:space="preserve">20</w:t>
        </w:r>
      </w:hyperlink>
      <w:r>
        <w:t xml:space="preserve"> </w:t>
      </w:r>
      <w:r>
        <w:t xml:space="preserve">and </w:t>
      </w:r>
      <w:hyperlink w:anchor="tab:cross-sensitivity-coverage">
        <w:r>
          <w:rPr>
            <w:rStyle w:val="Hyperlink"/>
          </w:rPr>
          <w:t xml:space="preserve">25</w:t>
        </w:r>
      </w:hyperlink>
      <w:r>
        <w:t xml:space="preserve"> </w:t>
      </w:r>
      <w:r>
        <w:t xml:space="preserve">rank these values to compare cross-method stability, the tables below show the unrounded gap magnitudes, allowing the rank separation to be interpreted in absolute terms. Coverage gap is document-weighted (Assumption A19). Semantic gap policy centroids use a 50-segment-per-document cap. The zero-shot nearest-centroid method is reported for the canonical MPNet encoder only (Appendix </w:t>
      </w:r>
      <w:hyperlink w:anchor="app:assignment-method-comparison">
        <w:r>
          <w:rPr>
            <w:rStyle w:val="Hyperlink"/>
          </w:rPr>
          <w:t xml:space="preserve">14.5</w:t>
        </w:r>
      </w:hyperlink>
      <w:r>
        <w:t xml:space="preserve">).</w:t>
      </w:r>
    </w:p>
    <w:bookmarkEnd w:id="125"/>
    <w:bookmarkStart w:id="128" w:name="sec:cross-sensitivity"/>
    <w:p>
      <w:pPr>
        <w:pStyle w:val="Heading2"/>
      </w:pPr>
      <w:r>
        <w:t xml:space="preserve">Rank Robustness: Cross-Sensitivity and Encoder Sensitivity</w:t>
      </w:r>
    </w:p>
    <w:p>
      <w:pPr>
        <w:pStyle w:val="FirstParagraph"/>
      </w:pPr>
      <w:r>
        <w:t xml:space="preserve">Tables </w:t>
      </w:r>
      <w:hyperlink w:anchor="tab:cross-sensitivity-robustness">
        <w:r>
          <w:rPr>
            <w:rStyle w:val="Hyperlink"/>
          </w:rPr>
          <w:t xml:space="preserve">20</w:t>
        </w:r>
      </w:hyperlink>
      <w:r>
        <w:t xml:space="preserve"> </w:t>
      </w:r>
      <w:r>
        <w:t xml:space="preserve">(adjusted) and </w:t>
      </w:r>
      <w:hyperlink w:anchor="tab:cross-sensitivity-robustness-raw">
        <w:r>
          <w:rPr>
            <w:rStyle w:val="Hyperlink"/>
          </w:rPr>
          <w:t xml:space="preserve">21</w:t>
        </w:r>
      </w:hyperlink>
      <w:r>
        <w:t xml:space="preserve"> </w:t>
      </w:r>
      <w:r>
        <w:t xml:space="preserve">(raw) report each SDG’s semantic-gap rank under the canonical MPNet–LR configuration and its alternatives: segment cap (20, none) and concept-based retrieval (LR, MLP) in both panels, with policy source family (curated AI/SDG, SDGi, UNGDC, full) added in the raw panel. Tables </w:t>
      </w:r>
      <w:hyperlink w:anchor="tab:encoder-sensitivity-semantic">
        <w:r>
          <w:rPr>
            <w:rStyle w:val="Hyperlink"/>
          </w:rPr>
          <w:t xml:space="preserve">22</w:t>
        </w:r>
      </w:hyperlink>
      <w:r>
        <w:t xml:space="preserve">, </w:t>
      </w:r>
      <w:hyperlink w:anchor="tab:encoder-sensitivity-semantic-raw">
        <w:r>
          <w:rPr>
            <w:rStyle w:val="Hyperlink"/>
          </w:rPr>
          <w:t xml:space="preserve">23</w:t>
        </w:r>
      </w:hyperlink>
      <w:r>
        <w:t xml:space="preserve">, and </w:t>
      </w:r>
      <w:hyperlink w:anchor="tab:encoder-sensitivity-coverage">
        <w:r>
          <w:rPr>
            <w:rStyle w:val="Hyperlink"/>
          </w:rPr>
          <w:t xml:space="preserve">24</w:t>
        </w:r>
      </w:hyperlink>
      <w:r>
        <w:t xml:space="preserve"> </w:t>
      </w:r>
      <w:r>
        <w:t xml:space="preserve">report the within-SDG gap rankings under MPNet, MiniLM, and SciBERT for each classifier. The adjusted (register-removed) ranking is reported separately from the raw (naive) ranking, with the tested dimension nested inside each table.</w:t>
      </w:r>
    </w:p>
    <w:bookmarkStart w:id="126" w:name="tab:cross-sensitivity-robustness"/>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1320"/>
        <w:gridCol w:w="1320"/>
        <w:gridCol w:w="1320"/>
        <w:gridCol w:w="1320"/>
        <w:gridCol w:w="1320"/>
        <w:gridCol w:w="1320"/>
      </w:tblGrid>
      <w:tr>
        <w:trPr>
          <w:tblHeader w:val="true"/>
        </w:trPr>
        <w:tc>
          <w:tcPr/>
          <w:p>
            <w:pPr>
              <w:pStyle w:val="Compact"/>
              <w:jc w:val="left"/>
            </w:pPr>
            <w:r>
              <w:t xml:space="preserve">SDG</w:t>
            </w:r>
          </w:p>
        </w:tc>
        <w:tc>
          <w:tcPr/>
          <w:p>
            <w:pPr>
              <w:pStyle w:val="Compact"/>
            </w:pP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3-4</w:t>
            </w:r>
            <w:r>
              <w:t xml:space="preserve"> </w:t>
            </w:r>
            <w:r>
              <w:t xml:space="preserve">(lr)</w:t>
            </w:r>
            <w:r>
              <w:t xml:space="preserve">5-6</w:t>
            </w:r>
          </w:p>
        </w:tc>
        <w:tc>
          <w:tcPr/>
          <w:p>
            <w:pPr>
              <w:pStyle w:val="Compact"/>
              <w:jc w:val="center"/>
            </w:pPr>
            <w:r>
              <w:t xml:space="preserve">Canon</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4</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3</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4</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16</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13</w:t>
            </w:r>
          </w:p>
        </w:tc>
        <w:tc>
          <w:tcPr/>
          <w:p>
            <w:pPr>
              <w:pStyle w:val="Compact"/>
              <w:jc w:val="center"/>
            </w:pPr>
            <w:r>
              <w:t xml:space="preserve">13</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1</w:t>
            </w:r>
          </w:p>
        </w:tc>
      </w:tr>
      <w:tr>
        <w:tc>
          <w:tcPr/>
          <w:p>
            <w:pPr>
              <w:pStyle w:val="Compact"/>
              <w:jc w:val="left"/>
            </w:pPr>
            <w:r>
              <w:t xml:space="preserve">9</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7</w:t>
            </w:r>
          </w:p>
        </w:tc>
        <w:tc>
          <w:tcPr/>
          <w:p>
            <w:pPr>
              <w:pStyle w:val="Compact"/>
              <w:jc w:val="center"/>
            </w:pPr>
            <w:r>
              <w:t xml:space="preserve">7</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3</w:t>
            </w:r>
          </w:p>
        </w:tc>
      </w:tr>
      <w:tr>
        <w:tc>
          <w:tcPr/>
          <w:p>
            <w:pPr>
              <w:pStyle w:val="Compact"/>
              <w:jc w:val="left"/>
            </w:pPr>
            <w:r>
              <w:t xml:space="preserve">11</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11</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12</w:t>
            </w:r>
          </w:p>
        </w:tc>
      </w:tr>
      <w:tr>
        <w:tc>
          <w:tcPr/>
          <w:p>
            <w:pPr>
              <w:pStyle w:val="Compact"/>
              <w:jc w:val="left"/>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14</w:t>
            </w:r>
          </w:p>
        </w:tc>
        <w:tc>
          <w:tcPr/>
          <w:p>
            <w:pPr>
              <w:pStyle w:val="Compact"/>
              <w:jc w:val="center"/>
            </w:pPr>
            <w:r>
              <w:t xml:space="preserve">12</w:t>
            </w:r>
          </w:p>
        </w:tc>
        <w:tc>
          <w:tcPr/>
          <w:p>
            <w:pPr>
              <w:pStyle w:val="Compact"/>
              <w:jc w:val="center"/>
            </w:pPr>
            <w:r>
              <w:t xml:space="preserve">9</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15</w:t>
            </w:r>
          </w:p>
        </w:tc>
      </w:tr>
      <w:tr>
        <w:tc>
          <w:tcPr/>
          <w:p>
            <w:pPr>
              <w:pStyle w:val="Compact"/>
              <w:jc w:val="left"/>
            </w:pPr>
            <w:r>
              <w:t xml:space="preserve">16</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8</w:t>
            </w:r>
          </w:p>
        </w:tc>
        <w:tc>
          <w:tcPr/>
          <w:p>
            <w:pPr>
              <w:pStyle w:val="Compact"/>
              <w:jc w:val="center"/>
            </w:pPr>
            <w:r>
              <w:t xml:space="preserve">8</w:t>
            </w:r>
          </w:p>
        </w:tc>
      </w:tr>
      <w:tr>
        <w:tc>
          <w:tcPr/>
          <w:p>
            <w:pPr>
              <w:pStyle w:val="Compact"/>
              <w:jc w:val="left"/>
            </w:pPr>
            <w:r>
              <w:t xml:space="preserve">17</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0.995</w:t>
            </w:r>
          </w:p>
        </w:tc>
        <w:tc>
          <w:tcPr/>
          <w:p>
            <w:pPr>
              <w:pStyle w:val="Compact"/>
              <w:jc w:val="center"/>
            </w:pPr>
            <w:r>
              <w:t xml:space="preserve">0.966</w:t>
            </w:r>
          </w:p>
        </w:tc>
        <w:tc>
          <w:tcPr/>
          <w:p>
            <w:pPr>
              <w:pStyle w:val="Compact"/>
              <w:jc w:val="center"/>
            </w:pPr>
            <w:r>
              <w:t xml:space="preserve">0.755</w:t>
            </w:r>
          </w:p>
        </w:tc>
        <w:tc>
          <w:tcPr/>
          <w:p>
            <w:pPr>
              <w:pStyle w:val="Compact"/>
              <w:jc w:val="center"/>
            </w:pPr>
            <w:r>
              <w:t xml:space="preserve">0.681</w:t>
            </w:r>
          </w:p>
        </w:tc>
      </w:tr>
    </w:tbl>
    <w:bookmarkEnd w:id="126"/>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Start w:id="127" w:name="tab:cross-sensitivity-robustness-raw"/>
    <w:p>
      <w:pPr>
        <w:pStyle w:val="TableCaption"/>
      </w:pPr>
      <w:r>
        <w:t xml:space="preserve">Cross-sensitivity robustness of within-SDG semantic-gap rankings across policy source, segment cap, and retrieval strategy.</w:t>
      </w:r>
    </w:p>
    <w:tbl>
      <w:tblPr>
        <w:tblStyle w:val="Table"/>
        <w:tblW w:type="auto" w:w="0"/>
        <w:tblLook w:firstRow="1" w:lastRow="0" w:firstColumn="0" w:lastColumn="0" w:noHBand="0" w:noVBand="0" w:val="0020"/>
        <w:jc w:val="start"/>
        <w:tblCaption w:val="Cross-sensitivity robustness of within-SDG semantic-gap rankings across policy source, segment cap, and retrieval strategy."/>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SDG</w:t>
            </w:r>
          </w:p>
        </w:tc>
        <w:tc>
          <w:tcPr/>
          <w:p>
            <w:pPr>
              <w:pStyle w:val="Compact"/>
            </w:pPr>
          </w:p>
        </w:tc>
        <w:tc>
          <w:tcPr>
            <w:gridSpan w:val="4"/>
          </w:tcPr>
          <w:p>
            <w:pPr>
              <w:pStyle w:val="Compact"/>
              <w:jc w:val="center"/>
            </w:pPr>
            <w:r>
              <w:t xml:space="preserve">Policy source</w:t>
            </w:r>
          </w:p>
        </w:tc>
        <w:tc>
          <w:tcPr>
            <w:gridSpan w:val="2"/>
          </w:tcPr>
          <w:p>
            <w:pPr>
              <w:pStyle w:val="Compact"/>
              <w:jc w:val="center"/>
            </w:pPr>
            <w:r>
              <w:t xml:space="preserve">Segment cap</w:t>
            </w:r>
          </w:p>
        </w:tc>
        <w:tc>
          <w:tcPr>
            <w:gridSpan w:val="2"/>
          </w:tcPr>
          <w:p>
            <w:pPr>
              <w:pStyle w:val="Compact"/>
              <w:jc w:val="center"/>
            </w:pPr>
            <w:r>
              <w:t xml:space="preserve">Retrieval</w:t>
            </w:r>
          </w:p>
        </w:tc>
      </w:tr>
      <w:tr>
        <w:tc>
          <w:tcPr/>
          <w:p>
            <w:pPr>
              <w:pStyle w:val="Compact"/>
              <w:jc w:val="left"/>
            </w:pPr>
            <w:r>
              <w:t xml:space="preserve">3-6</w:t>
            </w:r>
            <w:r>
              <w:t xml:space="preserve"> </w:t>
            </w:r>
            <w:r>
              <w:t xml:space="preserve">(lr)</w:t>
            </w:r>
            <w:r>
              <w:t xml:space="preserve">7-8</w:t>
            </w:r>
            <w:r>
              <w:t xml:space="preserve"> </w:t>
            </w:r>
            <w:r>
              <w:t xml:space="preserve">(lr)</w:t>
            </w:r>
            <w:r>
              <w:t xml:space="preserve">9-10</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Full</w:t>
            </w:r>
          </w:p>
        </w:tc>
        <w:tc>
          <w:tcPr/>
          <w:p>
            <w:pPr>
              <w:pStyle w:val="Compact"/>
              <w:jc w:val="center"/>
            </w:pPr>
            <w:r>
              <w:t xml:space="preserve">20</w:t>
            </w:r>
          </w:p>
        </w:tc>
        <w:tc>
          <w:tcPr/>
          <w:p>
            <w:pPr>
              <w:pStyle w:val="Compact"/>
              <w:jc w:val="center"/>
            </w:pPr>
            <w:r>
              <w:t xml:space="preserve">None</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5</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11</w:t>
            </w:r>
          </w:p>
        </w:tc>
        <w:tc>
          <w:tcPr/>
          <w:p>
            <w:pPr>
              <w:pStyle w:val="Compact"/>
              <w:jc w:val="center"/>
            </w:pPr>
            <w:r>
              <w:t xml:space="preserve">10</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8</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7</w:t>
            </w:r>
          </w:p>
        </w:tc>
      </w:tr>
      <w:tr>
        <w:tc>
          <w:tcPr/>
          <w:p>
            <w:pPr>
              <w:pStyle w:val="Compact"/>
              <w:jc w:val="left"/>
            </w:pPr>
            <w:r>
              <w:t xml:space="preserve">4</w:t>
            </w:r>
          </w:p>
        </w:tc>
        <w:tc>
          <w:tcPr/>
          <w:p>
            <w:pPr>
              <w:pStyle w:val="Compact"/>
              <w:jc w:val="center"/>
            </w:pPr>
            <w:r>
              <w:t xml:space="preserve">15</w:t>
            </w:r>
          </w:p>
        </w:tc>
        <w:tc>
          <w:tcPr/>
          <w:p>
            <w:pPr>
              <w:pStyle w:val="Compact"/>
              <w:jc w:val="center"/>
            </w:pPr>
            <w:r>
              <w:t xml:space="preserve">15</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17</w:t>
            </w:r>
          </w:p>
        </w:tc>
      </w:tr>
      <w:tr>
        <w:tc>
          <w:tcPr/>
          <w:p>
            <w:pPr>
              <w:pStyle w:val="Compact"/>
              <w:jc w:val="left"/>
            </w:pPr>
            <w:r>
              <w:t xml:space="preserve">5</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13</w:t>
            </w:r>
          </w:p>
        </w:tc>
        <w:tc>
          <w:tcPr/>
          <w:p>
            <w:pPr>
              <w:pStyle w:val="Compact"/>
              <w:jc w:val="center"/>
            </w:pPr>
            <w:r>
              <w:t xml:space="preserve">6</w:t>
            </w:r>
          </w:p>
        </w:tc>
        <w:tc>
          <w:tcPr/>
          <w:p>
            <w:pPr>
              <w:pStyle w:val="Compact"/>
              <w:jc w:val="center"/>
            </w:pPr>
            <w:r>
              <w:t xml:space="preserve">5</w:t>
            </w:r>
          </w:p>
        </w:tc>
      </w:tr>
      <w:tr>
        <w:tc>
          <w:tcPr/>
          <w:p>
            <w:pPr>
              <w:pStyle w:val="Compact"/>
              <w:jc w:val="left"/>
            </w:pPr>
            <w:r>
              <w:t xml:space="preserve">6</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7</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6</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8</w:t>
            </w:r>
          </w:p>
        </w:tc>
        <w:tc>
          <w:tcPr/>
          <w:p>
            <w:pPr>
              <w:pStyle w:val="Compact"/>
              <w:jc w:val="center"/>
            </w:pPr>
            <w:r>
              <w:t xml:space="preserve">11</w:t>
            </w:r>
          </w:p>
        </w:tc>
      </w:tr>
      <w:tr>
        <w:tc>
          <w:tcPr/>
          <w:p>
            <w:pPr>
              <w:pStyle w:val="Compact"/>
              <w:jc w:val="left"/>
            </w:pPr>
            <w:r>
              <w:t xml:space="preserve">8</w:t>
            </w:r>
          </w:p>
        </w:tc>
        <w:tc>
          <w:tcPr/>
          <w:p>
            <w:pPr>
              <w:pStyle w:val="Compact"/>
              <w:jc w:val="center"/>
            </w:pPr>
            <w:r>
              <w:t xml:space="preserve">6</w:t>
            </w:r>
          </w:p>
        </w:tc>
        <w:tc>
          <w:tcPr/>
          <w:p>
            <w:pPr>
              <w:pStyle w:val="Compact"/>
              <w:jc w:val="center"/>
            </w:pPr>
            <w:r>
              <w:t xml:space="preserve">5</w:t>
            </w:r>
          </w:p>
        </w:tc>
        <w:tc>
          <w:tcPr/>
          <w:p>
            <w:pPr>
              <w:pStyle w:val="Compact"/>
              <w:jc w:val="center"/>
            </w:pPr>
            <w:r>
              <w:t xml:space="preserve">7</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6</w:t>
            </w:r>
          </w:p>
        </w:tc>
        <w:tc>
          <w:tcPr/>
          <w:p>
            <w:pPr>
              <w:pStyle w:val="Compact"/>
              <w:jc w:val="center"/>
            </w:pPr>
            <w:r>
              <w:t xml:space="preserve">4</w:t>
            </w:r>
          </w:p>
        </w:tc>
        <w:tc>
          <w:tcPr/>
          <w:p>
            <w:pPr>
              <w:pStyle w:val="Compact"/>
              <w:jc w:val="center"/>
            </w:pPr>
            <w:r>
              <w:t xml:space="preserve">2</w:t>
            </w:r>
          </w:p>
        </w:tc>
      </w:tr>
      <w:tr>
        <w:tc>
          <w:tcPr/>
          <w:p>
            <w:pPr>
              <w:pStyle w:val="Compact"/>
              <w:jc w:val="left"/>
            </w:pPr>
            <w:r>
              <w:t xml:space="preserve">9</w:t>
            </w:r>
          </w:p>
        </w:tc>
        <w:tc>
          <w:tcPr/>
          <w:p>
            <w:pPr>
              <w:pStyle w:val="Compact"/>
              <w:jc w:val="center"/>
            </w:pPr>
            <w:r>
              <w:t xml:space="preserve">9</w:t>
            </w:r>
          </w:p>
        </w:tc>
        <w:tc>
          <w:tcPr/>
          <w:p>
            <w:pPr>
              <w:pStyle w:val="Compact"/>
              <w:jc w:val="center"/>
            </w:pPr>
            <w:r>
              <w:t xml:space="preserve">14</w:t>
            </w:r>
          </w:p>
        </w:tc>
        <w:tc>
          <w:tcPr/>
          <w:p>
            <w:pPr>
              <w:pStyle w:val="Compact"/>
              <w:jc w:val="center"/>
            </w:pPr>
            <w:r>
              <w:t xml:space="preserve">2</w:t>
            </w:r>
          </w:p>
        </w:tc>
        <w:tc>
          <w:tcPr/>
          <w:p>
            <w:pPr>
              <w:pStyle w:val="Compact"/>
              <w:jc w:val="center"/>
            </w:pPr>
            <w:r>
              <w:t xml:space="preserve">10</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10</w:t>
            </w:r>
          </w:p>
        </w:tc>
        <w:tc>
          <w:tcPr/>
          <w:p>
            <w:pPr>
              <w:pStyle w:val="Compact"/>
              <w:jc w:val="center"/>
            </w:pPr>
            <w:r>
              <w:t xml:space="preserve">8</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3</w:t>
            </w:r>
          </w:p>
        </w:tc>
      </w:tr>
      <w:tr>
        <w:tc>
          <w:tcPr/>
          <w:p>
            <w:pPr>
              <w:pStyle w:val="Compact"/>
              <w:jc w:val="left"/>
            </w:pPr>
            <w:r>
              <w:t xml:space="preserve">12</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10</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12</w:t>
            </w:r>
          </w:p>
        </w:tc>
      </w:tr>
      <w:tr>
        <w:tc>
          <w:tcPr/>
          <w:p>
            <w:pPr>
              <w:pStyle w:val="Compact"/>
              <w:jc w:val="left"/>
            </w:pPr>
            <w:r>
              <w:t xml:space="preserve">13</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5</w:t>
            </w:r>
          </w:p>
        </w:tc>
        <w:tc>
          <w:tcPr/>
          <w:p>
            <w:pPr>
              <w:pStyle w:val="Compact"/>
              <w:jc w:val="center"/>
            </w:pPr>
            <w:r>
              <w:t xml:space="preserve">4</w:t>
            </w:r>
          </w:p>
        </w:tc>
      </w:tr>
      <w:tr>
        <w:tc>
          <w:tcPr/>
          <w:p>
            <w:pPr>
              <w:pStyle w:val="Compact"/>
              <w:jc w:val="left"/>
            </w:pPr>
            <w:r>
              <w:t xml:space="preserve">14</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7</w:t>
            </w:r>
          </w:p>
        </w:tc>
        <w:tc>
          <w:tcPr/>
          <w:p>
            <w:pPr>
              <w:pStyle w:val="Compact"/>
              <w:jc w:val="center"/>
            </w:pPr>
            <w:r>
              <w:t xml:space="preserve">9</w:t>
            </w:r>
          </w:p>
        </w:tc>
        <w:tc>
          <w:tcPr/>
          <w:p>
            <w:pPr>
              <w:pStyle w:val="Compact"/>
              <w:jc w:val="center"/>
            </w:pPr>
            <w:r>
              <w:t xml:space="preserve">6</w:t>
            </w:r>
          </w:p>
        </w:tc>
      </w:tr>
      <w:tr>
        <w:tc>
          <w:tcPr/>
          <w:p>
            <w:pPr>
              <w:pStyle w:val="Compact"/>
              <w:jc w:val="left"/>
            </w:pPr>
            <w:r>
              <w:t xml:space="preserve">15</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16</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16</w:t>
            </w:r>
          </w:p>
        </w:tc>
        <w:tc>
          <w:tcPr/>
          <w:p>
            <w:pPr>
              <w:pStyle w:val="Compact"/>
              <w:jc w:val="center"/>
            </w:pPr>
            <w:r>
              <w:t xml:space="preserve">8</w:t>
            </w:r>
          </w:p>
        </w:tc>
        <w:tc>
          <w:tcPr/>
          <w:p>
            <w:pPr>
              <w:pStyle w:val="Compact"/>
              <w:jc w:val="center"/>
            </w:pPr>
            <w:r>
              <w:t xml:space="preserve">16</w:t>
            </w:r>
          </w:p>
        </w:tc>
        <w:tc>
          <w:tcPr/>
          <w:p>
            <w:pPr>
              <w:pStyle w:val="Compact"/>
              <w:jc w:val="center"/>
            </w:pPr>
            <w:r>
              <w:t xml:space="preserve">8</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7</w:t>
            </w:r>
          </w:p>
        </w:tc>
        <w:tc>
          <w:tcPr/>
          <w:p>
            <w:pPr>
              <w:pStyle w:val="Compact"/>
              <w:jc w:val="center"/>
            </w:pPr>
            <w:r>
              <w:t xml:space="preserve">9</w:t>
            </w:r>
          </w:p>
        </w:tc>
      </w:tr>
      <w:tr>
        <w:tc>
          <w:tcPr/>
          <w:p>
            <w:pPr>
              <w:pStyle w:val="Compact"/>
              <w:jc w:val="left"/>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0.738</w:t>
            </w:r>
          </w:p>
        </w:tc>
        <w:tc>
          <w:tcPr/>
          <w:p>
            <w:pPr>
              <w:pStyle w:val="Compact"/>
              <w:jc w:val="center"/>
            </w:pPr>
            <w:r>
              <w:t xml:space="preserve">0.907</w:t>
            </w:r>
          </w:p>
        </w:tc>
        <w:tc>
          <w:tcPr/>
          <w:p>
            <w:pPr>
              <w:pStyle w:val="Compact"/>
              <w:jc w:val="center"/>
            </w:pPr>
            <w:r>
              <w:t xml:space="preserve">0.963</w:t>
            </w:r>
          </w:p>
        </w:tc>
        <w:tc>
          <w:tcPr/>
          <w:p>
            <w:pPr>
              <w:pStyle w:val="Compact"/>
              <w:jc w:val="center"/>
            </w:pPr>
            <w:r>
              <w:t xml:space="preserve">0.998</w:t>
            </w:r>
          </w:p>
        </w:tc>
        <w:tc>
          <w:tcPr/>
          <w:p>
            <w:pPr>
              <w:pStyle w:val="Compact"/>
              <w:jc w:val="center"/>
            </w:pPr>
            <w:r>
              <w:t xml:space="preserve">0.998</w:t>
            </w:r>
          </w:p>
        </w:tc>
        <w:tc>
          <w:tcPr/>
          <w:p>
            <w:pPr>
              <w:pStyle w:val="Compact"/>
              <w:jc w:val="center"/>
            </w:pPr>
            <w:r>
              <w:t xml:space="preserve">0.988</w:t>
            </w:r>
          </w:p>
        </w:tc>
        <w:tc>
          <w:tcPr/>
          <w:p>
            <w:pPr>
              <w:pStyle w:val="Compact"/>
              <w:jc w:val="center"/>
            </w:pPr>
            <w:r>
              <w:t xml:space="preserve">0.814</w:t>
            </w:r>
          </w:p>
        </w:tc>
        <w:tc>
          <w:tcPr/>
          <w:p>
            <w:pPr>
              <w:pStyle w:val="Compact"/>
              <w:jc w:val="center"/>
            </w:pPr>
            <w:r>
              <w:t xml:space="preserve">0.679</w:t>
            </w:r>
          </w:p>
        </w:tc>
      </w:tr>
    </w:tbl>
    <w:bookmarkEnd w:id="127"/>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Policy-source columns compare the keyword-retrieved research profile against each policy-source family. Segment-cap columns compare cap 20 and no cap. The Retrieval column replaces keyword retrieval with concept-based (AI/ML field-of-study) retrieval. Rank Corr (</w:t>
      </w:r>
      <m:oMath>
        <m:r>
          <m:t>ρ</m:t>
        </m:r>
      </m:oMath>
      <w:r>
        <w:t xml:space="preserve">) is the Spearman correlation of each column’s SDG gap ranks against the Canon column.</w:t>
      </w:r>
    </w:p>
    <w:bookmarkEnd w:id="128"/>
    <w:bookmarkStart w:id="133" w:name="sec:encoder-sensitivity"/>
    <w:p>
      <w:pPr>
        <w:pStyle w:val="Heading2"/>
      </w:pPr>
      <w:r>
        <w:t xml:space="preserve">Encoder Sensitivity</w:t>
      </w:r>
    </w:p>
    <w:p>
      <w:pPr>
        <w:pStyle w:val="FirstParagraph"/>
      </w:pPr>
      <w:r>
        <w:t xml:space="preserve">The semantic-gap ranking is moderately preserved across the three encoders on the adjusted (register-removed) gap (MPNet–LR vs. SciBERT–LR Spearman</w:t>
      </w:r>
      <w:r>
        <w:t xml:space="preserve"> </w:t>
      </w:r>
      <m:oMath>
        <m:r>
          <m:t>ρ</m:t>
        </m:r>
        <m:r>
          <m:rPr>
            <m:sty m:val="p"/>
          </m:rPr>
          <m:t>=</m:t>
        </m:r>
        <m:r>
          <m:t>0.537</m:t>
        </m:r>
      </m:oMath>
      <w:r>
        <w:t xml:space="preserve">; MPNet–LR vs. MiniLM–LR</w:t>
      </w:r>
      <w:r>
        <w:t xml:space="preserve"> </w:t>
      </w:r>
      <m:oMath>
        <m:r>
          <m:t>ρ</m:t>
        </m:r>
        <m:r>
          <m:rPr>
            <m:sty m:val="p"/>
          </m:rPr>
          <m:t>≈</m:t>
        </m:r>
        <m:r>
          <m:t>0.632</m:t>
        </m:r>
      </m:oMath>
      <w:r>
        <w:t xml:space="preserve">), and the coverage-gap ranking is highly stable (MPNet–LR vs. SciBERT–LR</w:t>
      </w:r>
      <w:r>
        <w:t xml:space="preserve"> </w:t>
      </w:r>
      <m:oMath>
        <m:r>
          <m:t>ρ</m:t>
        </m:r>
        <m:r>
          <m:rPr>
            <m:sty m:val="p"/>
          </m:rPr>
          <m:t>=</m:t>
        </m:r>
        <m:r>
          <m:t>0.934</m:t>
        </m:r>
      </m:oMath>
      <w:r>
        <w:t xml:space="preserve">). MiniLM and SciBERT are scored on a deterministic 100,000-paper subset (seed 42) of the canonical segmented corpus, so the architecture comparison isolates encoder choice from corpus scale. Under the raw gap, SDG 3 leads for MPNet–LR and SciBERT–LR while SDG 13 leads for MiniLM–LR; SDG 17 trails in all three (rank 16 or 17). The scientific-domain SciBERT compresses the magnitudes but does not change which goals diverge most. Classifier sensitivity within MPNet on the adjusted gap: the three classifiers, LR, zero-shot nearest-centroid, and the MLP robustness check, show varied agreement (MPNet LR vs. MLP</w:t>
      </w:r>
      <w:r>
        <w:t xml:space="preserve"> </w:t>
      </w:r>
      <m:oMath>
        <m:r>
          <m:t>ρ</m:t>
        </m:r>
        <m:r>
          <m:rPr>
            <m:sty m:val="p"/>
          </m:rPr>
          <m:t>=</m:t>
        </m:r>
        <m:r>
          <m:t>0.850</m:t>
        </m:r>
      </m:oMath>
      <w:r>
        <w:t xml:space="preserve">, LR vs. zero-shot</w:t>
      </w:r>
      <w:r>
        <w:t xml:space="preserve"> </w:t>
      </w:r>
      <m:oMath>
        <m:r>
          <m:t>ρ</m:t>
        </m:r>
        <m:r>
          <m:rPr>
            <m:sty m:val="p"/>
          </m:rPr>
          <m:t>=</m:t>
        </m:r>
        <m:r>
          <m:t>0.596</m:t>
        </m:r>
      </m:oMath>
      <w:r>
        <w:t xml:space="preserve">). Under the raw gap, SDG 17 is the most classifier-sensitive goal, sitting at rank 17 under LR but rank 8 under zero-shot. The LR baseline is the canonical reference, with MLP and zero-shot as uncertainty bounds.</w:t>
      </w:r>
    </w:p>
    <w:bookmarkStart w:id="129" w:name="tab:encoder-sensitivity-semantic"/>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8</w:t>
            </w:r>
          </w:p>
        </w:tc>
        <w:tc>
          <w:tcPr/>
          <w:p>
            <w:pPr>
              <w:pStyle w:val="Compact"/>
              <w:jc w:val="center"/>
            </w:pPr>
            <w:r>
              <w:rPr>
                <w:bCs/>
                <w:b/>
              </w:rPr>
              <w:t xml:space="preserve">11</w:t>
            </w:r>
          </w:p>
        </w:tc>
        <w:tc>
          <w:tcPr/>
          <w:p>
            <w:pPr>
              <w:pStyle w:val="Compact"/>
              <w:jc w:val="center"/>
            </w:pPr>
            <w:r>
              <w:rPr>
                <w:bCs/>
                <w:b/>
              </w:rPr>
              <w:t xml:space="preserve">1</w:t>
            </w:r>
          </w:p>
        </w:tc>
        <w:tc>
          <w:tcPr/>
          <w:p>
            <w:pPr>
              <w:pStyle w:val="Compact"/>
              <w:jc w:val="center"/>
            </w:pPr>
            <w:r>
              <w:rPr>
                <w:bCs/>
                <w:b/>
              </w:rPr>
              <w:t xml:space="preserve">8</w:t>
            </w:r>
          </w:p>
        </w:tc>
        <w:tc>
          <w:tcPr/>
          <w:p>
            <w:pPr>
              <w:pStyle w:val="Compact"/>
              <w:jc w:val="center"/>
            </w:pPr>
            <w:r>
              <w:rPr>
                <w:bCs/>
                <w:b/>
              </w:rPr>
              <w:t xml:space="preserve">7</w:t>
            </w:r>
          </w:p>
        </w:tc>
        <w:tc>
          <w:tcPr/>
          <w:p>
            <w:pPr>
              <w:pStyle w:val="Compact"/>
              <w:jc w:val="center"/>
            </w:pPr>
            <w:r>
              <w:rPr>
                <w:bCs/>
                <w:b/>
              </w:rPr>
              <w:t xml:space="preserve">15</w:t>
            </w:r>
          </w:p>
        </w:tc>
        <w:tc>
          <w:tcPr/>
          <w:p>
            <w:pPr>
              <w:pStyle w:val="Compact"/>
              <w:jc w:val="center"/>
            </w:pPr>
            <w:r>
              <w:rPr>
                <w:bCs/>
                <w:b/>
              </w:rPr>
              <w:t xml:space="preserve">1</w:t>
            </w:r>
          </w:p>
        </w:tc>
      </w:tr>
      <w:tr>
        <w:tc>
          <w:tcPr/>
          <w:p>
            <w:pPr>
              <w:pStyle w:val="Compact"/>
              <w:jc w:val="left"/>
            </w:pPr>
            <w:r>
              <w:t xml:space="preserve">2</w:t>
            </w:r>
          </w:p>
        </w:tc>
        <w:tc>
          <w:tcPr/>
          <w:p>
            <w:pPr>
              <w:pStyle w:val="Compact"/>
              <w:jc w:val="center"/>
            </w:pPr>
            <w:r>
              <w:rPr>
                <w:bCs/>
                <w:b/>
              </w:rPr>
              <w:t xml:space="preserve">16</w:t>
            </w:r>
          </w:p>
        </w:tc>
        <w:tc>
          <w:tcPr/>
          <w:p>
            <w:pPr>
              <w:pStyle w:val="Compact"/>
              <w:jc w:val="center"/>
            </w:pPr>
            <w:r>
              <w:rPr>
                <w:bCs/>
                <w:b/>
              </w:rPr>
              <w:t xml:space="preserve">16</w:t>
            </w:r>
          </w:p>
        </w:tc>
        <w:tc>
          <w:tcPr/>
          <w:p>
            <w:pPr>
              <w:pStyle w:val="Compact"/>
              <w:jc w:val="center"/>
            </w:pPr>
            <w:r>
              <w:rPr>
                <w:bCs/>
                <w:b/>
              </w:rPr>
              <w:t xml:space="preserve">14</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16</w:t>
            </w:r>
          </w:p>
        </w:tc>
      </w:tr>
      <w:tr>
        <w:tc>
          <w:tcPr/>
          <w:p>
            <w:pPr>
              <w:pStyle w:val="Compact"/>
              <w:jc w:val="left"/>
            </w:pPr>
            <w: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12</w:t>
            </w:r>
          </w:p>
        </w:tc>
      </w:tr>
      <w:tr>
        <w:tc>
          <w:tcPr/>
          <w:p>
            <w:pPr>
              <w:pStyle w:val="Compact"/>
              <w:jc w:val="left"/>
            </w:pPr>
            <w:r>
              <w:t xml:space="preserve">4</w:t>
            </w:r>
          </w:p>
        </w:tc>
        <w:tc>
          <w:tcPr/>
          <w:p>
            <w:pPr>
              <w:pStyle w:val="Compact"/>
              <w:jc w:val="center"/>
            </w:pPr>
            <w:r>
              <w:rPr>
                <w:iCs/>
                <w:i/>
              </w:rPr>
              <w:t xml:space="preserve">11</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7</w:t>
            </w:r>
          </w:p>
        </w:tc>
        <w:tc>
          <w:tcPr/>
          <w:p>
            <w:pPr>
              <w:pStyle w:val="Compact"/>
              <w:jc w:val="center"/>
            </w:pPr>
            <w:r>
              <w:rPr>
                <w:iCs/>
                <w:i/>
              </w:rPr>
              <w:t xml:space="preserve">8</w:t>
            </w:r>
          </w:p>
        </w:tc>
        <w:tc>
          <w:tcPr/>
          <w:p>
            <w:pPr>
              <w:pStyle w:val="Compact"/>
              <w:jc w:val="center"/>
            </w:pPr>
            <w:r>
              <w:rPr>
                <w:iCs/>
                <w:i/>
              </w:rPr>
              <w:t xml:space="preserve">9</w:t>
            </w:r>
          </w:p>
        </w:tc>
        <w:tc>
          <w:tcPr/>
          <w:p>
            <w:pPr>
              <w:pStyle w:val="Compact"/>
              <w:jc w:val="center"/>
            </w:pPr>
            <w:r>
              <w:rPr>
                <w:iCs/>
                <w:i/>
              </w:rPr>
              <w:t xml:space="preserve">11</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w:t>
            </w:r>
          </w:p>
        </w:tc>
        <w:tc>
          <w:tcPr/>
          <w:p>
            <w:pPr>
              <w:pStyle w:val="Compact"/>
              <w:jc w:val="center"/>
            </w:pPr>
            <w:r>
              <w:rPr>
                <w:iCs/>
                <w:i/>
              </w:rPr>
              <w:t xml:space="preserve">3</w:t>
            </w:r>
          </w:p>
        </w:tc>
        <w:tc>
          <w:tcPr/>
          <w:p>
            <w:pPr>
              <w:pStyle w:val="Compact"/>
              <w:jc w:val="center"/>
            </w:pPr>
            <w:r>
              <w:rPr>
                <w:iCs/>
                <w:i/>
              </w:rPr>
              <w:t xml:space="preserve">2</w:t>
            </w:r>
          </w:p>
        </w:tc>
        <w:tc>
          <w:tcPr/>
          <w:p>
            <w:pPr>
              <w:pStyle w:val="Compact"/>
              <w:jc w:val="center"/>
            </w:pPr>
            <w:r>
              <w:rPr>
                <w:iCs/>
                <w:i/>
              </w:rPr>
              <w:t xml:space="preserve">6</w:t>
            </w:r>
          </w:p>
        </w:tc>
      </w:tr>
      <w:tr>
        <w:tc>
          <w:tcPr/>
          <w:p>
            <w:pPr>
              <w:pStyle w:val="Compact"/>
              <w:jc w:val="left"/>
            </w:pPr>
            <w:r>
              <w:t xml:space="preserve">6</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16</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17</w:t>
            </w:r>
          </w:p>
        </w:tc>
      </w:tr>
      <w:tr>
        <w:tc>
          <w:tcPr/>
          <w:p>
            <w:pPr>
              <w:pStyle w:val="Compact"/>
              <w:jc w:val="left"/>
            </w:pPr>
            <w:r>
              <w:t xml:space="preserve">7</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10</w:t>
            </w:r>
          </w:p>
        </w:tc>
      </w:tr>
      <w:tr>
        <w:tc>
          <w:tcPr/>
          <w:p>
            <w:pPr>
              <w:pStyle w:val="Compact"/>
              <w:jc w:val="left"/>
            </w:pPr>
            <w:r>
              <w:t xml:space="preserve">8</w:t>
            </w:r>
          </w:p>
        </w:tc>
        <w:tc>
          <w:tcPr/>
          <w:p>
            <w:pPr>
              <w:pStyle w:val="Compact"/>
              <w:jc w:val="center"/>
            </w:pPr>
            <w:r>
              <w:t xml:space="preserve">9</w:t>
            </w:r>
          </w:p>
        </w:tc>
        <w:tc>
          <w:tcPr/>
          <w:p>
            <w:pPr>
              <w:pStyle w:val="Compact"/>
              <w:jc w:val="center"/>
            </w:pPr>
            <w:r>
              <w:t xml:space="preserve">4</w:t>
            </w:r>
          </w:p>
        </w:tc>
        <w:tc>
          <w:tcPr/>
          <w:p>
            <w:pPr>
              <w:pStyle w:val="Compact"/>
              <w:jc w:val="center"/>
            </w:pPr>
            <w:r>
              <w:t xml:space="preserve">12</w:t>
            </w:r>
          </w:p>
        </w:tc>
        <w:tc>
          <w:tcPr/>
          <w:p>
            <w:pPr>
              <w:pStyle w:val="Compact"/>
              <w:jc w:val="center"/>
            </w:pPr>
            <w:r>
              <w:t xml:space="preserve">11</w:t>
            </w:r>
          </w:p>
        </w:tc>
        <w:tc>
          <w:tcPr/>
          <w:p>
            <w:pPr>
              <w:pStyle w:val="Compact"/>
              <w:jc w:val="center"/>
            </w:pPr>
            <w:r>
              <w:t xml:space="preserve">11</w:t>
            </w:r>
          </w:p>
        </w:tc>
        <w:tc>
          <w:tcPr/>
          <w:p>
            <w:pPr>
              <w:pStyle w:val="Compact"/>
              <w:jc w:val="center"/>
            </w:pPr>
            <w:r>
              <w:t xml:space="preserve">13</w:t>
            </w:r>
          </w:p>
        </w:tc>
        <w:tc>
          <w:tcPr/>
          <w:p>
            <w:pPr>
              <w:pStyle w:val="Compact"/>
              <w:jc w:val="center"/>
            </w:pPr>
            <w:r>
              <w:t xml:space="preserve">14</w:t>
            </w:r>
          </w:p>
        </w:tc>
      </w:tr>
      <w:tr>
        <w:tc>
          <w:tcPr/>
          <w:p>
            <w:pPr>
              <w:pStyle w:val="Compact"/>
              <w:jc w:val="left"/>
            </w:pPr>
            <w:r>
              <w:t xml:space="preserve">9</w:t>
            </w:r>
          </w:p>
        </w:tc>
        <w:tc>
          <w:tcPr/>
          <w:p>
            <w:pPr>
              <w:pStyle w:val="Compact"/>
              <w:jc w:val="center"/>
            </w:pPr>
            <w:r>
              <w:rPr>
                <w:iCs/>
                <w:i/>
              </w:rPr>
              <w:t xml:space="preserve">4</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10</w:t>
            </w:r>
          </w:p>
        </w:tc>
        <w:tc>
          <w:tcPr/>
          <w:p>
            <w:pPr>
              <w:pStyle w:val="Compact"/>
              <w:jc w:val="center"/>
            </w:pPr>
            <w:r>
              <w:rPr>
                <w:iCs/>
                <w:i/>
              </w:rPr>
              <w:t xml:space="preserve">9</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10</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6</w:t>
            </w:r>
          </w:p>
        </w:tc>
        <w:tc>
          <w:tcPr/>
          <w:p>
            <w:pPr>
              <w:pStyle w:val="Compact"/>
              <w:jc w:val="center"/>
            </w:pPr>
            <w:r>
              <w:t xml:space="preserve">2</w:t>
            </w:r>
          </w:p>
        </w:tc>
      </w:tr>
      <w:tr>
        <w:tc>
          <w:tcPr/>
          <w:p>
            <w:pPr>
              <w:pStyle w:val="Compact"/>
              <w:jc w:val="left"/>
            </w:pPr>
            <w:r>
              <w:t xml:space="preserve">11</w:t>
            </w:r>
          </w:p>
        </w:tc>
        <w:tc>
          <w:tcPr/>
          <w:p>
            <w:pPr>
              <w:pStyle w:val="Compact"/>
              <w:jc w:val="center"/>
            </w:pPr>
            <w:r>
              <w:rPr>
                <w:iCs/>
                <w:i/>
              </w:rPr>
              <w:t xml:space="preserve">6</w:t>
            </w:r>
          </w:p>
        </w:tc>
        <w:tc>
          <w:tcPr/>
          <w:p>
            <w:pPr>
              <w:pStyle w:val="Compact"/>
              <w:jc w:val="center"/>
            </w:pPr>
            <w:r>
              <w:rPr>
                <w:iCs/>
                <w:i/>
              </w:rPr>
              <w:t xml:space="preserve">6</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4</w:t>
            </w:r>
          </w:p>
        </w:tc>
        <w:tc>
          <w:tcPr/>
          <w:p>
            <w:pPr>
              <w:pStyle w:val="Compact"/>
              <w:jc w:val="center"/>
            </w:pPr>
            <w:r>
              <w:rPr>
                <w:iCs/>
                <w:i/>
              </w:rPr>
              <w:t xml:space="preserve">5</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7</w:t>
            </w:r>
          </w:p>
        </w:tc>
        <w:tc>
          <w:tcPr/>
          <w:p>
            <w:pPr>
              <w:pStyle w:val="Compact"/>
              <w:jc w:val="center"/>
            </w:pPr>
            <w:r>
              <w:t xml:space="preserve">5</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8</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c>
          <w:tcPr/>
          <w:p>
            <w:pPr>
              <w:pStyle w:val="Compact"/>
              <w:jc w:val="center"/>
            </w:pPr>
            <w:r>
              <w:rPr>
                <w:bCs/>
                <w:b/>
              </w:rPr>
              <w:t xml:space="preserve">3</w:t>
            </w:r>
          </w:p>
        </w:tc>
        <w:tc>
          <w:tcPr/>
          <w:p>
            <w:pPr>
              <w:pStyle w:val="Compact"/>
              <w:jc w:val="center"/>
            </w:pPr>
            <w:r>
              <w:rPr>
                <w:bCs/>
                <w:b/>
              </w:rPr>
              <w:t xml:space="preserve">4</w:t>
            </w:r>
          </w:p>
        </w:tc>
      </w:tr>
      <w:tr>
        <w:tc>
          <w:tcPr/>
          <w:p>
            <w:pPr>
              <w:pStyle w:val="Compact"/>
              <w:jc w:val="left"/>
            </w:pPr>
            <w:r>
              <w:t xml:space="preserve">14</w:t>
            </w:r>
          </w:p>
        </w:tc>
        <w:tc>
          <w:tcPr/>
          <w:p>
            <w:pPr>
              <w:pStyle w:val="Compact"/>
              <w:jc w:val="center"/>
            </w:pPr>
            <w:r>
              <w:rPr>
                <w:bCs/>
                <w:b/>
              </w:rPr>
              <w:t xml:space="preserve">14</w:t>
            </w:r>
          </w:p>
        </w:tc>
        <w:tc>
          <w:tcPr/>
          <w:p>
            <w:pPr>
              <w:pStyle w:val="Compact"/>
              <w:jc w:val="center"/>
            </w:pPr>
            <w:r>
              <w:rPr>
                <w:bCs/>
                <w:b/>
              </w:rPr>
              <w:t xml:space="preserve">13</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10</w:t>
            </w:r>
          </w:p>
        </w:tc>
        <w:tc>
          <w:tcPr/>
          <w:p>
            <w:pPr>
              <w:pStyle w:val="Compact"/>
              <w:jc w:val="center"/>
            </w:pPr>
            <w:r>
              <w:rPr>
                <w:bCs/>
                <w:b/>
              </w:rPr>
              <w:t xml:space="preserve">7</w:t>
            </w:r>
          </w:p>
        </w:tc>
      </w:tr>
      <w:tr>
        <w:tc>
          <w:tcPr/>
          <w:p>
            <w:pPr>
              <w:pStyle w:val="Compact"/>
              <w:jc w:val="left"/>
            </w:pPr>
            <w:r>
              <w:t xml:space="preserve">15</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17</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16</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7</w:t>
            </w:r>
          </w:p>
        </w:tc>
        <w:tc>
          <w:tcPr/>
          <w:p>
            <w:pPr>
              <w:pStyle w:val="Compact"/>
              <w:jc w:val="center"/>
            </w:pPr>
            <w:r>
              <w:rPr>
                <w:bCs/>
                <w:b/>
              </w:rPr>
              <w:t xml:space="preserve">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17</w:t>
            </w:r>
          </w:p>
        </w:tc>
        <w:tc>
          <w:tcPr/>
          <w:p>
            <w:pPr>
              <w:pStyle w:val="Compact"/>
              <w:jc w:val="center"/>
            </w:pPr>
            <w:r>
              <w:rPr>
                <w:iCs/>
                <w:i/>
              </w:rPr>
              <w:t xml:space="preserve">1</w:t>
            </w:r>
          </w:p>
        </w:tc>
        <w:tc>
          <w:tcPr/>
          <w:p>
            <w:pPr>
              <w:pStyle w:val="Compact"/>
              <w:jc w:val="center"/>
            </w:pPr>
            <w:r>
              <w:rPr>
                <w:iCs/>
                <w:i/>
              </w:rPr>
              <w:t xml:space="preserve">2</w:t>
            </w:r>
          </w:p>
        </w:tc>
        <w:tc>
          <w:tcPr/>
          <w:p>
            <w:pPr>
              <w:pStyle w:val="Compact"/>
              <w:jc w:val="center"/>
            </w:pPr>
            <w:r>
              <w:rPr>
                <w:iCs/>
                <w:i/>
              </w:rPr>
              <w:t xml:space="preserve">2</w:t>
            </w:r>
          </w:p>
        </w:tc>
        <w:tc>
          <w:tcPr/>
          <w:p>
            <w:pPr>
              <w:pStyle w:val="Compact"/>
              <w:jc w:val="center"/>
            </w:pPr>
            <w:r>
              <w:rPr>
                <w:iCs/>
                <w:i/>
              </w:rPr>
              <w:t xml:space="preserve">5</w:t>
            </w:r>
          </w:p>
        </w:tc>
        <w:tc>
          <w:tcPr/>
          <w:p>
            <w:pPr>
              <w:pStyle w:val="Compact"/>
              <w:jc w:val="center"/>
            </w:pPr>
            <w:r>
              <w:rPr>
                <w:iCs/>
                <w:i/>
              </w:rPr>
              <w:t xml:space="preserve">6</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0.850</w:t>
            </w:r>
          </w:p>
        </w:tc>
        <w:tc>
          <w:tcPr/>
          <w:p>
            <w:pPr>
              <w:pStyle w:val="Compact"/>
              <w:jc w:val="center"/>
            </w:pPr>
            <w:r>
              <w:t xml:space="preserve">0.596</w:t>
            </w:r>
          </w:p>
        </w:tc>
        <w:tc>
          <w:tcPr/>
          <w:p>
            <w:pPr>
              <w:pStyle w:val="Compact"/>
              <w:jc w:val="center"/>
            </w:pPr>
            <w:r>
              <w:t xml:space="preserve">0.632</w:t>
            </w:r>
          </w:p>
        </w:tc>
        <w:tc>
          <w:tcPr/>
          <w:p>
            <w:pPr>
              <w:pStyle w:val="Compact"/>
              <w:jc w:val="center"/>
            </w:pPr>
            <w:r>
              <w:t xml:space="preserve">0.713</w:t>
            </w:r>
          </w:p>
        </w:tc>
        <w:tc>
          <w:tcPr/>
          <w:p>
            <w:pPr>
              <w:pStyle w:val="Compact"/>
              <w:jc w:val="center"/>
            </w:pPr>
            <w:r>
              <w:t xml:space="preserve">0.537</w:t>
            </w:r>
          </w:p>
        </w:tc>
        <w:tc>
          <w:tcPr/>
          <w:p>
            <w:pPr>
              <w:pStyle w:val="Compact"/>
              <w:jc w:val="center"/>
            </w:pPr>
            <w:r>
              <w:t xml:space="preserve">0.363</w:t>
            </w:r>
          </w:p>
        </w:tc>
      </w:tr>
    </w:tbl>
    <w:bookmarkEnd w:id="129"/>
    <w:p>
      <w:pPr>
        <w:pStyle w:val="BodyText"/>
      </w:pPr>
      <w:r>
        <w:rPr>
          <w:iCs/>
          <w:i/>
        </w:rPr>
        <w:t xml:space="preserve">Adjusted (register-removed, canonical).</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adjusted MPNet-LR column.</w:t>
      </w:r>
    </w:p>
    <w:bookmarkStart w:id="130" w:name="tab:encoder-sensitivity-semantic-raw"/>
    <w:p>
      <w:pPr>
        <w:pStyle w:val="TableCaption"/>
      </w:pPr>
      <w:r>
        <w:t xml:space="preserve">Domain-encoder sensitivity of within-SDG semantic-gap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semantic-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iCs/>
                <w:i/>
              </w:rPr>
              <w:t xml:space="preserve">5</w:t>
            </w:r>
          </w:p>
        </w:tc>
        <w:tc>
          <w:tcPr/>
          <w:p>
            <w:pPr>
              <w:pStyle w:val="Compact"/>
              <w:jc w:val="center"/>
            </w:pPr>
            <w:r>
              <w:rPr>
                <w:iCs/>
                <w:i/>
              </w:rPr>
              <w:t xml:space="preserve">8</w:t>
            </w:r>
          </w:p>
        </w:tc>
        <w:tc>
          <w:tcPr/>
          <w:p>
            <w:pPr>
              <w:pStyle w:val="Compact"/>
              <w:jc w:val="center"/>
            </w:pPr>
            <w:r>
              <w:rPr>
                <w:iCs/>
                <w:i/>
              </w:rPr>
              <w:t xml:space="preserve">7</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w:t>
            </w:r>
          </w:p>
        </w:tc>
      </w:tr>
      <w:tr>
        <w:tc>
          <w:tcPr/>
          <w:p>
            <w:pPr>
              <w:pStyle w:val="Compact"/>
              <w:jc w:val="left"/>
            </w:pPr>
            <w:r>
              <w:t xml:space="preserve">2</w:t>
            </w:r>
          </w:p>
        </w:tc>
        <w:tc>
          <w:tcPr/>
          <w:p>
            <w:pPr>
              <w:pStyle w:val="Compact"/>
              <w:jc w:val="center"/>
            </w:pPr>
            <w:r>
              <w:rPr>
                <w:iCs/>
                <w:i/>
              </w:rPr>
              <w:t xml:space="preserve">10</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c>
          <w:tcPr/>
          <w:p>
            <w:pPr>
              <w:pStyle w:val="Compact"/>
              <w:jc w:val="center"/>
            </w:pPr>
            <w:r>
              <w:rPr>
                <w:iCs/>
                <w:i/>
              </w:rPr>
              <w:t xml:space="preserve">14</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3</w:t>
            </w:r>
          </w:p>
        </w:tc>
      </w:tr>
      <w:tr>
        <w:tc>
          <w:tcPr/>
          <w:p>
            <w:pPr>
              <w:pStyle w:val="Compact"/>
              <w:jc w:val="left"/>
            </w:pPr>
            <w:r>
              <w:t xml:space="preserve">4</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15</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5</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16</w:t>
            </w:r>
          </w:p>
        </w:tc>
        <w:tc>
          <w:tcPr/>
          <w:p>
            <w:pPr>
              <w:pStyle w:val="Compact"/>
              <w:jc w:val="center"/>
            </w:pPr>
            <w:r>
              <w:rPr>
                <w:iCs/>
                <w:i/>
              </w:rPr>
              <w:t xml:space="preserve">4</w:t>
            </w:r>
          </w:p>
        </w:tc>
        <w:tc>
          <w:tcPr/>
          <w:p>
            <w:pPr>
              <w:pStyle w:val="Compact"/>
              <w:jc w:val="center"/>
            </w:pPr>
            <w:r>
              <w:rPr>
                <w:iCs/>
                <w:i/>
              </w:rPr>
              <w:t xml:space="preserve">8</w:t>
            </w:r>
          </w:p>
        </w:tc>
        <w:tc>
          <w:tcPr/>
          <w:p>
            <w:pPr>
              <w:pStyle w:val="Compact"/>
              <w:jc w:val="center"/>
            </w:pPr>
            <w:r>
              <w:rPr>
                <w:iCs/>
                <w:i/>
              </w:rPr>
              <w:t xml:space="preserve">11</w:t>
            </w:r>
          </w:p>
        </w:tc>
        <w:tc>
          <w:tcPr/>
          <w:p>
            <w:pPr>
              <w:pStyle w:val="Compact"/>
              <w:jc w:val="center"/>
            </w:pPr>
            <w:r>
              <w:rPr>
                <w:iCs/>
                <w:i/>
              </w:rPr>
              <w:t xml:space="preserve">15</w:t>
            </w:r>
          </w:p>
        </w:tc>
      </w:tr>
      <w:tr>
        <w:tc>
          <w:tcPr/>
          <w:p>
            <w:pPr>
              <w:pStyle w:val="Compact"/>
              <w:jc w:val="left"/>
            </w:pPr>
            <w:r>
              <w:t xml:space="preserve">6</w:t>
            </w:r>
          </w:p>
        </w:tc>
        <w:tc>
          <w:tcPr/>
          <w:p>
            <w:pPr>
              <w:pStyle w:val="Compact"/>
              <w:jc w:val="center"/>
            </w:pPr>
            <w:r>
              <w:rPr>
                <w:bCs/>
                <w:b/>
              </w:rPr>
              <w:t xml:space="preserve">12</w:t>
            </w:r>
          </w:p>
        </w:tc>
        <w:tc>
          <w:tcPr/>
          <w:p>
            <w:pPr>
              <w:pStyle w:val="Compact"/>
              <w:jc w:val="center"/>
            </w:pPr>
            <w:r>
              <w:rPr>
                <w:bCs/>
                <w:b/>
              </w:rPr>
              <w:t xml:space="preserve">14</w:t>
            </w:r>
          </w:p>
        </w:tc>
        <w:tc>
          <w:tcPr/>
          <w:p>
            <w:pPr>
              <w:pStyle w:val="Compact"/>
              <w:jc w:val="center"/>
            </w:pPr>
            <w:r>
              <w:rPr>
                <w:bCs/>
                <w:b/>
              </w:rPr>
              <w:t xml:space="preserve">5</w:t>
            </w:r>
          </w:p>
        </w:tc>
        <w:tc>
          <w:tcPr/>
          <w:p>
            <w:pPr>
              <w:pStyle w:val="Compact"/>
              <w:jc w:val="center"/>
            </w:pPr>
            <w:r>
              <w:rPr>
                <w:bCs/>
                <w:b/>
              </w:rPr>
              <w:t xml:space="preserve">13</w:t>
            </w:r>
          </w:p>
        </w:tc>
        <w:tc>
          <w:tcPr/>
          <w:p>
            <w:pPr>
              <w:pStyle w:val="Compact"/>
              <w:jc w:val="center"/>
            </w:pPr>
            <w:r>
              <w:rPr>
                <w:bCs/>
                <w:b/>
              </w:rPr>
              <w:t xml:space="preserve">16</w:t>
            </w:r>
          </w:p>
        </w:tc>
        <w:tc>
          <w:tcPr/>
          <w:p>
            <w:pPr>
              <w:pStyle w:val="Compact"/>
              <w:jc w:val="center"/>
            </w:pPr>
            <w:r>
              <w:rPr>
                <w:bCs/>
                <w:b/>
              </w:rPr>
              <w:t xml:space="preserve">6</w:t>
            </w:r>
          </w:p>
        </w:tc>
        <w:tc>
          <w:tcPr/>
          <w:p>
            <w:pPr>
              <w:pStyle w:val="Compact"/>
              <w:jc w:val="center"/>
            </w:pPr>
            <w:r>
              <w:rPr>
                <w:bCs/>
                <w:b/>
              </w:rPr>
              <w:t xml:space="preserve">8</w:t>
            </w:r>
          </w:p>
        </w:tc>
      </w:tr>
      <w:tr>
        <w:tc>
          <w:tcPr/>
          <w:p>
            <w:pPr>
              <w:pStyle w:val="Compact"/>
              <w:jc w:val="left"/>
            </w:pPr>
            <w:r>
              <w:t xml:space="preserve">7</w:t>
            </w:r>
          </w:p>
        </w:tc>
        <w:tc>
          <w:tcPr/>
          <w:p>
            <w:pPr>
              <w:pStyle w:val="Compact"/>
              <w:jc w:val="center"/>
            </w:pPr>
            <w:r>
              <w:rPr>
                <w:bCs/>
                <w:b/>
              </w:rPr>
              <w:t xml:space="preserve">4</w:t>
            </w:r>
          </w:p>
        </w:tc>
        <w:tc>
          <w:tcPr/>
          <w:p>
            <w:pPr>
              <w:pStyle w:val="Compact"/>
              <w:jc w:val="center"/>
            </w:pPr>
            <w:r>
              <w:rPr>
                <w:bCs/>
                <w:b/>
              </w:rPr>
              <w:t xml:space="preserve">7</w:t>
            </w:r>
          </w:p>
        </w:tc>
        <w:tc>
          <w:tcPr/>
          <w:p>
            <w:pPr>
              <w:pStyle w:val="Compact"/>
              <w:jc w:val="center"/>
            </w:pPr>
            <w:r>
              <w:rPr>
                <w:bCs/>
                <w:b/>
              </w:rPr>
              <w:t xml:space="preserve">1</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4</w:t>
            </w:r>
          </w:p>
        </w:tc>
      </w:tr>
      <w:tr>
        <w:tc>
          <w:tcPr/>
          <w:p>
            <w:pPr>
              <w:pStyle w:val="Compact"/>
              <w:jc w:val="left"/>
            </w:pPr>
            <w:r>
              <w:t xml:space="preserve">8</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14</w:t>
            </w:r>
          </w:p>
        </w:tc>
        <w:tc>
          <w:tcPr/>
          <w:p>
            <w:pPr>
              <w:pStyle w:val="Compact"/>
              <w:jc w:val="center"/>
            </w:pPr>
            <w:r>
              <w:rPr>
                <w:iCs/>
                <w:i/>
              </w:rPr>
              <w:t xml:space="preserve">10</w:t>
            </w:r>
          </w:p>
        </w:tc>
        <w:tc>
          <w:tcPr/>
          <w:p>
            <w:pPr>
              <w:pStyle w:val="Compact"/>
              <w:jc w:val="center"/>
            </w:pPr>
            <w:r>
              <w:rPr>
                <w:iCs/>
                <w:i/>
              </w:rPr>
              <w:t xml:space="preserve">12</w:t>
            </w:r>
          </w:p>
        </w:tc>
        <w:tc>
          <w:tcPr/>
          <w:p>
            <w:pPr>
              <w:pStyle w:val="Compact"/>
              <w:jc w:val="center"/>
            </w:pPr>
            <w:r>
              <w:rPr>
                <w:iCs/>
                <w:i/>
              </w:rPr>
              <w:t xml:space="preserve">15</w:t>
            </w:r>
          </w:p>
        </w:tc>
        <w:tc>
          <w:tcPr/>
          <w:p>
            <w:pPr>
              <w:pStyle w:val="Compact"/>
              <w:jc w:val="center"/>
            </w:pPr>
            <w:r>
              <w:rPr>
                <w:iCs/>
                <w:i/>
              </w:rPr>
              <w:t xml:space="preserve">11</w:t>
            </w:r>
          </w:p>
        </w:tc>
      </w:tr>
      <w:tr>
        <w:tc>
          <w:tcPr/>
          <w:p>
            <w:pPr>
              <w:pStyle w:val="Compact"/>
              <w:jc w:val="left"/>
            </w:pPr>
            <w:r>
              <w:t xml:space="preserve">9</w:t>
            </w:r>
          </w:p>
        </w:tc>
        <w:tc>
          <w:tcPr/>
          <w:p>
            <w:pPr>
              <w:pStyle w:val="Compact"/>
              <w:jc w:val="center"/>
            </w:pPr>
            <w:r>
              <w:rPr>
                <w:bCs/>
                <w:b/>
              </w:rPr>
              <w:t xml:space="preserve">9</w:t>
            </w:r>
          </w:p>
        </w:tc>
        <w:tc>
          <w:tcPr/>
          <w:p>
            <w:pPr>
              <w:pStyle w:val="Compact"/>
              <w:jc w:val="center"/>
            </w:pPr>
            <w:r>
              <w:rPr>
                <w:bCs/>
                <w:b/>
              </w:rPr>
              <w:t xml:space="preserve">12</w:t>
            </w:r>
          </w:p>
        </w:tc>
        <w:tc>
          <w:tcPr/>
          <w:p>
            <w:pPr>
              <w:pStyle w:val="Compact"/>
              <w:jc w:val="center"/>
            </w:pPr>
            <w:r>
              <w:rPr>
                <w:bCs/>
                <w:b/>
              </w:rPr>
              <w:t xml:space="preserve">17</w:t>
            </w:r>
          </w:p>
        </w:tc>
        <w:tc>
          <w:tcPr/>
          <w:p>
            <w:pPr>
              <w:pStyle w:val="Compact"/>
              <w:jc w:val="center"/>
            </w:pPr>
            <w:r>
              <w:rPr>
                <w:bCs/>
                <w:b/>
              </w:rPr>
              <w:t xml:space="preserve">8</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13</w:t>
            </w:r>
          </w:p>
        </w:tc>
      </w:tr>
      <w:tr>
        <w:tc>
          <w:tcPr/>
          <w:p>
            <w:pPr>
              <w:pStyle w:val="Compact"/>
              <w:jc w:val="left"/>
            </w:pPr>
            <w:r>
              <w:t xml:space="preserve">10</w:t>
            </w:r>
          </w:p>
        </w:tc>
        <w:tc>
          <w:tcPr/>
          <w:p>
            <w:pPr>
              <w:pStyle w:val="Compact"/>
              <w:jc w:val="center"/>
            </w:pPr>
            <w:r>
              <w:rPr>
                <w:iCs/>
                <w:i/>
              </w:rPr>
              <w:t xml:space="preserve">14</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3</w:t>
            </w:r>
          </w:p>
        </w:tc>
        <w:tc>
          <w:tcPr/>
          <w:p>
            <w:pPr>
              <w:pStyle w:val="Compact"/>
              <w:jc w:val="center"/>
            </w:pPr>
            <w:r>
              <w:rPr>
                <w:iCs/>
                <w:i/>
              </w:rPr>
              <w:t xml:space="preserve">3</w:t>
            </w:r>
          </w:p>
        </w:tc>
        <w:tc>
          <w:tcPr/>
          <w:p>
            <w:pPr>
              <w:pStyle w:val="Compact"/>
              <w:jc w:val="center"/>
            </w:pPr>
            <w:r>
              <w:rPr>
                <w:iCs/>
                <w:i/>
              </w:rPr>
              <w:t xml:space="preserve">5</w:t>
            </w:r>
          </w:p>
        </w:tc>
        <w:tc>
          <w:tcPr/>
          <w:p>
            <w:pPr>
              <w:pStyle w:val="Compact"/>
              <w:jc w:val="center"/>
            </w:pPr>
            <w:r>
              <w:rPr>
                <w:iCs/>
                <w:i/>
              </w:rPr>
              <w:t xml:space="preserve">7</w:t>
            </w:r>
          </w:p>
        </w:tc>
      </w:tr>
      <w:tr>
        <w:tc>
          <w:tcPr/>
          <w:p>
            <w:pPr>
              <w:pStyle w:val="Compact"/>
              <w:jc w:val="left"/>
            </w:pPr>
            <w:r>
              <w:t xml:space="preserve">11</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2</w:t>
            </w:r>
          </w:p>
        </w:tc>
      </w:tr>
      <w:tr>
        <w:tc>
          <w:tcPr/>
          <w:p>
            <w:pPr>
              <w:pStyle w:val="Compact"/>
              <w:jc w:val="left"/>
            </w:pPr>
            <w:r>
              <w:t xml:space="preserve">12</w:t>
            </w:r>
          </w:p>
        </w:tc>
        <w:tc>
          <w:tcPr/>
          <w:p>
            <w:pPr>
              <w:pStyle w:val="Compact"/>
              <w:jc w:val="center"/>
            </w:pPr>
            <w:r>
              <w:rPr>
                <w:iCs/>
                <w:i/>
              </w:rPr>
              <w:t xml:space="preserve">11</w:t>
            </w:r>
          </w:p>
        </w:tc>
        <w:tc>
          <w:tcPr/>
          <w:p>
            <w:pPr>
              <w:pStyle w:val="Compact"/>
              <w:jc w:val="center"/>
            </w:pPr>
            <w:r>
              <w:rPr>
                <w:iCs/>
                <w:i/>
              </w:rPr>
              <w:t xml:space="preserve">5</w:t>
            </w:r>
          </w:p>
        </w:tc>
        <w:tc>
          <w:tcPr/>
          <w:p>
            <w:pPr>
              <w:pStyle w:val="Compact"/>
              <w:jc w:val="center"/>
            </w:pPr>
            <w:r>
              <w:rPr>
                <w:iCs/>
                <w:i/>
              </w:rPr>
              <w:t xml:space="preserve">9</w:t>
            </w:r>
          </w:p>
        </w:tc>
        <w:tc>
          <w:tcPr/>
          <w:p>
            <w:pPr>
              <w:pStyle w:val="Compact"/>
              <w:jc w:val="center"/>
            </w:pPr>
            <w:r>
              <w:rPr>
                <w:iCs/>
                <w:i/>
              </w:rPr>
              <w:t xml:space="preserve">7</w:t>
            </w:r>
          </w:p>
        </w:tc>
        <w:tc>
          <w:tcPr/>
          <w:p>
            <w:pPr>
              <w:pStyle w:val="Compact"/>
              <w:jc w:val="center"/>
            </w:pPr>
            <w:r>
              <w:rPr>
                <w:iCs/>
                <w:i/>
              </w:rPr>
              <w:t xml:space="preserve">5</w:t>
            </w:r>
          </w:p>
        </w:tc>
        <w:tc>
          <w:tcPr/>
          <w:p>
            <w:pPr>
              <w:pStyle w:val="Compact"/>
              <w:jc w:val="center"/>
            </w:pPr>
            <w:r>
              <w:rPr>
                <w:iCs/>
                <w:i/>
              </w:rPr>
              <w:t xml:space="preserve">13</w:t>
            </w:r>
          </w:p>
        </w:tc>
        <w:tc>
          <w:tcPr/>
          <w:p>
            <w:pPr>
              <w:pStyle w:val="Compact"/>
              <w:jc w:val="center"/>
            </w:pPr>
            <w:r>
              <w:rPr>
                <w:iCs/>
                <w:i/>
              </w:rPr>
              <w:t xml:space="preserve">5</w:t>
            </w:r>
          </w:p>
        </w:tc>
      </w:tr>
      <w:tr>
        <w:tc>
          <w:tcPr/>
          <w:p>
            <w:pPr>
              <w:pStyle w:val="Compact"/>
              <w:jc w:val="left"/>
            </w:pPr>
            <w:r>
              <w:t xml:space="preserve">13</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6</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6</w:t>
            </w:r>
          </w:p>
        </w:tc>
      </w:tr>
      <w:tr>
        <w:tc>
          <w:tcPr/>
          <w:p>
            <w:pPr>
              <w:pStyle w:val="Compact"/>
              <w:jc w:val="left"/>
            </w:pPr>
            <w:r>
              <w:t xml:space="preserve">14</w:t>
            </w:r>
          </w:p>
        </w:tc>
        <w:tc>
          <w:tcPr/>
          <w:p>
            <w:pPr>
              <w:pStyle w:val="Compact"/>
              <w:jc w:val="center"/>
            </w:pPr>
            <w:r>
              <w:rPr>
                <w:iCs/>
                <w:i/>
              </w:rPr>
              <w:t xml:space="preserve">7</w:t>
            </w:r>
          </w:p>
        </w:tc>
        <w:tc>
          <w:tcPr/>
          <w:p>
            <w:pPr>
              <w:pStyle w:val="Compact"/>
              <w:jc w:val="center"/>
            </w:pPr>
            <w:r>
              <w:rPr>
                <w:iCs/>
                <w:i/>
              </w:rPr>
              <w:t xml:space="preserve">6</w:t>
            </w:r>
          </w:p>
        </w:tc>
        <w:tc>
          <w:tcPr/>
          <w:p>
            <w:pPr>
              <w:pStyle w:val="Compact"/>
              <w:jc w:val="center"/>
            </w:pPr>
            <w:r>
              <w:rPr>
                <w:iCs/>
                <w:i/>
              </w:rPr>
              <w:t xml:space="preserve">3</w:t>
            </w:r>
          </w:p>
        </w:tc>
        <w:tc>
          <w:tcPr/>
          <w:p>
            <w:pPr>
              <w:pStyle w:val="Compact"/>
              <w:jc w:val="center"/>
            </w:pPr>
            <w:r>
              <w:rPr>
                <w:iCs/>
                <w:i/>
              </w:rPr>
              <w:t xml:space="preserve">11</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9</w:t>
            </w:r>
          </w:p>
        </w:tc>
      </w:tr>
      <w:tr>
        <w:tc>
          <w:tcPr/>
          <w:p>
            <w:pPr>
              <w:pStyle w:val="Compact"/>
              <w:jc w:val="left"/>
            </w:pPr>
            <w:r>
              <w:t xml:space="preserve">15</w:t>
            </w:r>
          </w:p>
        </w:tc>
        <w:tc>
          <w:tcPr/>
          <w:p>
            <w:pPr>
              <w:pStyle w:val="Compact"/>
              <w:jc w:val="center"/>
            </w:pPr>
            <w:r>
              <w:rPr>
                <w:iCs/>
                <w:i/>
              </w:rPr>
              <w:t xml:space="preserve">16</w:t>
            </w:r>
          </w:p>
        </w:tc>
        <w:tc>
          <w:tcPr/>
          <w:p>
            <w:pPr>
              <w:pStyle w:val="Compact"/>
              <w:jc w:val="center"/>
            </w:pPr>
            <w:r>
              <w:rPr>
                <w:iCs/>
                <w:i/>
              </w:rPr>
              <w:t xml:space="preserve">17</w:t>
            </w:r>
          </w:p>
        </w:tc>
        <w:tc>
          <w:tcPr/>
          <w:p>
            <w:pPr>
              <w:pStyle w:val="Compact"/>
              <w:jc w:val="center"/>
            </w:pPr>
            <w:r>
              <w:rPr>
                <w:iCs/>
                <w:i/>
              </w:rPr>
              <w:t xml:space="preserve">11</w:t>
            </w:r>
          </w:p>
        </w:tc>
        <w:tc>
          <w:tcPr/>
          <w:p>
            <w:pPr>
              <w:pStyle w:val="Compact"/>
              <w:jc w:val="center"/>
            </w:pPr>
            <w:r>
              <w:rPr>
                <w:iCs/>
                <w:i/>
              </w:rPr>
              <w:t xml:space="preserve">9</w:t>
            </w:r>
          </w:p>
        </w:tc>
        <w:tc>
          <w:tcPr/>
          <w:p>
            <w:pPr>
              <w:pStyle w:val="Compact"/>
              <w:jc w:val="center"/>
            </w:pPr>
            <w:r>
              <w:rPr>
                <w:iCs/>
                <w:i/>
              </w:rPr>
              <w:t xml:space="preserve">13</w:t>
            </w:r>
          </w:p>
        </w:tc>
        <w:tc>
          <w:tcPr/>
          <w:p>
            <w:pPr>
              <w:pStyle w:val="Compact"/>
              <w:jc w:val="center"/>
            </w:pPr>
            <w:r>
              <w:rPr>
                <w:iCs/>
                <w:i/>
              </w:rPr>
              <w:t xml:space="preserve">9</w:t>
            </w:r>
          </w:p>
        </w:tc>
        <w:tc>
          <w:tcPr/>
          <w:p>
            <w:pPr>
              <w:pStyle w:val="Compact"/>
              <w:jc w:val="center"/>
            </w:pPr>
            <w:r>
              <w:rPr>
                <w:iCs/>
                <w:i/>
              </w:rPr>
              <w:t xml:space="preserve">10</w:t>
            </w:r>
          </w:p>
        </w:tc>
      </w:tr>
      <w:tr>
        <w:tc>
          <w:tcPr/>
          <w:p>
            <w:pPr>
              <w:pStyle w:val="Compact"/>
              <w:jc w:val="left"/>
            </w:pPr>
            <w:r>
              <w:t xml:space="preserve">16</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13</w:t>
            </w:r>
          </w:p>
        </w:tc>
        <w:tc>
          <w:tcPr/>
          <w:p>
            <w:pPr>
              <w:pStyle w:val="Compact"/>
              <w:jc w:val="center"/>
            </w:pPr>
            <w:r>
              <w:rPr>
                <w:iCs/>
                <w:i/>
              </w:rPr>
              <w:t xml:space="preserve">12</w:t>
            </w:r>
          </w:p>
        </w:tc>
        <w:tc>
          <w:tcPr/>
          <w:p>
            <w:pPr>
              <w:pStyle w:val="Compact"/>
              <w:jc w:val="center"/>
            </w:pPr>
            <w:r>
              <w:rPr>
                <w:iCs/>
                <w:i/>
              </w:rPr>
              <w:t xml:space="preserve">11</w:t>
            </w:r>
          </w:p>
        </w:tc>
        <w:tc>
          <w:tcPr/>
          <w:p>
            <w:pPr>
              <w:pStyle w:val="Compact"/>
              <w:jc w:val="center"/>
            </w:pPr>
            <w:r>
              <w:rPr>
                <w:iCs/>
                <w:i/>
              </w:rPr>
              <w:t xml:space="preserve">12</w:t>
            </w:r>
          </w:p>
        </w:tc>
        <w:tc>
          <w:tcPr/>
          <w:p>
            <w:pPr>
              <w:pStyle w:val="Compact"/>
              <w:jc w:val="center"/>
            </w:pPr>
            <w:r>
              <w:rPr>
                <w:iCs/>
                <w:i/>
              </w:rPr>
              <w:t xml:space="preserve">16</w:t>
            </w:r>
          </w:p>
        </w:tc>
      </w:tr>
      <w:tr>
        <w:tc>
          <w:tcPr/>
          <w:p>
            <w:pPr>
              <w:pStyle w:val="Compact"/>
              <w:jc w:val="left"/>
            </w:pPr>
            <w:r>
              <w:t xml:space="preserve">17</w:t>
            </w:r>
          </w:p>
        </w:tc>
        <w:tc>
          <w:tcPr/>
          <w:p>
            <w:pPr>
              <w:pStyle w:val="Compact"/>
              <w:jc w:val="center"/>
            </w:pPr>
            <w:r>
              <w:rPr>
                <w:bCs/>
                <w:b/>
              </w:rPr>
              <w:t xml:space="preserve">17</w:t>
            </w:r>
          </w:p>
        </w:tc>
        <w:tc>
          <w:tcPr/>
          <w:p>
            <w:pPr>
              <w:pStyle w:val="Compact"/>
              <w:jc w:val="center"/>
            </w:pPr>
            <w:r>
              <w:rPr>
                <w:bCs/>
                <w:b/>
              </w:rPr>
              <w:t xml:space="preserve">16</w:t>
            </w:r>
          </w:p>
        </w:tc>
        <w:tc>
          <w:tcPr/>
          <w:p>
            <w:pPr>
              <w:pStyle w:val="Compact"/>
              <w:jc w:val="center"/>
            </w:pPr>
            <w:r>
              <w:rPr>
                <w:bCs/>
                <w:b/>
              </w:rPr>
              <w:t xml:space="preserve">8</w:t>
            </w:r>
          </w:p>
        </w:tc>
        <w:tc>
          <w:tcPr/>
          <w:p>
            <w:pPr>
              <w:pStyle w:val="Compact"/>
              <w:jc w:val="center"/>
            </w:pPr>
            <w:r>
              <w:rPr>
                <w:bCs/>
                <w:b/>
              </w:rPr>
              <w:t xml:space="preserve">16</w:t>
            </w:r>
          </w:p>
        </w:tc>
        <w:tc>
          <w:tcPr/>
          <w:p>
            <w:pPr>
              <w:pStyle w:val="Compact"/>
              <w:jc w:val="center"/>
            </w:pPr>
            <w:r>
              <w:rPr>
                <w:bCs/>
                <w:b/>
              </w:rPr>
              <w:t xml:space="preserve">9</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0.863</w:t>
            </w:r>
          </w:p>
        </w:tc>
        <w:tc>
          <w:tcPr/>
          <w:p>
            <w:pPr>
              <w:pStyle w:val="Compact"/>
              <w:jc w:val="center"/>
            </w:pPr>
            <w:r>
              <w:t xml:space="preserve">0.534</w:t>
            </w:r>
          </w:p>
        </w:tc>
        <w:tc>
          <w:tcPr/>
          <w:p>
            <w:pPr>
              <w:pStyle w:val="Compact"/>
              <w:jc w:val="center"/>
            </w:pPr>
            <w:r>
              <w:t xml:space="preserve">0.400</w:t>
            </w:r>
          </w:p>
        </w:tc>
        <w:tc>
          <w:tcPr/>
          <w:p>
            <w:pPr>
              <w:pStyle w:val="Compact"/>
              <w:jc w:val="center"/>
            </w:pPr>
            <w:r>
              <w:t xml:space="preserve">0.373</w:t>
            </w:r>
          </w:p>
        </w:tc>
        <w:tc>
          <w:tcPr/>
          <w:p>
            <w:pPr>
              <w:pStyle w:val="Compact"/>
              <w:jc w:val="center"/>
            </w:pPr>
            <w:r>
              <w:t xml:space="preserve">0.463</w:t>
            </w:r>
          </w:p>
        </w:tc>
        <w:tc>
          <w:tcPr/>
          <w:p>
            <w:pPr>
              <w:pStyle w:val="Compact"/>
              <w:jc w:val="center"/>
            </w:pPr>
            <w:r>
              <w:t xml:space="preserve">0.618</w:t>
            </w:r>
          </w:p>
        </w:tc>
      </w:tr>
    </w:tbl>
    <w:bookmarkEnd w:id="130"/>
    <w:p>
      <w:pPr>
        <w:pStyle w:val="BodyText"/>
      </w:pPr>
      <w:r>
        <w:rPr>
          <w:iCs/>
          <w:i/>
        </w:rPr>
        <w:t xml:space="preserve">Raw (naive baseline, un-adjusted).</w:t>
      </w:r>
    </w:p>
    <w:p>
      <w:pPr>
        <w:pStyle w:val="BodyText"/>
      </w:pPr>
      <w:r>
        <w:rPr>
          <w:iCs/>
          <w:i/>
        </w:rPr>
        <w:t xml:space="preserve">Notes:</w:t>
      </w:r>
      <w:r>
        <w:t xml:space="preserve"> </w:t>
      </w:r>
      <w:r>
        <w:t xml:space="preserve">Each cell reports the within-SDG semantic-gap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logistic regression; MLP = 4-layer/384-hidden network; Zero-shot = nearest-centroid on SDG reference centroids, reported for the canonical MPNet encoder only (scoped to a single supervised-vs-nearest-centroid comparison, Appendix </w:t>
      </w:r>
      <w:hyperlink w:anchor="app:assignment-method-comparison">
        <w:r>
          <w:rPr>
            <w:rStyle w:val="Hyperlink"/>
          </w:rPr>
          <w:t xml:space="preserve">14.5</w:t>
        </w:r>
      </w:hyperlink>
      <w:r>
        <w:t xml:space="preserve">). Rank Corr (</w:t>
      </w:r>
      <m:oMath>
        <m:r>
          <m:t>ρ</m:t>
        </m:r>
      </m:oMath>
      <w:r>
        <w:t xml:space="preserve">) is the Spearman correlation of each column’s SDG gap ranks against the canonical raw MPNet-LR column.</w:t>
      </w:r>
    </w:p>
    <w:bookmarkStart w:id="131" w:name="tab:encoder-sensitivity-coverage"/>
    <w:p>
      <w:pPr>
        <w:pStyle w:val="TableCaption"/>
      </w:pPr>
      <w:r>
        <w:t xml:space="preserve">Domain-encoder sensitivity of within-SDG coverage-gap rankings across embedding architectures of differing domain specialisation but matched dimensionality.</w:t>
      </w:r>
    </w:p>
    <w:tbl>
      <w:tblPr>
        <w:tblStyle w:val="Table"/>
        <w:tblW w:type="auto" w:w="0"/>
        <w:tblLook w:firstRow="1" w:lastRow="0" w:firstColumn="0" w:lastColumn="0" w:noHBand="0" w:noVBand="0" w:val="0020"/>
        <w:jc w:val="start"/>
        <w:tblCaption w:val="Domain-encoder sensitivity of within-SDG coverage-gap rankings across embedding architectures of differing domain specialisation but matched dimensionality."/>
      </w:tblPr>
      <w:tblGrid>
        <w:gridCol w:w="990"/>
        <w:gridCol w:w="990"/>
        <w:gridCol w:w="990"/>
        <w:gridCol w:w="990"/>
        <w:gridCol w:w="990"/>
        <w:gridCol w:w="990"/>
        <w:gridCol w:w="990"/>
        <w:gridCol w:w="990"/>
      </w:tblGrid>
      <w:tr>
        <w:trPr>
          <w:tblHeader w:val="true"/>
        </w:trPr>
        <w:tc>
          <w:tcPr/>
          <w:p>
            <w:pPr>
              <w:pStyle w:val="Compact"/>
              <w:jc w:val="left"/>
            </w:pPr>
            <w:r>
              <w:t xml:space="preserve">SDG</w:t>
            </w:r>
          </w:p>
        </w:tc>
        <w:tc>
          <w:tcPr>
            <w:gridSpan w:val="7"/>
          </w:tcPr>
          <w:p>
            <w:pPr>
              <w:pStyle w:val="Compact"/>
              <w:jc w:val="center"/>
            </w:pPr>
            <w:r>
              <w:t xml:space="preserve">Encoder (embedding architecture)</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gridSpan w:val="3"/>
          </w:tcPr>
          <w:p>
            <w:pPr>
              <w:pStyle w:val="Compact"/>
              <w:jc w:val="center"/>
            </w:pPr>
            <w:r>
              <w:t xml:space="preserve">MPNet (768-d)</w:t>
            </w:r>
          </w:p>
        </w:tc>
        <w:tc>
          <w:tcPr>
            <w:gridSpan w:val="2"/>
          </w:tcPr>
          <w:p>
            <w:pPr>
              <w:pStyle w:val="Compact"/>
              <w:jc w:val="center"/>
            </w:pPr>
            <w:r>
              <w:t xml:space="preserve">MiniLM (384-d)</w:t>
            </w:r>
          </w:p>
        </w:tc>
        <w:tc>
          <w:tcPr>
            <w:gridSpan w:val="2"/>
          </w:tcPr>
          <w:p>
            <w:pPr>
              <w:pStyle w:val="Compact"/>
              <w:jc w:val="center"/>
            </w:pPr>
            <w:r>
              <w:t xml:space="preserve">SciBERT (768-d)</w:t>
            </w:r>
          </w:p>
        </w:tc>
      </w:tr>
      <w:tr>
        <w:tc>
          <w:tcPr/>
          <w:p>
            <w:pPr>
              <w:pStyle w:val="Compact"/>
              <w:jc w:val="left"/>
            </w:pPr>
            <w:r>
              <w:t xml:space="preserve">2-8</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ZS</w:t>
            </w:r>
          </w:p>
        </w:tc>
        <w:tc>
          <w:tcPr/>
          <w:p>
            <w:pPr>
              <w:pStyle w:val="Compact"/>
              <w:jc w:val="center"/>
            </w:pPr>
            <w:r>
              <w:t xml:space="preserve">LR</w:t>
            </w:r>
          </w:p>
        </w:tc>
        <w:tc>
          <w:tcPr/>
          <w:p>
            <w:pPr>
              <w:pStyle w:val="Compact"/>
              <w:jc w:val="center"/>
            </w:pPr>
            <w:r>
              <w:t xml:space="preserve">MLP</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rPr>
                <w:bCs/>
                <w:b/>
              </w:rPr>
              <w:t xml:space="preserve">7</w:t>
            </w:r>
          </w:p>
        </w:tc>
        <w:tc>
          <w:tcPr/>
          <w:p>
            <w:pPr>
              <w:pStyle w:val="Compact"/>
              <w:jc w:val="center"/>
            </w:pPr>
            <w:r>
              <w:rPr>
                <w:bCs/>
                <w:b/>
              </w:rPr>
              <w:t xml:space="preserve">6</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7</w:t>
            </w:r>
          </w:p>
        </w:tc>
        <w:tc>
          <w:tcPr/>
          <w:p>
            <w:pPr>
              <w:pStyle w:val="Compact"/>
              <w:jc w:val="center"/>
            </w:pPr>
            <w:r>
              <w:rPr>
                <w:bCs/>
                <w:b/>
              </w:rPr>
              <w:t xml:space="preserve">6</w:t>
            </w:r>
          </w:p>
        </w:tc>
      </w:tr>
      <w:tr>
        <w:tc>
          <w:tcPr/>
          <w:p>
            <w:pPr>
              <w:pStyle w:val="Compact"/>
              <w:jc w:val="left"/>
            </w:pPr>
            <w:r>
              <w:t xml:space="preserve">2</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11</w:t>
            </w:r>
          </w:p>
        </w:tc>
        <w:tc>
          <w:tcPr/>
          <w:p>
            <w:pPr>
              <w:pStyle w:val="Compact"/>
              <w:jc w:val="center"/>
            </w:pPr>
            <w:r>
              <w:rPr>
                <w:iCs/>
                <w:i/>
              </w:rPr>
              <w:t xml:space="preserve">9</w:t>
            </w:r>
          </w:p>
        </w:tc>
      </w:tr>
      <w:tr>
        <w:tc>
          <w:tcPr/>
          <w:p>
            <w:pPr>
              <w:pStyle w:val="Compact"/>
              <w:jc w:val="left"/>
            </w:pPr>
            <w:r>
              <w:t xml:space="preserve">3</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c>
          <w:tcPr/>
          <w:p>
            <w:pPr>
              <w:pStyle w:val="Compact"/>
              <w:jc w:val="center"/>
            </w:pPr>
            <w:r>
              <w:rPr>
                <w:bCs/>
                <w:b/>
              </w:rPr>
              <w:t xml:space="preserve">1</w:t>
            </w:r>
          </w:p>
        </w:tc>
      </w:tr>
      <w:tr>
        <w:tc>
          <w:tcPr/>
          <w:p>
            <w:pPr>
              <w:pStyle w:val="Compact"/>
              <w:jc w:val="left"/>
            </w:pPr>
            <w:r>
              <w:t xml:space="preserve">4</w:t>
            </w:r>
          </w:p>
        </w:tc>
        <w:tc>
          <w:tcPr/>
          <w:p>
            <w:pPr>
              <w:pStyle w:val="Compact"/>
              <w:jc w:val="center"/>
            </w:pPr>
            <w:r>
              <w:rPr>
                <w:bCs/>
                <w:b/>
              </w:rPr>
              <w:t xml:space="preserve">4</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3</w:t>
            </w:r>
          </w:p>
        </w:tc>
        <w:tc>
          <w:tcPr/>
          <w:p>
            <w:pPr>
              <w:pStyle w:val="Compact"/>
              <w:jc w:val="center"/>
            </w:pPr>
            <w:r>
              <w:rPr>
                <w:bCs/>
                <w:b/>
              </w:rPr>
              <w:t xml:space="preserve">3</w:t>
            </w:r>
          </w:p>
        </w:tc>
      </w:tr>
      <w:tr>
        <w:tc>
          <w:tcPr/>
          <w:p>
            <w:pPr>
              <w:pStyle w:val="Compact"/>
              <w:jc w:val="left"/>
            </w:pPr>
            <w:r>
              <w:t xml:space="preserve">5</w:t>
            </w:r>
          </w:p>
        </w:tc>
        <w:tc>
          <w:tcPr/>
          <w:p>
            <w:pPr>
              <w:pStyle w:val="Compact"/>
              <w:jc w:val="center"/>
            </w:pPr>
            <w:r>
              <w:rPr>
                <w:iCs/>
                <w:i/>
              </w:rPr>
              <w:t xml:space="preserve">8</w:t>
            </w:r>
          </w:p>
        </w:tc>
        <w:tc>
          <w:tcPr/>
          <w:p>
            <w:pPr>
              <w:pStyle w:val="Compact"/>
              <w:jc w:val="center"/>
            </w:pPr>
            <w:r>
              <w:rPr>
                <w:iCs/>
                <w:i/>
              </w:rPr>
              <w:t xml:space="preserve">10</w:t>
            </w:r>
          </w:p>
        </w:tc>
        <w:tc>
          <w:tcPr/>
          <w:p>
            <w:pPr>
              <w:pStyle w:val="Compact"/>
              <w:jc w:val="center"/>
            </w:pPr>
            <w:r>
              <w:rPr>
                <w:iCs/>
                <w:i/>
              </w:rPr>
              <w:t xml:space="preserve">8</w:t>
            </w:r>
          </w:p>
        </w:tc>
        <w:tc>
          <w:tcPr/>
          <w:p>
            <w:pPr>
              <w:pStyle w:val="Compact"/>
              <w:jc w:val="center"/>
            </w:pPr>
            <w:r>
              <w:rPr>
                <w:iCs/>
                <w:i/>
              </w:rPr>
              <w:t xml:space="preserve">12</w:t>
            </w:r>
          </w:p>
        </w:tc>
        <w:tc>
          <w:tcPr/>
          <w:p>
            <w:pPr>
              <w:pStyle w:val="Compact"/>
              <w:jc w:val="center"/>
            </w:pPr>
            <w:r>
              <w:rPr>
                <w:iCs/>
                <w:i/>
              </w:rPr>
              <w:t xml:space="preserve">9</w:t>
            </w:r>
          </w:p>
        </w:tc>
        <w:tc>
          <w:tcPr/>
          <w:p>
            <w:pPr>
              <w:pStyle w:val="Compact"/>
              <w:jc w:val="center"/>
            </w:pPr>
            <w:r>
              <w:rPr>
                <w:iCs/>
                <w:i/>
              </w:rPr>
              <w:t xml:space="preserve">8</w:t>
            </w:r>
          </w:p>
        </w:tc>
        <w:tc>
          <w:tcPr/>
          <w:p>
            <w:pPr>
              <w:pStyle w:val="Compact"/>
              <w:jc w:val="center"/>
            </w:pPr>
            <w:r>
              <w:rPr>
                <w:iCs/>
                <w:i/>
              </w:rPr>
              <w:t xml:space="preserve">8</w:t>
            </w:r>
          </w:p>
        </w:tc>
      </w:tr>
      <w:tr>
        <w:tc>
          <w:tcPr/>
          <w:p>
            <w:pPr>
              <w:pStyle w:val="Compact"/>
              <w:jc w:val="left"/>
            </w:pPr>
            <w:r>
              <w:t xml:space="preserve">6</w:t>
            </w:r>
          </w:p>
        </w:tc>
        <w:tc>
          <w:tcPr/>
          <w:p>
            <w:pPr>
              <w:pStyle w:val="Compact"/>
              <w:jc w:val="center"/>
            </w:pPr>
            <w:r>
              <w:rPr>
                <w:bCs/>
                <w:b/>
              </w:rPr>
              <w:t xml:space="preserve">9</w:t>
            </w:r>
          </w:p>
        </w:tc>
        <w:tc>
          <w:tcPr/>
          <w:p>
            <w:pPr>
              <w:pStyle w:val="Compact"/>
              <w:jc w:val="center"/>
            </w:pPr>
            <w:r>
              <w:rPr>
                <w:bCs/>
                <w:b/>
              </w:rPr>
              <w:t xml:space="preserve">8</w:t>
            </w:r>
          </w:p>
        </w:tc>
        <w:tc>
          <w:tcPr/>
          <w:p>
            <w:pPr>
              <w:pStyle w:val="Compact"/>
              <w:jc w:val="center"/>
            </w:pPr>
            <w:r>
              <w:rPr>
                <w:bCs/>
                <w:b/>
              </w:rPr>
              <w:t xml:space="preserve">12</w:t>
            </w:r>
          </w:p>
        </w:tc>
        <w:tc>
          <w:tcPr/>
          <w:p>
            <w:pPr>
              <w:pStyle w:val="Compact"/>
              <w:jc w:val="center"/>
            </w:pPr>
            <w:r>
              <w:rPr>
                <w:bCs/>
                <w:b/>
              </w:rPr>
              <w:t xml:space="preserve">8</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r>
      <w:tr>
        <w:tc>
          <w:tcPr/>
          <w:p>
            <w:pPr>
              <w:pStyle w:val="Compact"/>
              <w:jc w:val="left"/>
            </w:pPr>
            <w:r>
              <w:t xml:space="preserve">7</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6</w:t>
            </w:r>
          </w:p>
        </w:tc>
        <w:tc>
          <w:tcPr/>
          <w:p>
            <w:pPr>
              <w:pStyle w:val="Compact"/>
              <w:jc w:val="center"/>
            </w:pPr>
            <w:r>
              <w:rPr>
                <w:bCs/>
                <w:b/>
              </w:rPr>
              <w:t xml:space="preserve">16</w:t>
            </w:r>
          </w:p>
        </w:tc>
        <w:tc>
          <w:tcPr/>
          <w:p>
            <w:pPr>
              <w:pStyle w:val="Compact"/>
              <w:jc w:val="center"/>
            </w:pPr>
            <w:r>
              <w:rPr>
                <w:bCs/>
                <w:b/>
              </w:rPr>
              <w:t xml:space="preserve">17</w:t>
            </w:r>
          </w:p>
        </w:tc>
        <w:tc>
          <w:tcPr/>
          <w:p>
            <w:pPr>
              <w:pStyle w:val="Compact"/>
              <w:jc w:val="center"/>
            </w:pPr>
            <w:r>
              <w:rPr>
                <w:bCs/>
                <w:b/>
              </w:rPr>
              <w:t xml:space="preserve">17</w:t>
            </w:r>
          </w:p>
        </w:tc>
        <w:tc>
          <w:tcPr/>
          <w:p>
            <w:pPr>
              <w:pStyle w:val="Compact"/>
              <w:jc w:val="center"/>
            </w:pPr>
            <w:r>
              <w:rPr>
                <w:bCs/>
                <w:b/>
              </w:rP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11</w:t>
            </w:r>
          </w:p>
        </w:tc>
      </w:tr>
      <w:tr>
        <w:tc>
          <w:tcPr/>
          <w:p>
            <w:pPr>
              <w:pStyle w:val="Compact"/>
              <w:jc w:val="left"/>
            </w:pPr>
            <w:r>
              <w:t xml:space="preserve">9</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2</w:t>
            </w:r>
          </w:p>
        </w:tc>
        <w:tc>
          <w:tcPr/>
          <w:p>
            <w:pPr>
              <w:pStyle w:val="Compact"/>
              <w:jc w:val="center"/>
            </w:pPr>
            <w:r>
              <w:rPr>
                <w:bCs/>
                <w:b/>
              </w:rPr>
              <w:t xml:space="preserve">4</w:t>
            </w:r>
          </w:p>
        </w:tc>
      </w:tr>
      <w:tr>
        <w:tc>
          <w:tcPr/>
          <w:p>
            <w:pPr>
              <w:pStyle w:val="Compact"/>
              <w:jc w:val="left"/>
            </w:pPr>
            <w:r>
              <w:t xml:space="preserve">10</w:t>
            </w:r>
          </w:p>
        </w:tc>
        <w:tc>
          <w:tcPr/>
          <w:p>
            <w:pPr>
              <w:pStyle w:val="Compact"/>
              <w:jc w:val="center"/>
            </w:pPr>
            <w:r>
              <w:rPr>
                <w:bCs/>
                <w:b/>
              </w:rPr>
              <w:t xml:space="preserve">14</w:t>
            </w:r>
          </w:p>
        </w:tc>
        <w:tc>
          <w:tcPr/>
          <w:p>
            <w:pPr>
              <w:pStyle w:val="Compact"/>
              <w:jc w:val="center"/>
            </w:pPr>
            <w:r>
              <w:rPr>
                <w:bCs/>
                <w:b/>
              </w:rPr>
              <w:t xml:space="preserve">9</w:t>
            </w:r>
          </w:p>
        </w:tc>
        <w:tc>
          <w:tcPr/>
          <w:p>
            <w:pPr>
              <w:pStyle w:val="Compact"/>
              <w:jc w:val="center"/>
            </w:pPr>
            <w:r>
              <w:rPr>
                <w:bCs/>
                <w:b/>
              </w:rPr>
              <w:t xml:space="preserve">11</w:t>
            </w:r>
          </w:p>
        </w:tc>
        <w:tc>
          <w:tcPr/>
          <w:p>
            <w:pPr>
              <w:pStyle w:val="Compact"/>
              <w:jc w:val="center"/>
            </w:pPr>
            <w:r>
              <w:rPr>
                <w:bCs/>
                <w:b/>
              </w:rPr>
              <w:t xml:space="preserve">15</w:t>
            </w:r>
          </w:p>
        </w:tc>
        <w:tc>
          <w:tcPr/>
          <w:p>
            <w:pPr>
              <w:pStyle w:val="Compact"/>
              <w:jc w:val="center"/>
            </w:pPr>
            <w:r>
              <w:rPr>
                <w:bCs/>
                <w:b/>
              </w:rPr>
              <w:t xml:space="preserve">14</w:t>
            </w:r>
          </w:p>
        </w:tc>
        <w:tc>
          <w:tcPr/>
          <w:p>
            <w:pPr>
              <w:pStyle w:val="Compact"/>
              <w:jc w:val="center"/>
            </w:pPr>
            <w:r>
              <w:rPr>
                <w:bCs/>
                <w:b/>
              </w:rPr>
              <w:t xml:space="preserve">15</w:t>
            </w:r>
          </w:p>
        </w:tc>
        <w:tc>
          <w:tcPr/>
          <w:p>
            <w:pPr>
              <w:pStyle w:val="Compact"/>
              <w:jc w:val="center"/>
            </w:pPr>
            <w:r>
              <w:rPr>
                <w:bCs/>
                <w:b/>
              </w:rPr>
              <w:t xml:space="preserve">14</w:t>
            </w:r>
          </w:p>
        </w:tc>
      </w:tr>
      <w:tr>
        <w:tc>
          <w:tcPr/>
          <w:p>
            <w:pPr>
              <w:pStyle w:val="Compact"/>
              <w:jc w:val="left"/>
            </w:pPr>
            <w:r>
              <w:t xml:space="preserve">11</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15</w:t>
            </w:r>
          </w:p>
        </w:tc>
        <w:tc>
          <w:tcPr/>
          <w:p>
            <w:pPr>
              <w:pStyle w:val="Compact"/>
              <w:jc w:val="center"/>
            </w:pPr>
            <w:r>
              <w:rPr>
                <w:iCs/>
                <w:i/>
              </w:rPr>
              <w:t xml:space="preserve">13</w:t>
            </w:r>
          </w:p>
        </w:tc>
        <w:tc>
          <w:tcPr/>
          <w:p>
            <w:pPr>
              <w:pStyle w:val="Compact"/>
              <w:jc w:val="center"/>
            </w:pPr>
            <w:r>
              <w:rPr>
                <w:iCs/>
                <w:i/>
              </w:rPr>
              <w:t xml:space="preserve">13</w:t>
            </w:r>
          </w:p>
        </w:tc>
        <w:tc>
          <w:tcPr/>
          <w:p>
            <w:pPr>
              <w:pStyle w:val="Compact"/>
              <w:jc w:val="center"/>
            </w:pPr>
            <w:r>
              <w:rPr>
                <w:iCs/>
                <w:i/>
              </w:rPr>
              <w:t xml:space="preserve">14</w:t>
            </w:r>
          </w:p>
        </w:tc>
        <w:tc>
          <w:tcPr/>
          <w:p>
            <w:pPr>
              <w:pStyle w:val="Compact"/>
              <w:jc w:val="center"/>
            </w:pPr>
            <w:r>
              <w:rPr>
                <w:iCs/>
                <w:i/>
              </w:rPr>
              <w:t xml:space="preserve">13</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13</w:t>
            </w:r>
          </w:p>
        </w:tc>
        <w:tc>
          <w:tcPr/>
          <w:p>
            <w:pPr>
              <w:pStyle w:val="Compact"/>
              <w:jc w:val="center"/>
            </w:pPr>
            <w:r>
              <w:t xml:space="preserve">15</w:t>
            </w:r>
          </w:p>
        </w:tc>
      </w:tr>
      <w:tr>
        <w:tc>
          <w:tcPr/>
          <w:p>
            <w:pPr>
              <w:pStyle w:val="Compact"/>
              <w:jc w:val="left"/>
            </w:pPr>
            <w:r>
              <w:t xml:space="preserve">13</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5</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6</w:t>
            </w:r>
          </w:p>
        </w:tc>
        <w:tc>
          <w:tcPr/>
          <w:p>
            <w:pPr>
              <w:pStyle w:val="Compact"/>
              <w:jc w:val="center"/>
            </w:pPr>
            <w:r>
              <w:rPr>
                <w:bCs/>
                <w:b/>
              </w:rPr>
              <w:t xml:space="preserve">5</w:t>
            </w:r>
          </w:p>
        </w:tc>
      </w:tr>
      <w:tr>
        <w:tc>
          <w:tcPr/>
          <w:p>
            <w:pPr>
              <w:pStyle w:val="Compact"/>
              <w:jc w:val="left"/>
            </w:pPr>
            <w:r>
              <w:t xml:space="preserve">14</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16</w:t>
            </w:r>
          </w:p>
        </w:tc>
        <w:tc>
          <w:tcPr/>
          <w:p>
            <w:pPr>
              <w:pStyle w:val="Compact"/>
              <w:jc w:val="center"/>
            </w:pPr>
            <w:r>
              <w:rPr>
                <w:bCs/>
                <w:b/>
              </w:rPr>
              <w:t xml:space="preserve">10</w:t>
            </w:r>
          </w:p>
        </w:tc>
        <w:tc>
          <w:tcPr/>
          <w:p>
            <w:pPr>
              <w:pStyle w:val="Compact"/>
              <w:jc w:val="center"/>
            </w:pPr>
            <w:r>
              <w:rPr>
                <w:bCs/>
                <w:b/>
              </w:rPr>
              <w:t xml:space="preserve">12</w:t>
            </w:r>
          </w:p>
        </w:tc>
        <w:tc>
          <w:tcPr/>
          <w:p>
            <w:pPr>
              <w:pStyle w:val="Compact"/>
              <w:jc w:val="center"/>
            </w:pPr>
            <w:r>
              <w:rPr>
                <w:bCs/>
                <w:b/>
              </w:rPr>
              <w:t xml:space="preserve">10</w:t>
            </w:r>
          </w:p>
        </w:tc>
        <w:tc>
          <w:tcPr/>
          <w:p>
            <w:pPr>
              <w:pStyle w:val="Compact"/>
              <w:jc w:val="center"/>
            </w:pPr>
            <w:r>
              <w:rPr>
                <w:bCs/>
                <w:b/>
              </w:rPr>
              <w:t xml:space="preserve">12</w:t>
            </w:r>
          </w:p>
        </w:tc>
      </w:tr>
      <w:tr>
        <w:tc>
          <w:tcPr/>
          <w:p>
            <w:pPr>
              <w:pStyle w:val="Compact"/>
              <w:jc w:val="left"/>
            </w:pPr>
            <w:r>
              <w:t xml:space="preserve">15</w:t>
            </w:r>
          </w:p>
        </w:tc>
        <w:tc>
          <w:tcPr/>
          <w:p>
            <w:pPr>
              <w:pStyle w:val="Compact"/>
              <w:jc w:val="center"/>
            </w:pPr>
            <w:r>
              <w:rPr>
                <w:iCs/>
                <w:i/>
              </w:rPr>
              <w:t xml:space="preserve">13</w:t>
            </w:r>
          </w:p>
        </w:tc>
        <w:tc>
          <w:tcPr/>
          <w:p>
            <w:pPr>
              <w:pStyle w:val="Compact"/>
              <w:jc w:val="center"/>
            </w:pPr>
            <w:r>
              <w:rPr>
                <w:iCs/>
                <w:i/>
              </w:rPr>
              <w:t xml:space="preserve">11</w:t>
            </w:r>
          </w:p>
        </w:tc>
        <w:tc>
          <w:tcPr/>
          <w:p>
            <w:pPr>
              <w:pStyle w:val="Compact"/>
              <w:jc w:val="center"/>
            </w:pPr>
            <w:r>
              <w:rPr>
                <w:iCs/>
                <w:i/>
              </w:rPr>
              <w:t xml:space="preserve">17</w:t>
            </w:r>
          </w:p>
        </w:tc>
        <w:tc>
          <w:tcPr/>
          <w:p>
            <w:pPr>
              <w:pStyle w:val="Compact"/>
              <w:jc w:val="center"/>
            </w:pPr>
            <w:r>
              <w:rPr>
                <w:iCs/>
                <w:i/>
              </w:rPr>
              <w:t xml:space="preserve">17</w:t>
            </w:r>
          </w:p>
        </w:tc>
        <w:tc>
          <w:tcPr/>
          <w:p>
            <w:pPr>
              <w:pStyle w:val="Compact"/>
              <w:jc w:val="center"/>
            </w:pPr>
            <w:r>
              <w:rPr>
                <w:iCs/>
                <w:i/>
              </w:rPr>
              <w:t xml:space="preserve">16</w:t>
            </w:r>
          </w:p>
        </w:tc>
        <w:tc>
          <w:tcPr/>
          <w:p>
            <w:pPr>
              <w:pStyle w:val="Compact"/>
              <w:jc w:val="center"/>
            </w:pPr>
            <w:r>
              <w:rPr>
                <w:iCs/>
                <w:i/>
              </w:rPr>
              <w:t xml:space="preserve">16</w:t>
            </w:r>
          </w:p>
        </w:tc>
        <w:tc>
          <w:tcPr/>
          <w:p>
            <w:pPr>
              <w:pStyle w:val="Compact"/>
              <w:jc w:val="center"/>
            </w:pPr>
            <w:r>
              <w:rPr>
                <w:iCs/>
                <w:i/>
              </w:rPr>
              <w:t xml:space="preserve">16</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7</w:t>
            </w:r>
          </w:p>
        </w:tc>
      </w:tr>
      <w:tr>
        <w:tc>
          <w:tcPr/>
          <w:p>
            <w:pPr>
              <w:pStyle w:val="Compact"/>
              <w:jc w:val="left"/>
            </w:pPr>
            <w:r>
              <w:t xml:space="preserve">17</w:t>
            </w:r>
          </w:p>
        </w:tc>
        <w:tc>
          <w:tcPr/>
          <w:p>
            <w:pPr>
              <w:pStyle w:val="Compact"/>
              <w:jc w:val="center"/>
            </w:pPr>
            <w:r>
              <w:rPr>
                <w:bCs/>
                <w:b/>
              </w:rPr>
              <w:t xml:space="preserve">3</w:t>
            </w:r>
          </w:p>
        </w:tc>
        <w:tc>
          <w:tcPr/>
          <w:p>
            <w:pPr>
              <w:pStyle w:val="Compact"/>
              <w:jc w:val="center"/>
            </w:pPr>
            <w:r>
              <w:rPr>
                <w:bCs/>
                <w:b/>
              </w:rPr>
              <w:t xml:space="preserve">3</w:t>
            </w:r>
          </w:p>
        </w:tc>
        <w:tc>
          <w:tcPr/>
          <w:p>
            <w:pPr>
              <w:pStyle w:val="Compact"/>
              <w:jc w:val="center"/>
            </w:pPr>
            <w:r>
              <w:rPr>
                <w:bCs/>
                <w:b/>
              </w:rPr>
              <w:t xml:space="preserve">1</w:t>
            </w:r>
          </w:p>
        </w:tc>
        <w:tc>
          <w:tcPr/>
          <w:p>
            <w:pPr>
              <w:pStyle w:val="Compact"/>
              <w:jc w:val="center"/>
            </w:pPr>
            <w:r>
              <w:rPr>
                <w:bCs/>
                <w:b/>
              </w:rPr>
              <w:t xml:space="preserve">4</w:t>
            </w:r>
          </w:p>
        </w:tc>
        <w:tc>
          <w:tcPr/>
          <w:p>
            <w:pPr>
              <w:pStyle w:val="Compact"/>
              <w:jc w:val="center"/>
            </w:pPr>
            <w:r>
              <w:rPr>
                <w:bCs/>
                <w:b/>
              </w:rPr>
              <w:t xml:space="preserve">5</w:t>
            </w:r>
          </w:p>
        </w:tc>
        <w:tc>
          <w:tcPr/>
          <w:p>
            <w:pPr>
              <w:pStyle w:val="Compact"/>
              <w:jc w:val="center"/>
            </w:pPr>
            <w:r>
              <w:rPr>
                <w:bCs/>
                <w:b/>
              </w:rPr>
              <w:t xml:space="preserve">4</w:t>
            </w:r>
          </w:p>
        </w:tc>
        <w:tc>
          <w:tcPr/>
          <w:p>
            <w:pPr>
              <w:pStyle w:val="Compact"/>
              <w:jc w:val="center"/>
            </w:pPr>
            <w:r>
              <w:rPr>
                <w:bCs/>
                <w:b/>
              </w:rPr>
              <w:t xml:space="preserve">2</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0.919</w:t>
            </w:r>
          </w:p>
        </w:tc>
        <w:tc>
          <w:tcPr/>
          <w:p>
            <w:pPr>
              <w:pStyle w:val="Compact"/>
              <w:jc w:val="center"/>
            </w:pPr>
            <w:r>
              <w:t xml:space="preserve">0.748</w:t>
            </w:r>
          </w:p>
        </w:tc>
        <w:tc>
          <w:tcPr/>
          <w:p>
            <w:pPr>
              <w:pStyle w:val="Compact"/>
              <w:jc w:val="center"/>
            </w:pPr>
            <w:r>
              <w:t xml:space="preserve">0.895</w:t>
            </w:r>
          </w:p>
        </w:tc>
        <w:tc>
          <w:tcPr/>
          <w:p>
            <w:pPr>
              <w:pStyle w:val="Compact"/>
              <w:jc w:val="center"/>
            </w:pPr>
            <w:r>
              <w:t xml:space="preserve">0.902</w:t>
            </w:r>
          </w:p>
        </w:tc>
        <w:tc>
          <w:tcPr/>
          <w:p>
            <w:pPr>
              <w:pStyle w:val="Compact"/>
              <w:jc w:val="center"/>
            </w:pPr>
            <w:r>
              <w:t xml:space="preserve">0.934</w:t>
            </w:r>
          </w:p>
        </w:tc>
        <w:tc>
          <w:tcPr/>
          <w:p>
            <w:pPr>
              <w:pStyle w:val="Compact"/>
              <w:jc w:val="center"/>
            </w:pPr>
            <w:r>
              <w:t xml:space="preserve">0.897</w:t>
            </w:r>
          </w:p>
        </w:tc>
      </w:tr>
    </w:tbl>
    <w:bookmarkEnd w:id="131"/>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under that encoder and assignment method. MPNet (768-d) is the canonical general-purpose encoder; MiniLM (384-d) is a smaller general-purpose encoder; SciBERT (768-d) is a scientific-domain encoder. MPNet and SciBERT share dimensionality (768-d), isolating architecture/domain from the dimensionality drop that confounds the MPNet–MiniLM pair (Section </w:t>
      </w:r>
      <w:hyperlink w:anchor="sec:encoder-sensitivity">
        <w:r>
          <w:rPr>
            <w:rStyle w:val="Hyperlink"/>
          </w:rPr>
          <w:t xml:space="preserve">14.3</w:t>
        </w:r>
      </w:hyperlink>
      <w:r>
        <w:t xml:space="preserve">). LR = canonical supervised logistic regression; MLP = 4-layer/384-hidden network; Zero-shot = nearest-centroid on SDG reference centroids, reported for the canonical MPNet encoder only. Coverage gap is document-weighted (Assumption A19) for all methods. Rank Corr (</w:t>
      </w:r>
      <m:oMath>
        <m:r>
          <m:t>ρ</m:t>
        </m:r>
      </m:oMath>
      <w:r>
        <w:t xml:space="preserve">) is the Spearman correlation of each column’s SDG coverage-gap ranks against the canonical MPNet-LR column.</w:t>
      </w:r>
    </w:p>
    <w:bookmarkStart w:id="132" w:name="tab:cross-sensitivity-coverage"/>
    <w:p>
      <w:pPr>
        <w:pStyle w:val="TableCaption"/>
      </w:pPr>
      <w:r>
        <w:t xml:space="preserve">Cross-sensitivity robustness of within-SDG coverage-gap rankings across policy source and retrieval strategy.</w:t>
      </w:r>
    </w:p>
    <w:tbl>
      <w:tblPr>
        <w:tblStyle w:val="Table"/>
        <w:tblW w:type="auto" w:w="0"/>
        <w:tblLook w:firstRow="1" w:lastRow="0" w:firstColumn="0" w:lastColumn="0" w:noHBand="0" w:noVBand="0" w:val="0020"/>
        <w:jc w:val="start"/>
        <w:tblCaption w:val="Cross-sensitivity robustness of within-SDG coverage-gap rankings across policy source and retrieval strategy."/>
      </w:tblPr>
      <w:tblGrid>
        <w:gridCol w:w="1131"/>
        <w:gridCol w:w="1131"/>
        <w:gridCol w:w="1131"/>
        <w:gridCol w:w="1131"/>
        <w:gridCol w:w="1131"/>
        <w:gridCol w:w="1131"/>
        <w:gridCol w:w="1131"/>
      </w:tblGrid>
      <w:tr>
        <w:trPr>
          <w:tblHeader w:val="true"/>
        </w:trPr>
        <w:tc>
          <w:tcPr/>
          <w:p>
            <w:pPr>
              <w:pStyle w:val="Compact"/>
              <w:jc w:val="left"/>
            </w:pPr>
            <w:r>
              <w:t xml:space="preserve">SDG</w:t>
            </w:r>
          </w:p>
        </w:tc>
        <w:tc>
          <w:tcPr/>
          <w:p>
            <w:pPr>
              <w:pStyle w:val="Compact"/>
            </w:pPr>
          </w:p>
        </w:tc>
        <w:tc>
          <w:tcPr>
            <w:gridSpan w:val="3"/>
          </w:tcPr>
          <w:p>
            <w:pPr>
              <w:pStyle w:val="Compact"/>
              <w:jc w:val="center"/>
            </w:pPr>
            <w:r>
              <w:t xml:space="preserve">Policy source</w:t>
            </w:r>
          </w:p>
        </w:tc>
        <w:tc>
          <w:tcPr>
            <w:gridSpan w:val="2"/>
          </w:tcPr>
          <w:p>
            <w:pPr>
              <w:pStyle w:val="Compact"/>
              <w:jc w:val="center"/>
            </w:pPr>
            <w:r>
              <w:t xml:space="preserve">Retrieval</w:t>
            </w:r>
          </w:p>
        </w:tc>
      </w:tr>
      <w:tr>
        <w:tc>
          <w:tcPr/>
          <w:p>
            <w:pPr>
              <w:pStyle w:val="Compact"/>
              <w:jc w:val="left"/>
            </w:pPr>
            <w:r>
              <w:t xml:space="preserve">3-5</w:t>
            </w:r>
            <w:r>
              <w:t xml:space="preserve"> </w:t>
            </w:r>
            <w:r>
              <w:t xml:space="preserve">(lr)</w:t>
            </w:r>
            <w:r>
              <w:t xml:space="preserve">6-7</w:t>
            </w:r>
          </w:p>
        </w:tc>
        <w:tc>
          <w:tcPr/>
          <w:p>
            <w:pPr>
              <w:pStyle w:val="Compact"/>
              <w:jc w:val="center"/>
            </w:pPr>
            <w:r>
              <w:t xml:space="preserve">Canon</w:t>
            </w:r>
          </w:p>
        </w:tc>
        <w:tc>
          <w:tcPr/>
          <w:p>
            <w:pPr>
              <w:pStyle w:val="Compact"/>
              <w:jc w:val="center"/>
            </w:pPr>
            <w:r>
              <w:t xml:space="preserve">Curated</w:t>
            </w:r>
          </w:p>
        </w:tc>
        <w:tc>
          <w:tcPr/>
          <w:p>
            <w:pPr>
              <w:pStyle w:val="Compact"/>
              <w:jc w:val="center"/>
            </w:pPr>
            <w:r>
              <w:t xml:space="preserve">SDGi</w:t>
            </w:r>
          </w:p>
        </w:tc>
        <w:tc>
          <w:tcPr/>
          <w:p>
            <w:pPr>
              <w:pStyle w:val="Compact"/>
              <w:jc w:val="center"/>
            </w:pPr>
            <w:r>
              <w:t xml:space="preserve">UNGDC</w:t>
            </w:r>
          </w:p>
        </w:tc>
        <w:tc>
          <w:tcPr/>
          <w:p>
            <w:pPr>
              <w:pStyle w:val="Compact"/>
              <w:jc w:val="center"/>
            </w:pPr>
            <w:r>
              <w:t xml:space="preserve">LR</w:t>
            </w:r>
          </w:p>
        </w:tc>
        <w:tc>
          <w:tcPr/>
          <w:p>
            <w:pPr>
              <w:pStyle w:val="Compact"/>
              <w:jc w:val="center"/>
            </w:pPr>
            <w:r>
              <w:t xml:space="preserve">MLP</w:t>
            </w:r>
          </w:p>
        </w:tc>
      </w:tr>
      <w:tr>
        <w:tc>
          <w:tcPr/>
          <w:p>
            <w:pPr>
              <w:pStyle w:val="Compact"/>
              <w:jc w:val="left"/>
            </w:pPr>
            <w:r>
              <w:t xml:space="preserve">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4</w:t>
            </w:r>
          </w:p>
        </w:tc>
        <w:tc>
          <w:tcPr/>
          <w:p>
            <w:pPr>
              <w:pStyle w:val="Compact"/>
              <w:jc w:val="center"/>
            </w:pPr>
            <w:r>
              <w:t xml:space="preserve">11</w:t>
            </w:r>
          </w:p>
        </w:tc>
        <w:tc>
          <w:tcPr/>
          <w:p>
            <w:pPr>
              <w:pStyle w:val="Compact"/>
              <w:jc w:val="center"/>
            </w:pPr>
            <w:r>
              <w:t xml:space="preserve">6</w:t>
            </w:r>
          </w:p>
        </w:tc>
        <w:tc>
          <w:tcPr/>
          <w:p>
            <w:pPr>
              <w:pStyle w:val="Compact"/>
              <w:jc w:val="center"/>
            </w:pPr>
            <w:r>
              <w:t xml:space="preserve">6</w:t>
            </w:r>
          </w:p>
        </w:tc>
      </w:tr>
      <w:tr>
        <w:tc>
          <w:tcPr/>
          <w:p>
            <w:pPr>
              <w:pStyle w:val="Compact"/>
              <w:jc w:val="left"/>
            </w:pPr>
            <w:r>
              <w:t xml:space="preserve">2</w:t>
            </w:r>
          </w:p>
        </w:tc>
        <w:tc>
          <w:tcPr/>
          <w:p>
            <w:pPr>
              <w:pStyle w:val="Compact"/>
              <w:jc w:val="center"/>
            </w:pPr>
            <w:r>
              <w:t xml:space="preserve">15</w:t>
            </w:r>
          </w:p>
        </w:tc>
        <w:tc>
          <w:tcPr/>
          <w:p>
            <w:pPr>
              <w:pStyle w:val="Compact"/>
              <w:jc w:val="center"/>
            </w:pPr>
            <w:r>
              <w:t xml:space="preserve">8</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12</w:t>
            </w:r>
          </w:p>
        </w:tc>
        <w:tc>
          <w:tcPr/>
          <w:p>
            <w:pPr>
              <w:pStyle w:val="Compact"/>
              <w:jc w:val="center"/>
            </w:pPr>
            <w:r>
              <w:t xml:space="preserve">13</w:t>
            </w:r>
          </w:p>
        </w:tc>
      </w:tr>
      <w:tr>
        <w:tc>
          <w:tcPr/>
          <w:p>
            <w:pPr>
              <w:pStyle w:val="Compact"/>
              <w:jc w:val="left"/>
            </w:pPr>
            <w:r>
              <w:t xml:space="preserve">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2</w:t>
            </w:r>
          </w:p>
        </w:tc>
      </w:tr>
      <w:tr>
        <w:tc>
          <w:tcPr/>
          <w:p>
            <w:pPr>
              <w:pStyle w:val="Compact"/>
              <w:jc w:val="left"/>
            </w:pPr>
            <w:r>
              <w:t xml:space="preserve">4</w:t>
            </w:r>
          </w:p>
        </w:tc>
        <w:tc>
          <w:tcPr/>
          <w:p>
            <w:pPr>
              <w:pStyle w:val="Compact"/>
              <w:jc w:val="center"/>
            </w:pPr>
            <w:r>
              <w:t xml:space="preserve">4</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14</w:t>
            </w:r>
          </w:p>
        </w:tc>
      </w:tr>
      <w:tr>
        <w:tc>
          <w:tcPr/>
          <w:p>
            <w:pPr>
              <w:pStyle w:val="Compact"/>
              <w:jc w:val="left"/>
            </w:pPr>
            <w:r>
              <w:t xml:space="preserve">5</w:t>
            </w:r>
          </w:p>
        </w:tc>
        <w:tc>
          <w:tcPr/>
          <w:p>
            <w:pPr>
              <w:pStyle w:val="Compact"/>
              <w:jc w:val="center"/>
            </w:pPr>
            <w:r>
              <w:t xml:space="preserve">8</w:t>
            </w:r>
          </w:p>
        </w:tc>
        <w:tc>
          <w:tcPr/>
          <w:p>
            <w:pPr>
              <w:pStyle w:val="Compact"/>
              <w:jc w:val="center"/>
            </w:pPr>
            <w:r>
              <w:t xml:space="preserve">11</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10</w:t>
            </w:r>
          </w:p>
        </w:tc>
      </w:tr>
      <w:tr>
        <w:tc>
          <w:tcPr/>
          <w:p>
            <w:pPr>
              <w:pStyle w:val="Compact"/>
              <w:jc w:val="left"/>
            </w:pPr>
            <w:r>
              <w:t xml:space="preserve">6</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9</w:t>
            </w:r>
          </w:p>
        </w:tc>
        <w:tc>
          <w:tcPr/>
          <w:p>
            <w:pPr>
              <w:pStyle w:val="Compact"/>
              <w:jc w:val="center"/>
            </w:pPr>
            <w:r>
              <w:t xml:space="preserve">16</w:t>
            </w:r>
          </w:p>
        </w:tc>
        <w:tc>
          <w:tcPr/>
          <w:p>
            <w:pPr>
              <w:pStyle w:val="Compact"/>
              <w:jc w:val="center"/>
            </w:pPr>
            <w:r>
              <w:t xml:space="preserve">9</w:t>
            </w:r>
          </w:p>
        </w:tc>
        <w:tc>
          <w:tcPr/>
          <w:p>
            <w:pPr>
              <w:pStyle w:val="Compact"/>
              <w:jc w:val="center"/>
            </w:pPr>
            <w:r>
              <w:t xml:space="preserve">8</w:t>
            </w:r>
          </w:p>
        </w:tc>
      </w:tr>
      <w:tr>
        <w:tc>
          <w:tcPr/>
          <w:p>
            <w:pPr>
              <w:pStyle w:val="Compact"/>
              <w:jc w:val="left"/>
            </w:pPr>
            <w:r>
              <w:t xml:space="preserve">7</w:t>
            </w:r>
          </w:p>
        </w:tc>
        <w:tc>
          <w:tcPr/>
          <w:p>
            <w:pPr>
              <w:pStyle w:val="Compact"/>
              <w:jc w:val="center"/>
            </w:pPr>
            <w:r>
              <w:t xml:space="preserve">16</w:t>
            </w:r>
          </w:p>
        </w:tc>
        <w:tc>
          <w:tcPr/>
          <w:p>
            <w:pPr>
              <w:pStyle w:val="Compact"/>
              <w:jc w:val="center"/>
            </w:pPr>
            <w:r>
              <w:t xml:space="preserve">7</w:t>
            </w:r>
          </w:p>
        </w:tc>
        <w:tc>
          <w:tcPr/>
          <w:p>
            <w:pPr>
              <w:pStyle w:val="Compact"/>
              <w:jc w:val="center"/>
            </w:pPr>
            <w:r>
              <w:t xml:space="preserve">17</w:t>
            </w:r>
          </w:p>
        </w:tc>
        <w:tc>
          <w:tcPr/>
          <w:p>
            <w:pPr>
              <w:pStyle w:val="Compact"/>
              <w:jc w:val="center"/>
            </w:pPr>
            <w:r>
              <w:t xml:space="preserve">8</w:t>
            </w:r>
          </w:p>
        </w:tc>
        <w:tc>
          <w:tcPr/>
          <w:p>
            <w:pPr>
              <w:pStyle w:val="Compact"/>
              <w:jc w:val="center"/>
            </w:pPr>
            <w:r>
              <w:t xml:space="preserve">17</w:t>
            </w:r>
          </w:p>
        </w:tc>
        <w:tc>
          <w:tcPr/>
          <w:p>
            <w:pPr>
              <w:pStyle w:val="Compact"/>
              <w:jc w:val="center"/>
            </w:pPr>
            <w:r>
              <w:t xml:space="preserve">17</w:t>
            </w:r>
          </w:p>
        </w:tc>
      </w:tr>
      <w:tr>
        <w:tc>
          <w:tcPr/>
          <w:p>
            <w:pPr>
              <w:pStyle w:val="Compact"/>
              <w:jc w:val="left"/>
            </w:pPr>
            <w:r>
              <w:t xml:space="preserve">8</w:t>
            </w:r>
          </w:p>
        </w:tc>
        <w:tc>
          <w:tcPr/>
          <w:p>
            <w:pPr>
              <w:pStyle w:val="Compact"/>
              <w:jc w:val="center"/>
            </w:pPr>
            <w:r>
              <w:t xml:space="preserve">11</w:t>
            </w:r>
          </w:p>
        </w:tc>
        <w:tc>
          <w:tcPr/>
          <w:p>
            <w:pPr>
              <w:pStyle w:val="Compact"/>
              <w:jc w:val="center"/>
            </w:pPr>
            <w:r>
              <w:t xml:space="preserve">9</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15</w:t>
            </w:r>
          </w:p>
        </w:tc>
        <w:tc>
          <w:tcPr/>
          <w:p>
            <w:pPr>
              <w:pStyle w:val="Compact"/>
              <w:jc w:val="center"/>
            </w:pPr>
            <w:r>
              <w:t xml:space="preserve">15</w:t>
            </w:r>
          </w:p>
        </w:tc>
      </w:tr>
      <w:tr>
        <w:tc>
          <w:tcPr/>
          <w:p>
            <w:pPr>
              <w:pStyle w:val="Compact"/>
              <w:jc w:val="left"/>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r>
      <w:tr>
        <w:tc>
          <w:tcPr/>
          <w:p>
            <w:pPr>
              <w:pStyle w:val="Compact"/>
              <w:jc w:val="left"/>
            </w:pPr>
            <w:r>
              <w:t xml:space="preserve">10</w:t>
            </w:r>
          </w:p>
        </w:tc>
        <w:tc>
          <w:tcPr/>
          <w:p>
            <w:pPr>
              <w:pStyle w:val="Compact"/>
              <w:jc w:val="center"/>
            </w:pPr>
            <w:r>
              <w:t xml:space="preserve">14</w:t>
            </w:r>
          </w:p>
        </w:tc>
        <w:tc>
          <w:tcPr/>
          <w:p>
            <w:pPr>
              <w:pStyle w:val="Compact"/>
              <w:jc w:val="center"/>
            </w:pPr>
            <w:r>
              <w:t xml:space="preserve">16</w:t>
            </w:r>
          </w:p>
        </w:tc>
        <w:tc>
          <w:tcPr/>
          <w:p>
            <w:pPr>
              <w:pStyle w:val="Compact"/>
              <w:jc w:val="center"/>
            </w:pPr>
            <w:r>
              <w:t xml:space="preserve">13</w:t>
            </w:r>
          </w:p>
        </w:tc>
        <w:tc>
          <w:tcPr/>
          <w:p>
            <w:pPr>
              <w:pStyle w:val="Compact"/>
              <w:jc w:val="center"/>
            </w:pPr>
            <w:r>
              <w:t xml:space="preserve">15</w:t>
            </w:r>
          </w:p>
        </w:tc>
        <w:tc>
          <w:tcPr/>
          <w:p>
            <w:pPr>
              <w:pStyle w:val="Compact"/>
              <w:jc w:val="center"/>
            </w:pPr>
            <w:r>
              <w:t xml:space="preserve">14</w:t>
            </w:r>
          </w:p>
        </w:tc>
        <w:tc>
          <w:tcPr/>
          <w:p>
            <w:pPr>
              <w:pStyle w:val="Compact"/>
              <w:jc w:val="center"/>
            </w:pPr>
            <w:r>
              <w:t xml:space="preserve">9</w:t>
            </w:r>
          </w:p>
        </w:tc>
      </w:tr>
      <w:tr>
        <w:tc>
          <w:tcPr/>
          <w:p>
            <w:pPr>
              <w:pStyle w:val="Compact"/>
              <w:jc w:val="left"/>
            </w:pPr>
            <w:r>
              <w:t xml:space="preserve">11</w:t>
            </w:r>
          </w:p>
        </w:tc>
        <w:tc>
          <w:tcPr/>
          <w:p>
            <w:pPr>
              <w:pStyle w:val="Compact"/>
              <w:jc w:val="center"/>
            </w:pPr>
            <w:r>
              <w:t xml:space="preserve">17</w:t>
            </w:r>
          </w:p>
        </w:tc>
        <w:tc>
          <w:tcPr/>
          <w:p>
            <w:pPr>
              <w:pStyle w:val="Compact"/>
              <w:jc w:val="center"/>
            </w:pPr>
            <w:r>
              <w:t xml:space="preserve">5</w:t>
            </w:r>
          </w:p>
        </w:tc>
        <w:tc>
          <w:tcPr/>
          <w:p>
            <w:pPr>
              <w:pStyle w:val="Compact"/>
              <w:jc w:val="center"/>
            </w:pPr>
            <w:r>
              <w:t xml:space="preserve">15</w:t>
            </w:r>
          </w:p>
        </w:tc>
        <w:tc>
          <w:tcPr/>
          <w:p>
            <w:pPr>
              <w:pStyle w:val="Compact"/>
              <w:jc w:val="center"/>
            </w:pPr>
            <w:r>
              <w:t xml:space="preserve">7</w:t>
            </w:r>
          </w:p>
        </w:tc>
        <w:tc>
          <w:tcPr/>
          <w:p>
            <w:pPr>
              <w:pStyle w:val="Compact"/>
              <w:jc w:val="center"/>
            </w:pPr>
            <w:r>
              <w:t xml:space="preserve">10</w:t>
            </w:r>
          </w:p>
        </w:tc>
        <w:tc>
          <w:tcPr/>
          <w:p>
            <w:pPr>
              <w:pStyle w:val="Compact"/>
              <w:jc w:val="center"/>
            </w:pPr>
            <w:r>
              <w:t xml:space="preserve">7</w:t>
            </w:r>
          </w:p>
        </w:tc>
      </w:tr>
      <w:tr>
        <w:tc>
          <w:tcPr/>
          <w:p>
            <w:pPr>
              <w:pStyle w:val="Compact"/>
              <w:jc w:val="left"/>
            </w:pPr>
            <w:r>
              <w:t xml:space="preserve">12</w:t>
            </w:r>
          </w:p>
        </w:tc>
        <w:tc>
          <w:tcPr/>
          <w:p>
            <w:pPr>
              <w:pStyle w:val="Compact"/>
              <w:jc w:val="center"/>
            </w:pPr>
            <w:r>
              <w:t xml:space="preserve">12</w:t>
            </w:r>
          </w:p>
        </w:tc>
        <w:tc>
          <w:tcPr/>
          <w:p>
            <w:pPr>
              <w:pStyle w:val="Compact"/>
              <w:jc w:val="center"/>
            </w:pPr>
            <w:r>
              <w:t xml:space="preserve">14</w:t>
            </w:r>
          </w:p>
        </w:tc>
        <w:tc>
          <w:tcPr/>
          <w:p>
            <w:pPr>
              <w:pStyle w:val="Compact"/>
              <w:jc w:val="center"/>
            </w:pPr>
            <w:r>
              <w:t xml:space="preserve">10</w:t>
            </w:r>
          </w:p>
        </w:tc>
        <w:tc>
          <w:tcPr/>
          <w:p>
            <w:pPr>
              <w:pStyle w:val="Compact"/>
              <w:jc w:val="center"/>
            </w:pPr>
            <w:r>
              <w:t xml:space="preserve">10</w:t>
            </w:r>
          </w:p>
        </w:tc>
        <w:tc>
          <w:tcPr/>
          <w:p>
            <w:pPr>
              <w:pStyle w:val="Compact"/>
              <w:jc w:val="center"/>
            </w:pPr>
            <w:r>
              <w:t xml:space="preserve">16</w:t>
            </w:r>
          </w:p>
        </w:tc>
        <w:tc>
          <w:tcPr/>
          <w:p>
            <w:pPr>
              <w:pStyle w:val="Compact"/>
              <w:jc w:val="center"/>
            </w:pPr>
            <w:r>
              <w:t xml:space="preserve">16</w:t>
            </w:r>
          </w:p>
        </w:tc>
      </w:tr>
      <w:tr>
        <w:tc>
          <w:tcPr/>
          <w:p>
            <w:pPr>
              <w:pStyle w:val="Compact"/>
              <w:jc w:val="left"/>
            </w:pPr>
            <w:r>
              <w:t xml:space="preserve">13</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16</w:t>
            </w:r>
          </w:p>
        </w:tc>
        <w:tc>
          <w:tcPr/>
          <w:p>
            <w:pPr>
              <w:pStyle w:val="Compact"/>
              <w:jc w:val="center"/>
            </w:pPr>
            <w:r>
              <w:t xml:space="preserve">5</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14</w:t>
            </w:r>
          </w:p>
        </w:tc>
        <w:tc>
          <w:tcPr/>
          <w:p>
            <w:pPr>
              <w:pStyle w:val="Compact"/>
              <w:jc w:val="center"/>
            </w:pPr>
            <w:r>
              <w:t xml:space="preserve">10</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11</w:t>
            </w:r>
          </w:p>
        </w:tc>
        <w:tc>
          <w:tcPr/>
          <w:p>
            <w:pPr>
              <w:pStyle w:val="Compact"/>
              <w:jc w:val="center"/>
            </w:pPr>
            <w:r>
              <w:t xml:space="preserve">11</w:t>
            </w:r>
          </w:p>
        </w:tc>
      </w:tr>
      <w:tr>
        <w:tc>
          <w:tcPr/>
          <w:p>
            <w:pPr>
              <w:pStyle w:val="Compact"/>
              <w:jc w:val="left"/>
            </w:pPr>
            <w:r>
              <w:t xml:space="preserve">15</w:t>
            </w:r>
          </w:p>
        </w:tc>
        <w:tc>
          <w:tcPr/>
          <w:p>
            <w:pPr>
              <w:pStyle w:val="Compact"/>
              <w:jc w:val="center"/>
            </w:pPr>
            <w:r>
              <w:t xml:space="preserve">13</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14</w:t>
            </w:r>
          </w:p>
        </w:tc>
        <w:tc>
          <w:tcPr/>
          <w:p>
            <w:pPr>
              <w:pStyle w:val="Compact"/>
              <w:jc w:val="center"/>
            </w:pPr>
            <w:r>
              <w:t xml:space="preserve">13</w:t>
            </w:r>
          </w:p>
        </w:tc>
        <w:tc>
          <w:tcPr/>
          <w:p>
            <w:pPr>
              <w:pStyle w:val="Compact"/>
              <w:jc w:val="center"/>
            </w:pPr>
            <w:r>
              <w:t xml:space="preserve">12</w:t>
            </w:r>
          </w:p>
        </w:tc>
      </w:tr>
      <w:tr>
        <w:tc>
          <w:tcPr/>
          <w:p>
            <w:pPr>
              <w:pStyle w:val="Compact"/>
              <w:jc w:val="left"/>
            </w:pPr>
            <w:r>
              <w:t xml:space="preserve">16</w:t>
            </w:r>
          </w:p>
        </w:tc>
        <w:tc>
          <w:tcPr/>
          <w:p>
            <w:pPr>
              <w:pStyle w:val="Compact"/>
              <w:jc w:val="center"/>
            </w:pPr>
            <w:r>
              <w:t xml:space="preserve">6</w:t>
            </w:r>
          </w:p>
        </w:tc>
        <w:tc>
          <w:tcPr/>
          <w:p>
            <w:pPr>
              <w:pStyle w:val="Compact"/>
              <w:jc w:val="center"/>
            </w:pPr>
            <w:r>
              <w:t xml:space="preserve">12</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4</w:t>
            </w:r>
          </w:p>
        </w:tc>
        <w:tc>
          <w:tcPr/>
          <w:p>
            <w:pPr>
              <w:pStyle w:val="Compact"/>
              <w:jc w:val="center"/>
            </w:pPr>
            <w:r>
              <w:t xml:space="preserve">4</w:t>
            </w:r>
          </w:p>
        </w:tc>
      </w:tr>
      <w:tr>
        <w:tc>
          <w:tcPr/>
          <w:p>
            <w:pPr>
              <w:pStyle w:val="Compact"/>
              <w:jc w:val="left"/>
            </w:pPr>
            <w:r>
              <w:t xml:space="preserve">17</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Rank Corr (</w:t>
            </w:r>
            <m:oMath>
              <m:r>
                <m:t>ρ</m:t>
              </m:r>
            </m:oMath>
            <w:r>
              <w:t xml:space="preserve">)</w:t>
            </w:r>
          </w:p>
        </w:tc>
        <w:tc>
          <w:tcPr/>
          <w:p>
            <w:pPr>
              <w:pStyle w:val="Compact"/>
              <w:jc w:val="center"/>
            </w:pPr>
            <w:r>
              <w:t xml:space="preserve">1.000</w:t>
            </w:r>
          </w:p>
        </w:tc>
        <w:tc>
          <w:tcPr/>
          <w:p>
            <w:pPr>
              <w:pStyle w:val="Compact"/>
              <w:jc w:val="center"/>
            </w:pPr>
            <w:r>
              <w:t xml:space="preserve">0.397</w:t>
            </w:r>
          </w:p>
        </w:tc>
        <w:tc>
          <w:tcPr/>
          <w:p>
            <w:pPr>
              <w:pStyle w:val="Compact"/>
              <w:jc w:val="center"/>
            </w:pPr>
            <w:r>
              <w:t xml:space="preserve">0.775</w:t>
            </w:r>
          </w:p>
        </w:tc>
        <w:tc>
          <w:tcPr/>
          <w:p>
            <w:pPr>
              <w:pStyle w:val="Compact"/>
              <w:jc w:val="center"/>
            </w:pPr>
            <w:r>
              <w:t xml:space="preserve">0.544</w:t>
            </w:r>
          </w:p>
        </w:tc>
        <w:tc>
          <w:tcPr/>
          <w:p>
            <w:pPr>
              <w:pStyle w:val="Compact"/>
              <w:jc w:val="center"/>
            </w:pPr>
            <w:r>
              <w:t xml:space="preserve">0.868</w:t>
            </w:r>
          </w:p>
        </w:tc>
        <w:tc>
          <w:tcPr/>
          <w:p>
            <w:pPr>
              <w:pStyle w:val="Compact"/>
              <w:jc w:val="center"/>
            </w:pPr>
            <w:r>
              <w:t xml:space="preserve">0.662</w:t>
            </w:r>
          </w:p>
        </w:tc>
      </w:tr>
    </w:tbl>
    <w:bookmarkEnd w:id="132"/>
    <w:p>
      <w:pPr>
        <w:pStyle w:val="BodyText"/>
      </w:pPr>
      <w:r>
        <w:rPr>
          <w:iCs/>
          <w:i/>
        </w:rPr>
        <w:t xml:space="preserve">Notes:</w:t>
      </w:r>
      <w:r>
        <w:t xml:space="preserve"> </w:t>
      </w:r>
      <w:r>
        <w:t xml:space="preserve">Each cell reports the within-SDG coverage-gap rank (</w:t>
      </w:r>
      <m:oMath>
        <m:r>
          <m:t>1</m:t>
        </m:r>
        <m:r>
          <m:rPr>
            <m:sty m:val="p"/>
          </m:rPr>
          <m:t>=</m:t>
        </m:r>
        <m:r>
          <m:rPr>
            <m:nor/>
            <m:sty m:val="p"/>
          </m:rPr>
          <m:t>largest gap</m:t>
        </m:r>
      </m:oMath>
      <w:r>
        <w:t xml:space="preserve">,</w:t>
      </w:r>
      <w:r>
        <w:t xml:space="preserve"> </w:t>
      </w:r>
      <m:oMath>
        <m:r>
          <m:t>17</m:t>
        </m:r>
        <m:r>
          <m:rPr>
            <m:sty m:val="p"/>
          </m:rPr>
          <m:t>=</m:t>
        </m:r>
        <m:r>
          <m:rPr>
            <m:nor/>
            <m:sty m:val="p"/>
          </m:rPr>
          <m:t>smallest gap</m:t>
        </m:r>
      </m:oMath>
      <w:r>
        <w:t xml:space="preserve">). The Canon column is the canonical MPNet—LR ranking. 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using document-weighted policy proportions (Assumption A19). Policy-source columns compare the keyword-retrieved research profile against each policy-source family. The Retrieval column replaces keyword retrieval with concept-based (AI/ML field-of-study) retrieval. The Segment-cap axis is omitted: coverage gap is segment-cap-independent. Rank Corr (</w:t>
      </w:r>
      <m:oMath>
        <m:r>
          <m:t>ρ</m:t>
        </m:r>
      </m:oMath>
      <w:r>
        <w:t xml:space="preserve">) is the Spearman correlation of each column’s SDG coverage-gap ranks against the canonical column.</w:t>
      </w:r>
    </w:p>
    <w:bookmarkEnd w:id="133"/>
    <w:bookmarkStart w:id="138" w:name="app:reference-tables"/>
    <w:p>
      <w:pPr>
        <w:pStyle w:val="Heading2"/>
      </w:pPr>
      <w:r>
        <w:t xml:space="preserve">Per-Track Reference Value Tables</w:t>
      </w:r>
    </w:p>
    <w:p>
      <w:pPr>
        <w:pStyle w:val="FirstParagraph"/>
      </w:pPr>
      <w:r>
        <w:t xml:space="preserve">The per-SDG reference table from Section </w:t>
      </w:r>
      <w:hyperlink w:anchor="sec:interaction">
        <w:r>
          <w:rPr>
            <w:rStyle w:val="Hyperlink"/>
          </w:rPr>
          <w:t xml:space="preserve">4.4</w:t>
        </w:r>
      </w:hyperlink>
      <w:r>
        <w:t xml:space="preserve"> </w:t>
      </w:r>
      <w:r>
        <w:t xml:space="preserve">is reproduced below for the MiniLM and SciBERT encoder tracks (each scored on the deterministic 100,000-paper subset, isolating encoder choice from corpus scale). Column structure matches Table </w:t>
      </w:r>
      <w:hyperlink w:anchor="tab:register-decomposition">
        <w:r>
          <w:rPr>
            <w:rStyle w:val="Hyperlink"/>
          </w:rPr>
          <w:t xml:space="preserve">4</w:t>
        </w:r>
      </w:hyperlink>
      <w:r>
        <w:t xml:space="preserve">: a semantic-gap family (raw, adjusted, register component) and a coverage-predictor family (coverage gap, signed dominance, research share, policy share). Signed dominance = research share</w:t>
      </w:r>
      <w:r>
        <w:t xml:space="preserve"> </w:t>
      </w:r>
      <m:oMath>
        <m:r>
          <m:rPr>
            <m:sty m:val="p"/>
          </m:rPr>
          <m:t>−</m:t>
        </m:r>
      </m:oMath>
      <w:r>
        <w:t xml:space="preserve"> </w:t>
      </w:r>
      <w:r>
        <w:t xml:space="preserve">policy share (pp); coverage gap =</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(pp).</w:t>
      </w:r>
    </w:p>
    <w:bookmarkStart w:id="134" w:name="tab:reference-minilm"/>
    <w:p>
      <w:pPr>
        <w:pStyle w:val="TableCaption"/>
      </w:pPr>
      <w:r>
        <w:t xml:space="preserve">MiniLM track — per-SDG reference values (semantic-gap and coverage-predictor families).</w:t>
      </w:r>
    </w:p>
    <w:tbl>
      <w:tblPr>
        <w:tblStyle w:val="Table"/>
        <w:tblW w:type="auto" w:w="0"/>
        <w:tblLook w:firstRow="1" w:lastRow="0" w:firstColumn="0" w:lastColumn="0" w:noHBand="0" w:noVBand="0" w:val="0020"/>
        <w:jc w:val="start"/>
        <w:tblCaption w:val="MiniLM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0.222</w:t>
            </w:r>
          </w:p>
        </w:tc>
        <w:tc>
          <w:tcPr/>
          <w:p>
            <w:pPr>
              <w:pStyle w:val="Compact"/>
              <w:jc w:val="right"/>
            </w:pPr>
            <w:r>
              <w:t xml:space="preserve">0.176</w:t>
            </w:r>
          </w:p>
        </w:tc>
        <w:tc>
          <w:tcPr/>
          <w:p>
            <w:pPr>
              <w:pStyle w:val="Compact"/>
              <w:jc w:val="right"/>
            </w:pPr>
            <w:r>
              <w:t xml:space="preserve">+0.046</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0.3</w:t>
            </w:r>
          </w:p>
        </w:tc>
        <w:tc>
          <w:tcPr/>
          <w:p>
            <w:pPr>
              <w:pStyle w:val="Compact"/>
              <w:jc w:val="right"/>
            </w:pPr>
            <w:r>
              <w:t xml:space="preserve">4.4</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0.297</w:t>
            </w:r>
          </w:p>
        </w:tc>
        <w:tc>
          <w:tcPr/>
          <w:p>
            <w:pPr>
              <w:pStyle w:val="Compact"/>
              <w:jc w:val="right"/>
            </w:pPr>
            <w:r>
              <w:t xml:space="preserve">0.077</w:t>
            </w:r>
          </w:p>
        </w:tc>
        <w:tc>
          <w:tcPr/>
          <w:p>
            <w:pPr>
              <w:pStyle w:val="Compact"/>
              <w:jc w:val="right"/>
            </w:pPr>
            <w:r>
              <w:t xml:space="preserve">+0.220</w:t>
            </w:r>
          </w:p>
        </w:tc>
        <w:tc>
          <w:tcPr/>
          <w:p>
            <w:pPr>
              <w:pStyle w:val="Compact"/>
              <w:jc w:val="right"/>
            </w:pPr>
            <w:r>
              <w:t xml:space="preserve">2.1</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4.4</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0.495</w:t>
            </w:r>
          </w:p>
        </w:tc>
        <w:tc>
          <w:tcPr/>
          <w:p>
            <w:pPr>
              <w:pStyle w:val="Compact"/>
              <w:jc w:val="right"/>
            </w:pPr>
            <w:r>
              <w:t xml:space="preserve">0.238</w:t>
            </w:r>
          </w:p>
        </w:tc>
        <w:tc>
          <w:tcPr/>
          <w:p>
            <w:pPr>
              <w:pStyle w:val="Compact"/>
              <w:jc w:val="right"/>
            </w:pPr>
            <w:r>
              <w:t xml:space="preserve">+0.257</w:t>
            </w:r>
          </w:p>
        </w:tc>
        <w:tc>
          <w:tcPr/>
          <w:p>
            <w:pPr>
              <w:pStyle w:val="Compact"/>
              <w:jc w:val="right"/>
            </w:pPr>
            <w:r>
              <w:t xml:space="preserve">22.0</w:t>
            </w:r>
          </w:p>
        </w:tc>
        <w:tc>
          <w:tcPr/>
          <w:p>
            <w:pPr>
              <w:pStyle w:val="Compact"/>
              <w:jc w:val="right"/>
            </w:pPr>
            <w:r>
              <w:t xml:space="preserve">+22.0</w:t>
            </w:r>
          </w:p>
        </w:tc>
        <w:tc>
          <w:tcPr/>
          <w:p>
            <w:pPr>
              <w:pStyle w:val="Compact"/>
              <w:jc w:val="right"/>
            </w:pPr>
            <w:r>
              <w:t xml:space="preserve">26.9</w:t>
            </w:r>
          </w:p>
        </w:tc>
        <w:tc>
          <w:tcPr/>
          <w:p>
            <w:pPr>
              <w:pStyle w:val="Compact"/>
              <w:jc w:val="right"/>
            </w:pPr>
            <w:r>
              <w:t xml:space="preserve">4.9</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0.291</w:t>
            </w:r>
          </w:p>
        </w:tc>
        <w:tc>
          <w:tcPr/>
          <w:p>
            <w:pPr>
              <w:pStyle w:val="Compact"/>
              <w:jc w:val="right"/>
            </w:pPr>
            <w:r>
              <w:t xml:space="preserve">0.178</w:t>
            </w:r>
          </w:p>
        </w:tc>
        <w:tc>
          <w:tcPr/>
          <w:p>
            <w:pPr>
              <w:pStyle w:val="Compact"/>
              <w:jc w:val="right"/>
            </w:pPr>
            <w:r>
              <w:t xml:space="preserve">+0.113</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13.8</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0.470</w:t>
            </w:r>
          </w:p>
        </w:tc>
        <w:tc>
          <w:tcPr/>
          <w:p>
            <w:pPr>
              <w:pStyle w:val="Compact"/>
              <w:jc w:val="right"/>
            </w:pPr>
            <w:r>
              <w:t xml:space="preserve">0.272</w:t>
            </w:r>
          </w:p>
        </w:tc>
        <w:tc>
          <w:tcPr/>
          <w:p>
            <w:pPr>
              <w:pStyle w:val="Compact"/>
              <w:jc w:val="right"/>
            </w:pPr>
            <w:r>
              <w:t xml:space="preserve">+0.198</w:t>
            </w:r>
          </w:p>
        </w:tc>
        <w:tc>
          <w:tcPr/>
          <w:p>
            <w:pPr>
              <w:pStyle w:val="Compact"/>
              <w:jc w:val="right"/>
            </w:pPr>
            <w:r>
              <w:t xml:space="preserve">1.7</w:t>
            </w:r>
          </w:p>
        </w:tc>
        <w:tc>
          <w:tcPr/>
          <w:p>
            <w:pPr>
              <w:pStyle w:val="Compact"/>
              <w:jc w:val="right"/>
            </w:pPr>
            <w:r>
              <w:t xml:space="preserve">-1.7</w:t>
            </w:r>
          </w:p>
        </w:tc>
        <w:tc>
          <w:tcPr/>
          <w:p>
            <w:pPr>
              <w:pStyle w:val="Compact"/>
              <w:jc w:val="right"/>
            </w:pPr>
            <w:r>
              <w:t xml:space="preserve">3.3</w:t>
            </w:r>
          </w:p>
        </w:tc>
        <w:tc>
          <w:tcPr/>
          <w:p>
            <w:pPr>
              <w:pStyle w:val="Compact"/>
              <w:jc w:val="right"/>
            </w:pPr>
            <w:r>
              <w:t xml:space="preserve">5.1</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0.298</w:t>
            </w:r>
          </w:p>
        </w:tc>
        <w:tc>
          <w:tcPr/>
          <w:p>
            <w:pPr>
              <w:pStyle w:val="Compact"/>
              <w:jc w:val="right"/>
            </w:pPr>
            <w:r>
              <w:t xml:space="preserve">0.101</w:t>
            </w:r>
          </w:p>
        </w:tc>
        <w:tc>
          <w:tcPr/>
          <w:p>
            <w:pPr>
              <w:pStyle w:val="Compact"/>
              <w:jc w:val="right"/>
            </w:pPr>
            <w:r>
              <w:t xml:space="preserve">+0.198</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1.4</w:t>
            </w:r>
          </w:p>
        </w:tc>
        <w:tc>
          <w:tcPr/>
          <w:p>
            <w:pPr>
              <w:pStyle w:val="Compact"/>
              <w:jc w:val="right"/>
            </w:pPr>
            <w:r>
              <w:t xml:space="preserve">3.7</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0.430</w:t>
            </w:r>
          </w:p>
        </w:tc>
        <w:tc>
          <w:tcPr/>
          <w:p>
            <w:pPr>
              <w:pStyle w:val="Compact"/>
              <w:jc w:val="right"/>
            </w:pPr>
            <w:r>
              <w:t xml:space="preserve">0.127</w:t>
            </w:r>
          </w:p>
        </w:tc>
        <w:tc>
          <w:tcPr/>
          <w:p>
            <w:pPr>
              <w:pStyle w:val="Compact"/>
              <w:jc w:val="right"/>
            </w:pPr>
            <w:r>
              <w:t xml:space="preserve">+0.302</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5.3</w:t>
            </w:r>
          </w:p>
        </w:tc>
        <w:tc>
          <w:tcPr/>
          <w:p>
            <w:pPr>
              <w:pStyle w:val="Compact"/>
              <w:jc w:val="right"/>
            </w:pPr>
            <w:r>
              <w:t xml:space="preserve">4.3</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0.336</w:t>
            </w:r>
          </w:p>
        </w:tc>
        <w:tc>
          <w:tcPr/>
          <w:p>
            <w:pPr>
              <w:pStyle w:val="Compact"/>
              <w:jc w:val="right"/>
            </w:pPr>
            <w:r>
              <w:t xml:space="preserve">0.129</w:t>
            </w:r>
          </w:p>
        </w:tc>
        <w:tc>
          <w:tcPr/>
          <w:p>
            <w:pPr>
              <w:pStyle w:val="Compact"/>
              <w:jc w:val="right"/>
            </w:pPr>
            <w:r>
              <w:t xml:space="preserve">+0.207</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2.0</w:t>
            </w:r>
          </w:p>
        </w:tc>
        <w:tc>
          <w:tcPr/>
          <w:p>
            <w:pPr>
              <w:pStyle w:val="Compact"/>
              <w:jc w:val="right"/>
            </w:pPr>
            <w:r>
              <w:t xml:space="preserve">4.2</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0.350</w:t>
            </w:r>
          </w:p>
        </w:tc>
        <w:tc>
          <w:tcPr/>
          <w:p>
            <w:pPr>
              <w:pStyle w:val="Compact"/>
              <w:jc w:val="right"/>
            </w:pPr>
            <w:r>
              <w:t xml:space="preserve">0.142</w:t>
            </w:r>
          </w:p>
        </w:tc>
        <w:tc>
          <w:tcPr/>
          <w:p>
            <w:pPr>
              <w:pStyle w:val="Compact"/>
              <w:jc w:val="right"/>
            </w:pPr>
            <w:r>
              <w:t xml:space="preserve">+0.208</w:t>
            </w:r>
          </w:p>
        </w:tc>
        <w:tc>
          <w:tcPr/>
          <w:p>
            <w:pPr>
              <w:pStyle w:val="Compact"/>
              <w:jc w:val="right"/>
            </w:pPr>
            <w:r>
              <w:t xml:space="preserve">12.5</w:t>
            </w:r>
          </w:p>
        </w:tc>
        <w:tc>
          <w:tcPr/>
          <w:p>
            <w:pPr>
              <w:pStyle w:val="Compact"/>
              <w:jc w:val="right"/>
            </w:pPr>
            <w:r>
              <w:t xml:space="preserve">+12.5</w:t>
            </w:r>
          </w:p>
        </w:tc>
        <w:tc>
          <w:tcPr/>
          <w:p>
            <w:pPr>
              <w:pStyle w:val="Compact"/>
              <w:jc w:val="right"/>
            </w:pPr>
            <w:r>
              <w:t xml:space="preserve">16.9</w:t>
            </w:r>
          </w:p>
        </w:tc>
        <w:tc>
          <w:tcPr/>
          <w:p>
            <w:pPr>
              <w:pStyle w:val="Compact"/>
              <w:jc w:val="right"/>
            </w:pPr>
            <w:r>
              <w:t xml:space="preserve">4.4</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0.485</w:t>
            </w:r>
          </w:p>
        </w:tc>
        <w:tc>
          <w:tcPr/>
          <w:p>
            <w:pPr>
              <w:pStyle w:val="Compact"/>
              <w:jc w:val="right"/>
            </w:pPr>
            <w:r>
              <w:t xml:space="preserve">0.207</w:t>
            </w:r>
          </w:p>
        </w:tc>
        <w:tc>
          <w:tcPr/>
          <w:p>
            <w:pPr>
              <w:pStyle w:val="Compact"/>
              <w:jc w:val="right"/>
            </w:pPr>
            <w:r>
              <w:t xml:space="preserve">+0.278</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1.8</w:t>
            </w:r>
          </w:p>
        </w:tc>
        <w:tc>
          <w:tcPr/>
          <w:p>
            <w:pPr>
              <w:pStyle w:val="Compact"/>
              <w:jc w:val="right"/>
            </w:pPr>
            <w:r>
              <w:t xml:space="preserve">2.9</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0.397</w:t>
            </w:r>
          </w:p>
        </w:tc>
        <w:tc>
          <w:tcPr/>
          <w:p>
            <w:pPr>
              <w:pStyle w:val="Compact"/>
              <w:jc w:val="right"/>
            </w:pPr>
            <w:r>
              <w:t xml:space="preserve">0.119</w:t>
            </w:r>
          </w:p>
        </w:tc>
        <w:tc>
          <w:tcPr/>
          <w:p>
            <w:pPr>
              <w:pStyle w:val="Compact"/>
              <w:jc w:val="right"/>
            </w:pPr>
            <w:r>
              <w:t xml:space="preserve">+0.278</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3.7</w:t>
            </w:r>
          </w:p>
        </w:tc>
        <w:tc>
          <w:tcPr/>
          <w:p>
            <w:pPr>
              <w:pStyle w:val="Compact"/>
              <w:jc w:val="right"/>
            </w:pPr>
            <w:r>
              <w:t xml:space="preserve">5.3</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0.391</w:t>
            </w:r>
          </w:p>
        </w:tc>
        <w:tc>
          <w:tcPr/>
          <w:p>
            <w:pPr>
              <w:pStyle w:val="Compact"/>
              <w:jc w:val="right"/>
            </w:pPr>
            <w:r>
              <w:t xml:space="preserve">0.147</w:t>
            </w:r>
          </w:p>
        </w:tc>
        <w:tc>
          <w:tcPr/>
          <w:p>
            <w:pPr>
              <w:pStyle w:val="Compact"/>
              <w:jc w:val="right"/>
            </w:pPr>
            <w:r>
              <w:t xml:space="preserve">+0.245</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1.9</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0.541</w:t>
            </w:r>
          </w:p>
        </w:tc>
        <w:tc>
          <w:tcPr/>
          <w:p>
            <w:pPr>
              <w:pStyle w:val="Compact"/>
              <w:jc w:val="right"/>
            </w:pPr>
            <w:r>
              <w:t xml:space="preserve">0.187</w:t>
            </w:r>
          </w:p>
        </w:tc>
        <w:tc>
          <w:tcPr/>
          <w:p>
            <w:pPr>
              <w:pStyle w:val="Compact"/>
              <w:jc w:val="right"/>
            </w:pPr>
            <w:r>
              <w:t xml:space="preserve">+0.354</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10.7</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0.330</w:t>
            </w:r>
          </w:p>
        </w:tc>
        <w:tc>
          <w:tcPr/>
          <w:p>
            <w:pPr>
              <w:pStyle w:val="Compact"/>
              <w:jc w:val="right"/>
            </w:pPr>
            <w:r>
              <w:t xml:space="preserve">0.111</w:t>
            </w:r>
          </w:p>
        </w:tc>
        <w:tc>
          <w:tcPr/>
          <w:p>
            <w:pPr>
              <w:pStyle w:val="Compact"/>
              <w:jc w:val="right"/>
            </w:pPr>
            <w:r>
              <w:t xml:space="preserve">+0.218</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1.4</w:t>
            </w:r>
          </w:p>
        </w:tc>
        <w:tc>
          <w:tcPr/>
          <w:p>
            <w:pPr>
              <w:pStyle w:val="Compact"/>
              <w:jc w:val="right"/>
            </w:pPr>
            <w:r>
              <w:t xml:space="preserve">3.6</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0.345</w:t>
            </w:r>
          </w:p>
        </w:tc>
        <w:tc>
          <w:tcPr/>
          <w:p>
            <w:pPr>
              <w:pStyle w:val="Compact"/>
              <w:jc w:val="right"/>
            </w:pPr>
            <w:r>
              <w:t xml:space="preserve">0.112</w:t>
            </w:r>
          </w:p>
        </w:tc>
        <w:tc>
          <w:tcPr/>
          <w:p>
            <w:pPr>
              <w:pStyle w:val="Compact"/>
              <w:jc w:val="right"/>
            </w:pPr>
            <w:r>
              <w:t xml:space="preserve">+0.233</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4.1</w:t>
            </w:r>
          </w:p>
        </w:tc>
        <w:tc>
          <w:tcPr/>
          <w:p>
            <w:pPr>
              <w:pStyle w:val="Compact"/>
              <w:jc w:val="right"/>
            </w:pPr>
            <w:r>
              <w:t xml:space="preserve">4.2</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0.322</w:t>
            </w:r>
          </w:p>
        </w:tc>
        <w:tc>
          <w:tcPr/>
          <w:p>
            <w:pPr>
              <w:pStyle w:val="Compact"/>
              <w:jc w:val="right"/>
            </w:pPr>
            <w:r>
              <w:t xml:space="preserve">0.220</w:t>
            </w:r>
          </w:p>
        </w:tc>
        <w:tc>
          <w:tcPr/>
          <w:p>
            <w:pPr>
              <w:pStyle w:val="Compact"/>
              <w:jc w:val="right"/>
            </w:pPr>
            <w:r>
              <w:t xml:space="preserve">+0.101</w:t>
            </w:r>
          </w:p>
        </w:tc>
        <w:tc>
          <w:tcPr/>
          <w:p>
            <w:pPr>
              <w:pStyle w:val="Compact"/>
              <w:jc w:val="right"/>
            </w:pPr>
            <w:r>
              <w:t xml:space="preserve">11.2</w:t>
            </w:r>
          </w:p>
        </w:tc>
        <w:tc>
          <w:tcPr/>
          <w:p>
            <w:pPr>
              <w:pStyle w:val="Compact"/>
              <w:jc w:val="right"/>
            </w:pPr>
            <w:r>
              <w:t xml:space="preserve">-11.2</w:t>
            </w:r>
          </w:p>
        </w:tc>
        <w:tc>
          <w:tcPr/>
          <w:p>
            <w:pPr>
              <w:pStyle w:val="Compact"/>
              <w:jc w:val="right"/>
            </w:pPr>
            <w:r>
              <w:t xml:space="preserve">8.7</w:t>
            </w:r>
          </w:p>
        </w:tc>
        <w:tc>
          <w:tcPr/>
          <w:p>
            <w:pPr>
              <w:pStyle w:val="Compact"/>
              <w:jc w:val="right"/>
            </w:pPr>
            <w:r>
              <w:t xml:space="preserve">19.9</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0.241</w:t>
            </w:r>
          </w:p>
        </w:tc>
        <w:tc>
          <w:tcPr/>
          <w:p>
            <w:pPr>
              <w:pStyle w:val="Compact"/>
              <w:jc w:val="right"/>
            </w:pPr>
            <w:r>
              <w:t xml:space="preserve">0.190</w:t>
            </w:r>
          </w:p>
        </w:tc>
        <w:tc>
          <w:tcPr/>
          <w:p>
            <w:pPr>
              <w:pStyle w:val="Compact"/>
              <w:jc w:val="right"/>
            </w:pPr>
            <w:r>
              <w:t xml:space="preserve">+0.052</w:t>
            </w:r>
          </w:p>
        </w:tc>
        <w:tc>
          <w:tcPr/>
          <w:p>
            <w:pPr>
              <w:pStyle w:val="Compact"/>
              <w:jc w:val="right"/>
            </w:pPr>
            <w:r>
              <w:t xml:space="preserve">8.9</w:t>
            </w:r>
          </w:p>
        </w:tc>
        <w:tc>
          <w:tcPr/>
          <w:p>
            <w:pPr>
              <w:pStyle w:val="Compact"/>
              <w:jc w:val="right"/>
            </w:pPr>
            <w:r>
              <w:t xml:space="preserve">-8.9</w:t>
            </w:r>
          </w:p>
        </w:tc>
        <w:tc>
          <w:tcPr/>
          <w:p>
            <w:pPr>
              <w:pStyle w:val="Compact"/>
              <w:jc w:val="right"/>
            </w:pPr>
            <w:r>
              <w:t xml:space="preserve">0.6</w:t>
            </w:r>
          </w:p>
        </w:tc>
        <w:tc>
          <w:tcPr/>
          <w:p>
            <w:pPr>
              <w:pStyle w:val="Compact"/>
              <w:jc w:val="right"/>
            </w:pPr>
            <w:r>
              <w:t xml:space="preserve">9.5</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0.367</w:t>
            </w:r>
          </w:p>
        </w:tc>
        <w:tc>
          <w:tcPr/>
          <w:p>
            <w:pPr>
              <w:pStyle w:val="Compact"/>
              <w:jc w:val="right"/>
            </w:pPr>
            <w:r>
              <w:t xml:space="preserve">0.161</w:t>
            </w:r>
          </w:p>
        </w:tc>
        <w:tc>
          <w:tcPr/>
          <w:p>
            <w:pPr>
              <w:pStyle w:val="Compact"/>
              <w:jc w:val="right"/>
            </w:pPr>
            <w:r>
              <w:t xml:space="preserve">+0.206</w:t>
            </w:r>
          </w:p>
        </w:tc>
        <w:tc>
          <w:tcPr/>
          <w:p>
            <w:pPr>
              <w:pStyle w:val="Compact"/>
              <w:jc w:val="right"/>
            </w:pPr>
            <w:r>
              <w:t xml:space="preserve">5.2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4"/>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5" w:name="tab:reference-scibert"/>
    <w:p>
      <w:pPr>
        <w:pStyle w:val="TableCaption"/>
      </w:pPr>
      <w:r>
        <w:t xml:space="preserve">SciBERT track — per-SDG reference values (semantic-gap and coverage-predictor families).</w:t>
      </w:r>
    </w:p>
    <w:tbl>
      <w:tblPr>
        <w:tblStyle w:val="Table"/>
        <w:tblW w:type="auto" w:w="0"/>
        <w:tblLook w:firstRow="1" w:lastRow="0" w:firstColumn="0" w:lastColumn="0" w:noHBand="0" w:noVBand="0" w:val="0020"/>
        <w:jc w:val="start"/>
        <w:tblCaption w:val="SciBERT track — per-SDG reference values (semantic-gap and coverage-predictor families)."/>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p>
            <w:pPr>
              <w:pStyle w:val="Compact"/>
              <w:jc w:val="left"/>
            </w:pPr>
            <w:r>
              <w:t xml:space="preserve">Description</w:t>
            </w:r>
          </w:p>
        </w:tc>
        <w:tc>
          <w:tcPr>
            <w:gridSpan w:val="3"/>
          </w:tcPr>
          <w:p>
            <w:pPr>
              <w:pStyle w:val="Compact"/>
              <w:jc w:val="center"/>
            </w:pPr>
            <w:r>
              <w:t xml:space="preserve">Semantic gaps</w:t>
            </w:r>
          </w:p>
        </w:tc>
        <w:tc>
          <w:tcPr>
            <w:gridSpan w:val="4"/>
          </w:tcPr>
          <w:p>
            <w:pPr>
              <w:pStyle w:val="Compact"/>
              <w:jc w:val="center"/>
            </w:pPr>
            <w:r>
              <w:t xml:space="preserve">Coverage predictors</w:t>
            </w:r>
          </w:p>
        </w:tc>
      </w:tr>
      <w:tr>
        <w:tc>
          <w:tcPr/>
          <w:p>
            <w:pPr>
              <w:pStyle w:val="Compact"/>
              <w:jc w:val="left"/>
            </w:pPr>
            <w:r>
              <w:t xml:space="preserve">3-5</w:t>
            </w:r>
            <w:r>
              <w:t xml:space="preserve"> </w:t>
            </w:r>
            <w:r>
              <w:t xml:space="preserve">(lr)</w:t>
            </w:r>
            <w:r>
              <w:t xml:space="preserve">6-9</w:t>
            </w:r>
          </w:p>
        </w:tc>
        <w:tc>
          <w:tcPr/>
          <w:p>
            <w:pPr>
              <w:pStyle w:val="Compact"/>
            </w:pPr>
          </w:p>
        </w:tc>
        <w:tc>
          <w:tcPr/>
          <w:p>
            <w:pPr>
              <w:pStyle w:val="Compact"/>
              <w:jc w:val="right"/>
            </w:pPr>
            <w:r>
              <w:t xml:space="preserve">Raw</w:t>
            </w:r>
          </w:p>
        </w:tc>
        <w:tc>
          <w:tcPr/>
          <w:p>
            <w:pPr>
              <w:pStyle w:val="Compact"/>
              <w:jc w:val="right"/>
            </w:pPr>
            <w:r>
              <w:t xml:space="preserve">Adj.</w:t>
            </w:r>
          </w:p>
        </w:tc>
        <w:tc>
          <w:tcPr/>
          <w:p>
            <w:pPr>
              <w:pStyle w:val="Compact"/>
              <w:jc w:val="right"/>
            </w:pPr>
            <w:r>
              <w:t xml:space="preserve">Reg.</w:t>
            </w:r>
          </w:p>
        </w:tc>
        <w:tc>
          <w:tcPr/>
          <w:p>
            <w:pPr>
              <w:pStyle w:val="Compact"/>
              <w:jc w:val="right"/>
            </w:pPr>
            <w:r>
              <w:t xml:space="preserve">Cov.</w:t>
            </w:r>
          </w:p>
        </w:tc>
        <w:tc>
          <w:tcPr/>
          <w:p>
            <w:pPr>
              <w:pStyle w:val="Compact"/>
              <w:jc w:val="right"/>
            </w:pPr>
            <w:r>
              <w:t xml:space="preserve">SDom</w:t>
            </w:r>
          </w:p>
        </w:tc>
        <w:tc>
          <w:tcPr/>
          <w:p>
            <w:pPr>
              <w:pStyle w:val="Compact"/>
              <w:jc w:val="right"/>
            </w:pPr>
            <w:r>
              <w:t xml:space="preserve">Res %</w:t>
            </w:r>
          </w:p>
        </w:tc>
        <w:tc>
          <w:tcPr/>
          <w:p>
            <w:pPr>
              <w:pStyle w:val="Compact"/>
              <w:jc w:val="right"/>
            </w:pPr>
            <w:r>
              <w:t xml:space="preserve">Pol %</w:t>
            </w:r>
          </w:p>
        </w:tc>
      </w:tr>
      <w:tr>
        <w:tc>
          <w:tcPr/>
          <w:p>
            <w:pPr>
              <w:pStyle w:val="Compact"/>
              <w:jc w:val="left"/>
            </w:pPr>
            <w:r>
              <w:t xml:space="preserve">1</w:t>
            </w:r>
          </w:p>
        </w:tc>
        <w:tc>
          <w:tcPr/>
          <w:p>
            <w:pPr>
              <w:pStyle w:val="Compact"/>
              <w:jc w:val="left"/>
            </w:pPr>
            <w:r>
              <w:t xml:space="preserve">No Poverty</w:t>
            </w:r>
          </w:p>
        </w:tc>
        <w:tc>
          <w:tcPr/>
          <w:p>
            <w:pPr>
              <w:pStyle w:val="Compact"/>
              <w:jc w:val="right"/>
            </w:pPr>
            <w:r>
              <w:t xml:space="preserve">0.032</w:t>
            </w:r>
          </w:p>
        </w:tc>
        <w:tc>
          <w:tcPr/>
          <w:p>
            <w:pPr>
              <w:pStyle w:val="Compact"/>
              <w:jc w:val="right"/>
            </w:pPr>
            <w:r>
              <w:t xml:space="preserve">0.025</w:t>
            </w:r>
          </w:p>
        </w:tc>
        <w:tc>
          <w:tcPr/>
          <w:p>
            <w:pPr>
              <w:pStyle w:val="Compact"/>
              <w:jc w:val="right"/>
            </w:pPr>
            <w:r>
              <w:t xml:space="preserve">+0.007</w:t>
            </w:r>
          </w:p>
        </w:tc>
        <w:tc>
          <w:tcPr/>
          <w:p>
            <w:pPr>
              <w:pStyle w:val="Compact"/>
              <w:jc w:val="right"/>
            </w:pPr>
            <w:r>
              <w:t xml:space="preserve">5.1</w:t>
            </w:r>
          </w:p>
        </w:tc>
        <w:tc>
          <w:tcPr/>
          <w:p>
            <w:pPr>
              <w:pStyle w:val="Compact"/>
              <w:jc w:val="right"/>
            </w:pPr>
            <w:r>
              <w:t xml:space="preserve">-5.1</w:t>
            </w:r>
          </w:p>
        </w:tc>
        <w:tc>
          <w:tcPr/>
          <w:p>
            <w:pPr>
              <w:pStyle w:val="Compact"/>
              <w:jc w:val="right"/>
            </w:pPr>
            <w:r>
              <w:t xml:space="preserve">0.1</w:t>
            </w:r>
          </w:p>
        </w:tc>
        <w:tc>
          <w:tcPr/>
          <w:p>
            <w:pPr>
              <w:pStyle w:val="Compact"/>
              <w:jc w:val="right"/>
            </w:pPr>
            <w:r>
              <w:t xml:space="preserve">5.3</w:t>
            </w:r>
          </w:p>
        </w:tc>
      </w:tr>
      <w:tr>
        <w:tc>
          <w:tcPr/>
          <w:p>
            <w:pPr>
              <w:pStyle w:val="Compact"/>
              <w:jc w:val="left"/>
            </w:pPr>
            <w:r>
              <w:t xml:space="preserve">2</w:t>
            </w:r>
          </w:p>
        </w:tc>
        <w:tc>
          <w:tcPr/>
          <w:p>
            <w:pPr>
              <w:pStyle w:val="Compact"/>
              <w:jc w:val="left"/>
            </w:pPr>
            <w:r>
              <w:t xml:space="preserve">Zero Hunger</w:t>
            </w:r>
          </w:p>
        </w:tc>
        <w:tc>
          <w:tcPr/>
          <w:p>
            <w:pPr>
              <w:pStyle w:val="Compact"/>
              <w:jc w:val="right"/>
            </w:pPr>
            <w:r>
              <w:t xml:space="preserve">0.037</w:t>
            </w:r>
          </w:p>
        </w:tc>
        <w:tc>
          <w:tcPr/>
          <w:p>
            <w:pPr>
              <w:pStyle w:val="Compact"/>
              <w:jc w:val="right"/>
            </w:pPr>
            <w:r>
              <w:t xml:space="preserve">0.020</w:t>
            </w:r>
          </w:p>
        </w:tc>
        <w:tc>
          <w:tcPr/>
          <w:p>
            <w:pPr>
              <w:pStyle w:val="Compact"/>
              <w:jc w:val="right"/>
            </w:pPr>
            <w:r>
              <w:t xml:space="preserve">+0.017</w:t>
            </w:r>
          </w:p>
        </w:tc>
        <w:tc>
          <w:tcPr/>
          <w:p>
            <w:pPr>
              <w:pStyle w:val="Compact"/>
              <w:jc w:val="right"/>
            </w:pPr>
            <w:r>
              <w:t xml:space="preserve">2.6</w:t>
            </w:r>
          </w:p>
        </w:tc>
        <w:tc>
          <w:tcPr/>
          <w:p>
            <w:pPr>
              <w:pStyle w:val="Compact"/>
              <w:jc w:val="right"/>
            </w:pPr>
            <w:r>
              <w:t xml:space="preserve">-2.6</w:t>
            </w:r>
          </w:p>
        </w:tc>
        <w:tc>
          <w:tcPr/>
          <w:p>
            <w:pPr>
              <w:pStyle w:val="Compact"/>
              <w:jc w:val="right"/>
            </w:pPr>
            <w:r>
              <w:t xml:space="preserve">1.3</w:t>
            </w:r>
          </w:p>
        </w:tc>
        <w:tc>
          <w:tcPr/>
          <w:p>
            <w:pPr>
              <w:pStyle w:val="Compact"/>
              <w:jc w:val="right"/>
            </w:pPr>
            <w:r>
              <w:t xml:space="preserve">3.9</w:t>
            </w:r>
          </w:p>
        </w:tc>
      </w:tr>
      <w:tr>
        <w:tc>
          <w:tcPr/>
          <w:p>
            <w:pPr>
              <w:pStyle w:val="Compact"/>
              <w:jc w:val="left"/>
            </w:pPr>
            <w:r>
              <w:t xml:space="preserve">3</w:t>
            </w:r>
          </w:p>
        </w:tc>
        <w:tc>
          <w:tcPr/>
          <w:p>
            <w:pPr>
              <w:pStyle w:val="Compact"/>
              <w:jc w:val="left"/>
            </w:pPr>
            <w:r>
              <w:t xml:space="preserve">Good Health</w:t>
            </w:r>
          </w:p>
        </w:tc>
        <w:tc>
          <w:tcPr/>
          <w:p>
            <w:pPr>
              <w:pStyle w:val="Compact"/>
              <w:jc w:val="right"/>
            </w:pPr>
            <w:r>
              <w:t xml:space="preserve">0.056</w:t>
            </w:r>
          </w:p>
        </w:tc>
        <w:tc>
          <w:tcPr/>
          <w:p>
            <w:pPr>
              <w:pStyle w:val="Compact"/>
              <w:jc w:val="right"/>
            </w:pPr>
            <w:r>
              <w:t xml:space="preserve">0.044</w:t>
            </w:r>
          </w:p>
        </w:tc>
        <w:tc>
          <w:tcPr/>
          <w:p>
            <w:pPr>
              <w:pStyle w:val="Compact"/>
              <w:jc w:val="right"/>
            </w:pPr>
            <w:r>
              <w:t xml:space="preserve">+0.012</w:t>
            </w:r>
          </w:p>
        </w:tc>
        <w:tc>
          <w:tcPr/>
          <w:p>
            <w:pPr>
              <w:pStyle w:val="Compact"/>
              <w:jc w:val="right"/>
            </w:pPr>
            <w:r>
              <w:t xml:space="preserve">22.3</w:t>
            </w:r>
          </w:p>
        </w:tc>
        <w:tc>
          <w:tcPr/>
          <w:p>
            <w:pPr>
              <w:pStyle w:val="Compact"/>
              <w:jc w:val="right"/>
            </w:pPr>
            <w:r>
              <w:t xml:space="preserve">+22.3</w:t>
            </w:r>
          </w:p>
        </w:tc>
        <w:tc>
          <w:tcPr/>
          <w:p>
            <w:pPr>
              <w:pStyle w:val="Compact"/>
              <w:jc w:val="right"/>
            </w:pPr>
            <w:r>
              <w:t xml:space="preserve">27.0</w:t>
            </w:r>
          </w:p>
        </w:tc>
        <w:tc>
          <w:tcPr/>
          <w:p>
            <w:pPr>
              <w:pStyle w:val="Compact"/>
              <w:jc w:val="right"/>
            </w:pPr>
            <w:r>
              <w:t xml:space="preserve">4.8</w:t>
            </w:r>
          </w:p>
        </w:tc>
      </w:tr>
      <w:tr>
        <w:tc>
          <w:tcPr/>
          <w:p>
            <w:pPr>
              <w:pStyle w:val="Compact"/>
              <w:jc w:val="left"/>
            </w:pPr>
            <w:r>
              <w:t xml:space="preserve">4</w:t>
            </w:r>
          </w:p>
        </w:tc>
        <w:tc>
          <w:tcPr/>
          <w:p>
            <w:pPr>
              <w:pStyle w:val="Compact"/>
              <w:jc w:val="left"/>
            </w:pPr>
            <w:r>
              <w:t xml:space="preserve">Education</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+0.004</w:t>
            </w:r>
          </w:p>
        </w:tc>
        <w:tc>
          <w:tcPr/>
          <w:p>
            <w:pPr>
              <w:pStyle w:val="Compact"/>
              <w:jc w:val="right"/>
            </w:pPr>
            <w:r>
              <w:t xml:space="preserve">12.8</w:t>
            </w:r>
          </w:p>
        </w:tc>
        <w:tc>
          <w:tcPr/>
          <w:p>
            <w:pPr>
              <w:pStyle w:val="Compact"/>
              <w:jc w:val="right"/>
            </w:pPr>
            <w:r>
              <w:t xml:space="preserve">+12.8</w:t>
            </w:r>
          </w:p>
        </w:tc>
        <w:tc>
          <w:tcPr/>
          <w:p>
            <w:pPr>
              <w:pStyle w:val="Compact"/>
              <w:jc w:val="right"/>
            </w:pPr>
            <w:r>
              <w:t xml:space="preserve">17.7</w:t>
            </w:r>
          </w:p>
        </w:tc>
        <w:tc>
          <w:tcPr/>
          <w:p>
            <w:pPr>
              <w:pStyle w:val="Compact"/>
              <w:jc w:val="right"/>
            </w:pPr>
            <w:r>
              <w:t xml:space="preserve">4.9</w:t>
            </w:r>
          </w:p>
        </w:tc>
      </w:tr>
      <w:tr>
        <w:tc>
          <w:tcPr/>
          <w:p>
            <w:pPr>
              <w:pStyle w:val="Compact"/>
              <w:jc w:val="left"/>
            </w:pPr>
            <w:r>
              <w:t xml:space="preserve">5</w:t>
            </w:r>
          </w:p>
        </w:tc>
        <w:tc>
          <w:tcPr/>
          <w:p>
            <w:pPr>
              <w:pStyle w:val="Compact"/>
              <w:jc w:val="left"/>
            </w:pPr>
            <w:r>
              <w:t xml:space="preserve">Gender Equality</w:t>
            </w:r>
          </w:p>
        </w:tc>
        <w:tc>
          <w:tcPr/>
          <w:p>
            <w:pPr>
              <w:pStyle w:val="Compact"/>
              <w:jc w:val="right"/>
            </w:pPr>
            <w:r>
              <w:t xml:space="preserve">0.041</w:t>
            </w:r>
          </w:p>
        </w:tc>
        <w:tc>
          <w:tcPr/>
          <w:p>
            <w:pPr>
              <w:pStyle w:val="Compact"/>
              <w:jc w:val="right"/>
            </w:pPr>
            <w:r>
              <w:t xml:space="preserve">0.063</w:t>
            </w:r>
          </w:p>
        </w:tc>
        <w:tc>
          <w:tcPr/>
          <w:p>
            <w:pPr>
              <w:pStyle w:val="Compact"/>
              <w:jc w:val="right"/>
            </w:pPr>
            <w:r>
              <w:t xml:space="preserve">-0.022</w:t>
            </w:r>
          </w:p>
        </w:tc>
        <w:tc>
          <w:tcPr/>
          <w:p>
            <w:pPr>
              <w:pStyle w:val="Compact"/>
              <w:jc w:val="right"/>
            </w:pPr>
            <w:r>
              <w:t xml:space="preserve">3.9</w:t>
            </w:r>
          </w:p>
        </w:tc>
        <w:tc>
          <w:tcPr/>
          <w:p>
            <w:pPr>
              <w:pStyle w:val="Compact"/>
              <w:jc w:val="right"/>
            </w:pPr>
            <w:r>
              <w:t xml:space="preserve">-3.9</w:t>
            </w:r>
          </w:p>
        </w:tc>
        <w:tc>
          <w:tcPr/>
          <w:p>
            <w:pPr>
              <w:pStyle w:val="Compact"/>
              <w:jc w:val="right"/>
            </w:pPr>
            <w:r>
              <w:t xml:space="preserve">1.5</w:t>
            </w:r>
          </w:p>
        </w:tc>
        <w:tc>
          <w:tcPr/>
          <w:p>
            <w:pPr>
              <w:pStyle w:val="Compact"/>
              <w:jc w:val="right"/>
            </w:pPr>
            <w:r>
              <w:t xml:space="preserve">5.4</w:t>
            </w:r>
          </w:p>
        </w:tc>
      </w:tr>
      <w:tr>
        <w:tc>
          <w:tcPr/>
          <w:p>
            <w:pPr>
              <w:pStyle w:val="Compact"/>
              <w:jc w:val="left"/>
            </w:pPr>
            <w:r>
              <w:t xml:space="preserve">6</w:t>
            </w:r>
          </w:p>
        </w:tc>
        <w:tc>
          <w:tcPr/>
          <w:p>
            <w:pPr>
              <w:pStyle w:val="Compact"/>
              <w:jc w:val="left"/>
            </w:pPr>
            <w:r>
              <w:t xml:space="preserve">Clean Water</w:t>
            </w:r>
          </w:p>
        </w:tc>
        <w:tc>
          <w:tcPr/>
          <w:p>
            <w:pPr>
              <w:pStyle w:val="Compact"/>
              <w:jc w:val="right"/>
            </w:pPr>
            <w:r>
              <w:t xml:space="preserve">0.045</w:t>
            </w:r>
          </w:p>
        </w:tc>
        <w:tc>
          <w:tcPr/>
          <w:p>
            <w:pPr>
              <w:pStyle w:val="Compact"/>
              <w:jc w:val="right"/>
            </w:pPr>
            <w:r>
              <w:t xml:space="preserve">0.028</w:t>
            </w:r>
          </w:p>
        </w:tc>
        <w:tc>
          <w:tcPr/>
          <w:p>
            <w:pPr>
              <w:pStyle w:val="Compact"/>
              <w:jc w:val="right"/>
            </w:pPr>
            <w:r>
              <w:t xml:space="preserve">+0.017</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3.6</w:t>
            </w:r>
          </w:p>
        </w:tc>
      </w:tr>
      <w:tr>
        <w:tc>
          <w:tcPr/>
          <w:p>
            <w:pPr>
              <w:pStyle w:val="Compact"/>
              <w:jc w:val="left"/>
            </w:pPr>
            <w:r>
              <w:t xml:space="preserve">7</w:t>
            </w:r>
          </w:p>
        </w:tc>
        <w:tc>
          <w:tcPr/>
          <w:p>
            <w:pPr>
              <w:pStyle w:val="Compact"/>
              <w:jc w:val="left"/>
            </w:pPr>
            <w:r>
              <w:t xml:space="preserve">Clean Energy</w:t>
            </w:r>
          </w:p>
        </w:tc>
        <w:tc>
          <w:tcPr/>
          <w:p>
            <w:pPr>
              <w:pStyle w:val="Compact"/>
              <w:jc w:val="right"/>
            </w:pPr>
            <w:r>
              <w:t xml:space="preserve">0.052</w:t>
            </w:r>
          </w:p>
        </w:tc>
        <w:tc>
          <w:tcPr/>
          <w:p>
            <w:pPr>
              <w:pStyle w:val="Compact"/>
              <w:jc w:val="right"/>
            </w:pPr>
            <w:r>
              <w:t xml:space="preserve">0.042</w:t>
            </w:r>
          </w:p>
        </w:tc>
        <w:tc>
          <w:tcPr/>
          <w:p>
            <w:pPr>
              <w:pStyle w:val="Compact"/>
              <w:jc w:val="right"/>
            </w:pPr>
            <w:r>
              <w:t xml:space="preserve">+0.010</w:t>
            </w:r>
          </w:p>
        </w:tc>
        <w:tc>
          <w:tcPr/>
          <w:p>
            <w:pPr>
              <w:pStyle w:val="Compact"/>
              <w:jc w:val="right"/>
            </w:pPr>
            <w:r>
              <w:t xml:space="preserve">0.6</w:t>
            </w:r>
          </w:p>
        </w:tc>
        <w:tc>
          <w:tcPr/>
          <w:p>
            <w:pPr>
              <w:pStyle w:val="Compact"/>
              <w:jc w:val="right"/>
            </w:pPr>
            <w:r>
              <w:t xml:space="preserve">-0.6</w:t>
            </w:r>
          </w:p>
        </w:tc>
        <w:tc>
          <w:tcPr/>
          <w:p>
            <w:pPr>
              <w:pStyle w:val="Compact"/>
              <w:jc w:val="right"/>
            </w:pPr>
            <w:r>
              <w:t xml:space="preserve">3.5</w:t>
            </w:r>
          </w:p>
        </w:tc>
        <w:tc>
          <w:tcPr/>
          <w:p>
            <w:pPr>
              <w:pStyle w:val="Compact"/>
              <w:jc w:val="right"/>
            </w:pPr>
            <w:r>
              <w:t xml:space="preserve">4.2</w:t>
            </w:r>
          </w:p>
        </w:tc>
      </w:tr>
      <w:tr>
        <w:tc>
          <w:tcPr/>
          <w:p>
            <w:pPr>
              <w:pStyle w:val="Compact"/>
              <w:jc w:val="left"/>
            </w:pPr>
            <w:r>
              <w:t xml:space="preserve">8</w:t>
            </w:r>
          </w:p>
        </w:tc>
        <w:tc>
          <w:tcPr/>
          <w:p>
            <w:pPr>
              <w:pStyle w:val="Compact"/>
              <w:jc w:val="left"/>
            </w:pPr>
            <w:r>
              <w:t xml:space="preserve">Decent Work</w:t>
            </w:r>
          </w:p>
        </w:tc>
        <w:tc>
          <w:tcPr/>
          <w:p>
            <w:pPr>
              <w:pStyle w:val="Compact"/>
              <w:jc w:val="right"/>
            </w:pPr>
            <w:r>
              <w:t xml:space="preserve">0.033</w:t>
            </w:r>
          </w:p>
        </w:tc>
        <w:tc>
          <w:tcPr/>
          <w:p>
            <w:pPr>
              <w:pStyle w:val="Compact"/>
              <w:jc w:val="right"/>
            </w:pPr>
            <w:r>
              <w:t xml:space="preserve">0.030</w:t>
            </w:r>
          </w:p>
        </w:tc>
        <w:tc>
          <w:tcPr/>
          <w:p>
            <w:pPr>
              <w:pStyle w:val="Compact"/>
              <w:jc w:val="right"/>
            </w:pPr>
            <w:r>
              <w:t xml:space="preserve">+0.004</w:t>
            </w:r>
          </w:p>
        </w:tc>
        <w:tc>
          <w:tcPr/>
          <w:p>
            <w:pPr>
              <w:pStyle w:val="Compact"/>
              <w:jc w:val="right"/>
            </w:pPr>
            <w:r>
              <w:t xml:space="preserve">3.7</w:t>
            </w:r>
          </w:p>
        </w:tc>
        <w:tc>
          <w:tcPr/>
          <w:p>
            <w:pPr>
              <w:pStyle w:val="Compact"/>
              <w:jc w:val="right"/>
            </w:pPr>
            <w:r>
              <w:t xml:space="preserve">-3.7</w:t>
            </w:r>
          </w:p>
        </w:tc>
        <w:tc>
          <w:tcPr/>
          <w:p>
            <w:pPr>
              <w:pStyle w:val="Compact"/>
              <w:jc w:val="right"/>
            </w:pPr>
            <w:r>
              <w:t xml:space="preserve">0.8</w:t>
            </w:r>
          </w:p>
        </w:tc>
        <w:tc>
          <w:tcPr/>
          <w:p>
            <w:pPr>
              <w:pStyle w:val="Compact"/>
              <w:jc w:val="right"/>
            </w:pPr>
            <w:r>
              <w:t xml:space="preserve">4.5</w:t>
            </w:r>
          </w:p>
        </w:tc>
      </w:tr>
      <w:tr>
        <w:tc>
          <w:tcPr/>
          <w:p>
            <w:pPr>
              <w:pStyle w:val="Compact"/>
              <w:jc w:val="left"/>
            </w:pPr>
            <w:r>
              <w:t xml:space="preserve">9</w:t>
            </w:r>
          </w:p>
        </w:tc>
        <w:tc>
          <w:tcPr/>
          <w:p>
            <w:pPr>
              <w:pStyle w:val="Compact"/>
              <w:jc w:val="left"/>
            </w:pPr>
            <w:r>
              <w:t xml:space="preserve">Innovation</w:t>
            </w:r>
          </w:p>
        </w:tc>
        <w:tc>
          <w:tcPr/>
          <w:p>
            <w:pPr>
              <w:pStyle w:val="Compact"/>
              <w:jc w:val="right"/>
            </w:pPr>
            <w:r>
              <w:t xml:space="preserve">0.045</w:t>
            </w:r>
          </w:p>
        </w:tc>
        <w:tc>
          <w:tcPr/>
          <w:p>
            <w:pPr>
              <w:pStyle w:val="Compact"/>
              <w:jc w:val="right"/>
            </w:pPr>
            <w:r>
              <w:t xml:space="preserve">0.035</w:t>
            </w:r>
          </w:p>
        </w:tc>
        <w:tc>
          <w:tcPr/>
          <w:p>
            <w:pPr>
              <w:pStyle w:val="Compact"/>
              <w:jc w:val="right"/>
            </w:pPr>
            <w:r>
              <w:t xml:space="preserve">+0.010</w:t>
            </w:r>
          </w:p>
        </w:tc>
        <w:tc>
          <w:tcPr/>
          <w:p>
            <w:pPr>
              <w:pStyle w:val="Compact"/>
              <w:jc w:val="right"/>
            </w:pPr>
            <w:r>
              <w:t xml:space="preserve">17.6</w:t>
            </w:r>
          </w:p>
        </w:tc>
        <w:tc>
          <w:tcPr/>
          <w:p>
            <w:pPr>
              <w:pStyle w:val="Compact"/>
              <w:jc w:val="right"/>
            </w:pPr>
            <w:r>
              <w:t xml:space="preserve">+17.6</w:t>
            </w:r>
          </w:p>
        </w:tc>
        <w:tc>
          <w:tcPr/>
          <w:p>
            <w:pPr>
              <w:pStyle w:val="Compact"/>
              <w:jc w:val="right"/>
            </w:pPr>
            <w:r>
              <w:t xml:space="preserve">21.4</w:t>
            </w:r>
          </w:p>
        </w:tc>
        <w:tc>
          <w:tcPr/>
          <w:p>
            <w:pPr>
              <w:pStyle w:val="Compact"/>
              <w:jc w:val="right"/>
            </w:pPr>
            <w:r>
              <w:t xml:space="preserve">3.8</w:t>
            </w:r>
          </w:p>
        </w:tc>
      </w:tr>
      <w:tr>
        <w:tc>
          <w:tcPr/>
          <w:p>
            <w:pPr>
              <w:pStyle w:val="Compact"/>
              <w:jc w:val="left"/>
            </w:pPr>
            <w:r>
              <w:t xml:space="preserve">10</w:t>
            </w:r>
          </w:p>
        </w:tc>
        <w:tc>
          <w:tcPr/>
          <w:p>
            <w:pPr>
              <w:pStyle w:val="Compact"/>
              <w:jc w:val="left"/>
            </w:pPr>
            <w:r>
              <w:t xml:space="preserve">Reduced Ineq.</w:t>
            </w:r>
          </w:p>
        </w:tc>
        <w:tc>
          <w:tcPr/>
          <w:p>
            <w:pPr>
              <w:pStyle w:val="Compact"/>
              <w:jc w:val="right"/>
            </w:pPr>
            <w:r>
              <w:t xml:space="preserve">0.047</w:t>
            </w:r>
          </w:p>
        </w:tc>
        <w:tc>
          <w:tcPr/>
          <w:p>
            <w:pPr>
              <w:pStyle w:val="Compact"/>
              <w:jc w:val="right"/>
            </w:pPr>
            <w:r>
              <w:t xml:space="preserve">0.043</w:t>
            </w:r>
          </w:p>
        </w:tc>
        <w:tc>
          <w:tcPr/>
          <w:p>
            <w:pPr>
              <w:pStyle w:val="Compact"/>
              <w:jc w:val="right"/>
            </w:pPr>
            <w:r>
              <w:t xml:space="preserve">+0.004</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0.8</w:t>
            </w:r>
          </w:p>
        </w:tc>
        <w:tc>
          <w:tcPr/>
          <w:p>
            <w:pPr>
              <w:pStyle w:val="Compact"/>
              <w:jc w:val="right"/>
            </w:pPr>
            <w:r>
              <w:t xml:space="preserve">2.4</w:t>
            </w:r>
          </w:p>
        </w:tc>
      </w:tr>
      <w:tr>
        <w:tc>
          <w:tcPr/>
          <w:p>
            <w:pPr>
              <w:pStyle w:val="Compact"/>
              <w:jc w:val="left"/>
            </w:pPr>
            <w:r>
              <w:t xml:space="preserve">11</w:t>
            </w:r>
          </w:p>
        </w:tc>
        <w:tc>
          <w:tcPr/>
          <w:p>
            <w:pPr>
              <w:pStyle w:val="Compact"/>
              <w:jc w:val="left"/>
            </w:pPr>
            <w:r>
              <w:t xml:space="preserve">Sust. Cities</w:t>
            </w:r>
          </w:p>
        </w:tc>
        <w:tc>
          <w:tcPr/>
          <w:p>
            <w:pPr>
              <w:pStyle w:val="Compact"/>
              <w:jc w:val="right"/>
            </w:pPr>
            <w:r>
              <w:t xml:space="preserve">0.052</w:t>
            </w:r>
          </w:p>
        </w:tc>
        <w:tc>
          <w:tcPr/>
          <w:p>
            <w:pPr>
              <w:pStyle w:val="Compact"/>
              <w:jc w:val="right"/>
            </w:pPr>
            <w:r>
              <w:t xml:space="preserve">0.054</w:t>
            </w:r>
          </w:p>
        </w:tc>
        <w:tc>
          <w:tcPr/>
          <w:p>
            <w:pPr>
              <w:pStyle w:val="Compact"/>
              <w:jc w:val="right"/>
            </w:pPr>
            <w:r>
              <w:t xml:space="preserve">-0.001</w:t>
            </w:r>
          </w:p>
        </w:tc>
        <w:tc>
          <w:tcPr/>
          <w:p>
            <w:pPr>
              <w:pStyle w:val="Compact"/>
              <w:jc w:val="right"/>
            </w:pPr>
            <w:r>
              <w:t xml:space="preserve">1.8</w:t>
            </w:r>
          </w:p>
        </w:tc>
        <w:tc>
          <w:tcPr/>
          <w:p>
            <w:pPr>
              <w:pStyle w:val="Compact"/>
              <w:jc w:val="right"/>
            </w:pPr>
            <w:r>
              <w:t xml:space="preserve">-1.8</w:t>
            </w:r>
          </w:p>
        </w:tc>
        <w:tc>
          <w:tcPr/>
          <w:p>
            <w:pPr>
              <w:pStyle w:val="Compact"/>
              <w:jc w:val="right"/>
            </w:pPr>
            <w:r>
              <w:t xml:space="preserve">4.1</w:t>
            </w:r>
          </w:p>
        </w:tc>
        <w:tc>
          <w:tcPr/>
          <w:p>
            <w:pPr>
              <w:pStyle w:val="Compact"/>
              <w:jc w:val="right"/>
            </w:pPr>
            <w:r>
              <w:t xml:space="preserve">5.9</w:t>
            </w:r>
          </w:p>
        </w:tc>
      </w:tr>
      <w:tr>
        <w:tc>
          <w:tcPr/>
          <w:p>
            <w:pPr>
              <w:pStyle w:val="Compact"/>
              <w:jc w:val="left"/>
            </w:pPr>
            <w:r>
              <w:t xml:space="preserve">12</w:t>
            </w:r>
          </w:p>
        </w:tc>
        <w:tc>
          <w:tcPr/>
          <w:p>
            <w:pPr>
              <w:pStyle w:val="Compact"/>
              <w:jc w:val="left"/>
            </w:pPr>
            <w:r>
              <w:t xml:space="preserve">Consumption</w:t>
            </w:r>
          </w:p>
        </w:tc>
        <w:tc>
          <w:tcPr/>
          <w:p>
            <w:pPr>
              <w:pStyle w:val="Compact"/>
              <w:jc w:val="right"/>
            </w:pPr>
            <w:r>
              <w:t xml:space="preserve">0.039</w:t>
            </w:r>
          </w:p>
        </w:tc>
        <w:tc>
          <w:tcPr/>
          <w:p>
            <w:pPr>
              <w:pStyle w:val="Compact"/>
              <w:jc w:val="right"/>
            </w:pPr>
            <w:r>
              <w:t xml:space="preserve">0.024</w:t>
            </w:r>
          </w:p>
        </w:tc>
        <w:tc>
          <w:tcPr/>
          <w:p>
            <w:pPr>
              <w:pStyle w:val="Compact"/>
              <w:jc w:val="right"/>
            </w:pPr>
            <w:r>
              <w:t xml:space="preserve">+0.014</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1.1</w:t>
            </w:r>
          </w:p>
        </w:tc>
        <w:tc>
          <w:tcPr/>
          <w:p>
            <w:pPr>
              <w:pStyle w:val="Compact"/>
              <w:jc w:val="right"/>
            </w:pPr>
            <w:r>
              <w:t xml:space="preserve">3.5</w:t>
            </w:r>
          </w:p>
        </w:tc>
      </w:tr>
      <w:tr>
        <w:tc>
          <w:tcPr/>
          <w:p>
            <w:pPr>
              <w:pStyle w:val="Compact"/>
              <w:jc w:val="left"/>
            </w:pPr>
            <w:r>
              <w:t xml:space="preserve">13</w:t>
            </w:r>
          </w:p>
        </w:tc>
        <w:tc>
          <w:tcPr/>
          <w:p>
            <w:pPr>
              <w:pStyle w:val="Compact"/>
              <w:jc w:val="left"/>
            </w:pPr>
            <w:r>
              <w:t xml:space="preserve">Climate</w:t>
            </w:r>
          </w:p>
        </w:tc>
        <w:tc>
          <w:tcPr/>
          <w:p>
            <w:pPr>
              <w:pStyle w:val="Compact"/>
              <w:jc w:val="right"/>
            </w:pPr>
            <w:r>
              <w:t xml:space="preserve">0.053</w:t>
            </w:r>
          </w:p>
        </w:tc>
        <w:tc>
          <w:tcPr/>
          <w:p>
            <w:pPr>
              <w:pStyle w:val="Compact"/>
              <w:jc w:val="right"/>
            </w:pPr>
            <w:r>
              <w:t xml:space="preserve">0.056</w:t>
            </w:r>
          </w:p>
        </w:tc>
        <w:tc>
          <w:tcPr/>
          <w:p>
            <w:pPr>
              <w:pStyle w:val="Compact"/>
              <w:jc w:val="right"/>
            </w:pPr>
            <w:r>
              <w:t xml:space="preserve">-0.003</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4.0</w:t>
            </w:r>
          </w:p>
        </w:tc>
        <w:tc>
          <w:tcPr/>
          <w:p>
            <w:pPr>
              <w:pStyle w:val="Compact"/>
              <w:jc w:val="right"/>
            </w:pPr>
            <w:r>
              <w:t xml:space="preserve">9.9</w:t>
            </w:r>
          </w:p>
        </w:tc>
      </w:tr>
      <w:tr>
        <w:tc>
          <w:tcPr/>
          <w:p>
            <w:pPr>
              <w:pStyle w:val="Compact"/>
              <w:jc w:val="left"/>
            </w:pPr>
            <w:r>
              <w:t xml:space="preserve">14</w:t>
            </w:r>
          </w:p>
        </w:tc>
        <w:tc>
          <w:tcPr/>
          <w:p>
            <w:pPr>
              <w:pStyle w:val="Compact"/>
              <w:jc w:val="left"/>
            </w:pPr>
            <w:r>
              <w:t xml:space="preserve">Life Below Water</w:t>
            </w:r>
          </w:p>
        </w:tc>
        <w:tc>
          <w:tcPr/>
          <w:p>
            <w:pPr>
              <w:pStyle w:val="Compact"/>
              <w:jc w:val="right"/>
            </w:pPr>
            <w:r>
              <w:t xml:space="preserve">0.044</w:t>
            </w:r>
          </w:p>
        </w:tc>
        <w:tc>
          <w:tcPr/>
          <w:p>
            <w:pPr>
              <w:pStyle w:val="Compact"/>
              <w:jc w:val="right"/>
            </w:pPr>
            <w:r>
              <w:t xml:space="preserve">0.039</w:t>
            </w:r>
          </w:p>
        </w:tc>
        <w:tc>
          <w:tcPr/>
          <w:p>
            <w:pPr>
              <w:pStyle w:val="Compact"/>
              <w:jc w:val="right"/>
            </w:pPr>
            <w:r>
              <w:t xml:space="preserve">+0.005</w:t>
            </w:r>
          </w:p>
        </w:tc>
        <w:tc>
          <w:tcPr/>
          <w:p>
            <w:pPr>
              <w:pStyle w:val="Compact"/>
              <w:jc w:val="right"/>
            </w:pPr>
            <w:r>
              <w:t xml:space="preserve">2.8</w:t>
            </w:r>
          </w:p>
        </w:tc>
        <w:tc>
          <w:tcPr/>
          <w:p>
            <w:pPr>
              <w:pStyle w:val="Compact"/>
              <w:jc w:val="right"/>
            </w:pPr>
            <w:r>
              <w:t xml:space="preserve">-2.8</w:t>
            </w:r>
          </w:p>
        </w:tc>
        <w:tc>
          <w:tcPr/>
          <w:p>
            <w:pPr>
              <w:pStyle w:val="Compact"/>
              <w:jc w:val="right"/>
            </w:pPr>
            <w:r>
              <w:t xml:space="preserve">0.9</w:t>
            </w:r>
          </w:p>
        </w:tc>
        <w:tc>
          <w:tcPr/>
          <w:p>
            <w:pPr>
              <w:pStyle w:val="Compact"/>
              <w:jc w:val="right"/>
            </w:pPr>
            <w:r>
              <w:t xml:space="preserve">3.7</w:t>
            </w:r>
          </w:p>
        </w:tc>
      </w:tr>
      <w:tr>
        <w:tc>
          <w:tcPr/>
          <w:p>
            <w:pPr>
              <w:pStyle w:val="Compact"/>
              <w:jc w:val="left"/>
            </w:pPr>
            <w:r>
              <w:t xml:space="preserve">15</w:t>
            </w:r>
          </w:p>
        </w:tc>
        <w:tc>
          <w:tcPr/>
          <w:p>
            <w:pPr>
              <w:pStyle w:val="Compact"/>
              <w:jc w:val="left"/>
            </w:pPr>
            <w:r>
              <w:t xml:space="preserve">Life on Land</w:t>
            </w:r>
          </w:p>
        </w:tc>
        <w:tc>
          <w:tcPr/>
          <w:p>
            <w:pPr>
              <w:pStyle w:val="Compact"/>
              <w:jc w:val="right"/>
            </w:pPr>
            <w:r>
              <w:t xml:space="preserve">0.044</w:t>
            </w:r>
          </w:p>
        </w:tc>
        <w:tc>
          <w:tcPr/>
          <w:p>
            <w:pPr>
              <w:pStyle w:val="Compact"/>
              <w:jc w:val="right"/>
            </w:pPr>
            <w:r>
              <w:t xml:space="preserve">0.032</w:t>
            </w:r>
          </w:p>
        </w:tc>
        <w:tc>
          <w:tcPr/>
          <w:p>
            <w:pPr>
              <w:pStyle w:val="Compact"/>
              <w:jc w:val="right"/>
            </w:pPr>
            <w:r>
              <w:t xml:space="preserve">+0.012</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2.8</w:t>
            </w:r>
          </w:p>
        </w:tc>
        <w:tc>
          <w:tcPr/>
          <w:p>
            <w:pPr>
              <w:pStyle w:val="Compact"/>
              <w:jc w:val="right"/>
            </w:pPr>
            <w:r>
              <w:t xml:space="preserve">4.1</w:t>
            </w:r>
          </w:p>
        </w:tc>
      </w:tr>
      <w:tr>
        <w:tc>
          <w:tcPr/>
          <w:p>
            <w:pPr>
              <w:pStyle w:val="Compact"/>
              <w:jc w:val="left"/>
            </w:pPr>
            <w:r>
              <w:t xml:space="preserve">16</w:t>
            </w:r>
          </w:p>
        </w:tc>
        <w:tc>
          <w:tcPr/>
          <w:p>
            <w:pPr>
              <w:pStyle w:val="Compact"/>
              <w:jc w:val="left"/>
            </w:pPr>
            <w:r>
              <w:t xml:space="preserve">Peace &amp; Justice</w:t>
            </w:r>
          </w:p>
        </w:tc>
        <w:tc>
          <w:tcPr/>
          <w:p>
            <w:pPr>
              <w:pStyle w:val="Compact"/>
              <w:jc w:val="right"/>
            </w:pPr>
            <w:r>
              <w:t xml:space="preserve">0.040</w:t>
            </w:r>
          </w:p>
        </w:tc>
        <w:tc>
          <w:tcPr/>
          <w:p>
            <w:pPr>
              <w:pStyle w:val="Compact"/>
              <w:jc w:val="right"/>
            </w:pPr>
            <w:r>
              <w:t xml:space="preserve">0.078</w:t>
            </w:r>
          </w:p>
        </w:tc>
        <w:tc>
          <w:tcPr/>
          <w:p>
            <w:pPr>
              <w:pStyle w:val="Compact"/>
              <w:jc w:val="right"/>
            </w:pPr>
            <w:r>
              <w:t xml:space="preserve">-0.037</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11.6</w:t>
            </w:r>
          </w:p>
        </w:tc>
        <w:tc>
          <w:tcPr/>
          <w:p>
            <w:pPr>
              <w:pStyle w:val="Compact"/>
              <w:jc w:val="right"/>
            </w:pPr>
            <w:r>
              <w:t xml:space="preserve">20.7</w:t>
            </w:r>
          </w:p>
        </w:tc>
      </w:tr>
      <w:tr>
        <w:tc>
          <w:tcPr/>
          <w:p>
            <w:pPr>
              <w:pStyle w:val="Compact"/>
              <w:jc w:val="left"/>
            </w:pPr>
            <w:r>
              <w:t xml:space="preserve">17</w:t>
            </w:r>
          </w:p>
        </w:tc>
        <w:tc>
          <w:tcPr/>
          <w:p>
            <w:pPr>
              <w:pStyle w:val="Compact"/>
              <w:jc w:val="left"/>
            </w:pPr>
            <w:r>
              <w:t xml:space="preserve">Partnerships</w:t>
            </w:r>
          </w:p>
        </w:tc>
        <w:tc>
          <w:tcPr/>
          <w:p>
            <w:pPr>
              <w:pStyle w:val="Compact"/>
              <w:jc w:val="right"/>
            </w:pPr>
            <w:r>
              <w:t xml:space="preserve">0.023</w:t>
            </w:r>
          </w:p>
        </w:tc>
        <w:tc>
          <w:tcPr/>
          <w:p>
            <w:pPr>
              <w:pStyle w:val="Compact"/>
              <w:jc w:val="right"/>
            </w:pPr>
            <w:r>
              <w:t xml:space="preserve">0.041</w:t>
            </w:r>
          </w:p>
        </w:tc>
        <w:tc>
          <w:tcPr/>
          <w:p>
            <w:pPr>
              <w:pStyle w:val="Compact"/>
              <w:jc w:val="right"/>
            </w:pPr>
            <w:r>
              <w:t xml:space="preserve">-0.019</w:t>
            </w:r>
          </w:p>
        </w:tc>
        <w:tc>
          <w:tcPr/>
          <w:p>
            <w:pPr>
              <w:pStyle w:val="Compact"/>
              <w:jc w:val="right"/>
            </w:pPr>
            <w:r>
              <w:t xml:space="preserve">9.1</w:t>
            </w:r>
          </w:p>
        </w:tc>
        <w:tc>
          <w:tcPr/>
          <w:p>
            <w:pPr>
              <w:pStyle w:val="Compact"/>
              <w:jc w:val="right"/>
            </w:pPr>
            <w:r>
              <w:t xml:space="preserve">-9.1</w:t>
            </w:r>
          </w:p>
        </w:tc>
        <w:tc>
          <w:tcPr/>
          <w:p>
            <w:pPr>
              <w:pStyle w:val="Compact"/>
              <w:jc w:val="right"/>
            </w:pPr>
            <w:r>
              <w:t xml:space="preserve">0.2</w:t>
            </w:r>
          </w:p>
        </w:tc>
        <w:tc>
          <w:tcPr/>
          <w:p>
            <w:pPr>
              <w:pStyle w:val="Compact"/>
              <w:jc w:val="right"/>
            </w:pPr>
            <w:r>
              <w:t xml:space="preserve">9.3</w:t>
            </w:r>
          </w:p>
        </w:tc>
      </w:tr>
      <w:tr>
        <w:tc>
          <w:tcPr/>
          <w:p>
            <w:pPr>
              <w:pStyle w:val="Compact"/>
              <w:jc w:val="left"/>
            </w:pPr>
            <w:r>
              <w:t xml:space="preserve">Mean</w:t>
            </w:r>
          </w:p>
        </w:tc>
        <w:tc>
          <w:tcPr/>
          <w:p>
            <w:pPr>
              <w:pStyle w:val="Compact"/>
              <w:jc w:val="left"/>
            </w:pPr>
            <w:r>
              <w:t xml:space="preserve">—</w:t>
            </w:r>
          </w:p>
        </w:tc>
        <w:tc>
          <w:tcPr/>
          <w:p>
            <w:pPr>
              <w:pStyle w:val="Compact"/>
              <w:jc w:val="right"/>
            </w:pPr>
            <w:r>
              <w:t xml:space="preserve">0.043</w:t>
            </w:r>
          </w:p>
        </w:tc>
        <w:tc>
          <w:tcPr/>
          <w:p>
            <w:pPr>
              <w:pStyle w:val="Compact"/>
              <w:jc w:val="right"/>
            </w:pPr>
            <w:r>
              <w:t xml:space="preserve">0.041</w:t>
            </w:r>
          </w:p>
        </w:tc>
        <w:tc>
          <w:tcPr/>
          <w:p>
            <w:pPr>
              <w:pStyle w:val="Compact"/>
              <w:jc w:val="right"/>
            </w:pPr>
            <w:r>
              <w:t xml:space="preserve">+0.002</w:t>
            </w:r>
          </w:p>
        </w:tc>
        <w:tc>
          <w:tcPr/>
          <w:p>
            <w:pPr>
              <w:pStyle w:val="Compact"/>
              <w:jc w:val="right"/>
            </w:pPr>
            <w:r>
              <w:t xml:space="preserve">6.2</w:t>
            </w:r>
          </w:p>
        </w:tc>
        <w:tc>
          <w:tcPr/>
          <w:p>
            <w:pPr>
              <w:pStyle w:val="Compact"/>
              <w:jc w:val="right"/>
            </w:pPr>
            <w:r>
              <w:t xml:space="preserve">+0.0</w:t>
            </w:r>
          </w:p>
        </w:tc>
        <w:tc>
          <w:tcPr/>
          <w:p>
            <w:pPr>
              <w:pStyle w:val="Compact"/>
              <w:jc w:val="right"/>
            </w:pPr>
            <w:r>
              <w:t xml:space="preserve">5.9</w:t>
            </w:r>
          </w:p>
        </w:tc>
        <w:tc>
          <w:tcPr/>
          <w:p>
            <w:pPr>
              <w:pStyle w:val="Compact"/>
              <w:jc w:val="right"/>
            </w:pPr>
            <w:r>
              <w:t xml:space="preserve">5.9</w:t>
            </w:r>
          </w:p>
        </w:tc>
      </w:tr>
    </w:tbl>
    <w:bookmarkEnd w:id="135"/>
    <w:p>
      <w:pPr>
        <w:pStyle w:val="BodyText"/>
      </w:pPr>
      <w:r>
        <w:rPr>
          <w:iCs/>
          <w:i/>
        </w:rPr>
        <w:t xml:space="preserve">Notes:</w:t>
      </w:r>
      <w:r>
        <w:t xml:space="preserve"> </w:t>
      </w:r>
      <w:r>
        <w:t xml:space="preserve">Same structure as Table </w:t>
      </w:r>
      <w:hyperlink w:anchor="tab:register-decomposition">
        <w:r>
          <w:rPr>
            <w:rStyle w:val="Hyperlink"/>
          </w:rPr>
          <w:t xml:space="preserve">4</w:t>
        </w:r>
      </w:hyperlink>
      <w:r>
        <w:t xml:space="preserve">. Signed dom. = research %</w:t>
      </w:r>
      <w:r>
        <w:t xml:space="preserve"> </w:t>
      </w:r>
      <m:oMath>
        <m:r>
          <m:rPr>
            <m:sty m:val="p"/>
          </m:rPr>
          <m:t>−</m:t>
        </m:r>
      </m:oMath>
      <w:r>
        <w:t xml:space="preserve"> </w:t>
      </w:r>
      <w:r>
        <w:t xml:space="preserve">policy % (pp); Reg. Comp. = raw</w:t>
      </w:r>
      <w:r>
        <w:t xml:space="preserve"> </w:t>
      </w:r>
      <m:oMath>
        <m:r>
          <m:rPr>
            <m:sty m:val="p"/>
          </m:rPr>
          <m:t>−</m:t>
        </m:r>
      </m:oMath>
      <w:r>
        <w:t xml:space="preserve"> </w:t>
      </w:r>
      <w:r>
        <w:t xml:space="preserve">adjusted.</w:t>
      </w:r>
    </w:p>
    <w:bookmarkStart w:id="136" w:name="tab:app-cross-method-covgap"/>
    <w:p>
      <w:pPr>
        <w:pStyle w:val="TableCaption"/>
      </w:pPr>
      <w:r>
        <w:t xml:space="preserve">Coverage gap values across embedding architectures, classifier variants, and retrieval strategies.</w:t>
      </w:r>
    </w:p>
    <w:tbl>
      <w:tblPr>
        <w:tblStyle w:val="Table"/>
        <w:tblW w:type="auto" w:w="0"/>
        <w:tblLook w:firstRow="0" w:lastRow="0" w:firstColumn="0" w:lastColumn="0" w:noHBand="0" w:noVBand="0" w:val="0000"/>
        <w:jc w:val="start"/>
        <w:tblCaption w:val="Coverage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Coverage gap (%)</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4.1</w:t>
            </w:r>
          </w:p>
        </w:tc>
        <w:tc>
          <w:tcPr/>
          <w:p>
            <w:pPr>
              <w:pStyle w:val="Compact"/>
              <w:jc w:val="right"/>
            </w:pPr>
            <w:r>
              <w:t xml:space="preserve">4.5</w:t>
            </w:r>
          </w:p>
        </w:tc>
        <w:tc>
          <w:tcPr/>
          <w:p>
            <w:pPr>
              <w:pStyle w:val="Compact"/>
              <w:jc w:val="right"/>
            </w:pPr>
            <w:r>
              <w:t xml:space="preserve">3.8</w:t>
            </w:r>
          </w:p>
        </w:tc>
        <w:tc>
          <w:tcPr/>
          <w:p>
            <w:pPr>
              <w:pStyle w:val="Compact"/>
              <w:jc w:val="right"/>
            </w:pPr>
            <w:r>
              <w:t xml:space="preserve">4.1</w:t>
            </w:r>
          </w:p>
        </w:tc>
        <w:tc>
          <w:tcPr/>
          <w:p>
            <w:pPr>
              <w:pStyle w:val="Compact"/>
              <w:jc w:val="right"/>
            </w:pPr>
            <w:r>
              <w:t xml:space="preserve">4.1</w:t>
            </w:r>
          </w:p>
        </w:tc>
        <w:tc>
          <w:tcPr/>
          <w:p>
            <w:pPr>
              <w:pStyle w:val="Compact"/>
              <w:jc w:val="right"/>
            </w:pPr>
            <w:r>
              <w:t xml:space="preserve">5.1</w:t>
            </w:r>
          </w:p>
        </w:tc>
        <w:tc>
          <w:tcPr/>
          <w:p>
            <w:pPr>
              <w:pStyle w:val="Compact"/>
              <w:jc w:val="right"/>
            </w:pPr>
            <w:r>
              <w:t xml:space="preserve">5.6</w:t>
            </w:r>
          </w:p>
        </w:tc>
        <w:tc>
          <w:tcPr/>
          <w:p>
            <w:pPr>
              <w:pStyle w:val="Compact"/>
              <w:jc w:val="right"/>
            </w:pPr>
            <w:r>
              <w:t xml:space="preserve">3.9</w:t>
            </w:r>
          </w:p>
        </w:tc>
      </w:tr>
      <w:tr>
        <w:tc>
          <w:tcPr/>
          <w:p>
            <w:pPr>
              <w:pStyle w:val="Compact"/>
              <w:jc w:val="left"/>
            </w:pPr>
            <w:r>
              <w:t xml:space="preserve">2</w:t>
            </w:r>
          </w:p>
        </w:tc>
        <w:tc>
          <w:tcPr/>
          <w:p>
            <w:pPr>
              <w:pStyle w:val="Compact"/>
              <w:jc w:val="right"/>
            </w:pPr>
            <w:r>
              <w:t xml:space="preserve">1.9</w:t>
            </w:r>
          </w:p>
        </w:tc>
        <w:tc>
          <w:tcPr/>
          <w:p>
            <w:pPr>
              <w:pStyle w:val="Compact"/>
              <w:jc w:val="right"/>
            </w:pPr>
            <w:r>
              <w:t xml:space="preserve">1.5</w:t>
            </w:r>
          </w:p>
        </w:tc>
        <w:tc>
          <w:tcPr/>
          <w:p>
            <w:pPr>
              <w:pStyle w:val="Compact"/>
              <w:jc w:val="right"/>
            </w:pPr>
            <w:r>
              <w:t xml:space="preserve">0.7</w:t>
            </w:r>
          </w:p>
        </w:tc>
        <w:tc>
          <w:tcPr/>
          <w:p>
            <w:pPr>
              <w:pStyle w:val="Compact"/>
              <w:jc w:val="right"/>
            </w:pPr>
            <w:r>
              <w:t xml:space="preserve">2.1</w:t>
            </w:r>
          </w:p>
        </w:tc>
        <w:tc>
          <w:tcPr/>
          <w:p>
            <w:pPr>
              <w:pStyle w:val="Compact"/>
              <w:jc w:val="right"/>
            </w:pPr>
            <w:r>
              <w:t xml:space="preserve">2.3</w:t>
            </w:r>
          </w:p>
        </w:tc>
        <w:tc>
          <w:tcPr/>
          <w:p>
            <w:pPr>
              <w:pStyle w:val="Compact"/>
              <w:jc w:val="right"/>
            </w:pPr>
            <w:r>
              <w:t xml:space="preserve">2.6</w:t>
            </w:r>
          </w:p>
        </w:tc>
        <w:tc>
          <w:tcPr/>
          <w:p>
            <w:pPr>
              <w:pStyle w:val="Compact"/>
              <w:jc w:val="right"/>
            </w:pPr>
            <w:r>
              <w:t xml:space="preserve">2.9</w:t>
            </w:r>
          </w:p>
        </w:tc>
        <w:tc>
          <w:tcPr/>
          <w:p>
            <w:pPr>
              <w:pStyle w:val="Compact"/>
              <w:jc w:val="right"/>
            </w:pPr>
            <w:r>
              <w:t xml:space="preserve">2.5</w:t>
            </w:r>
          </w:p>
        </w:tc>
      </w:tr>
      <w:tr>
        <w:tc>
          <w:tcPr/>
          <w:p>
            <w:pPr>
              <w:pStyle w:val="Compact"/>
              <w:jc w:val="left"/>
            </w:pPr>
            <w:r>
              <w:t xml:space="preserve">3</w:t>
            </w:r>
          </w:p>
        </w:tc>
        <w:tc>
          <w:tcPr/>
          <w:p>
            <w:pPr>
              <w:pStyle w:val="Compact"/>
              <w:jc w:val="right"/>
            </w:pPr>
            <w:r>
              <w:t xml:space="preserve">21.0</w:t>
            </w:r>
          </w:p>
        </w:tc>
        <w:tc>
          <w:tcPr/>
          <w:p>
            <w:pPr>
              <w:pStyle w:val="Compact"/>
              <w:jc w:val="right"/>
            </w:pPr>
            <w:r>
              <w:t xml:space="preserve">16.8</w:t>
            </w:r>
          </w:p>
        </w:tc>
        <w:tc>
          <w:tcPr/>
          <w:p>
            <w:pPr>
              <w:pStyle w:val="Compact"/>
              <w:jc w:val="right"/>
            </w:pPr>
            <w:r>
              <w:t xml:space="preserve">17.2</w:t>
            </w:r>
          </w:p>
        </w:tc>
        <w:tc>
          <w:tcPr/>
          <w:p>
            <w:pPr>
              <w:pStyle w:val="Compact"/>
              <w:jc w:val="right"/>
            </w:pPr>
            <w:r>
              <w:t xml:space="preserve">22.0</w:t>
            </w:r>
          </w:p>
        </w:tc>
        <w:tc>
          <w:tcPr/>
          <w:p>
            <w:pPr>
              <w:pStyle w:val="Compact"/>
              <w:jc w:val="right"/>
            </w:pPr>
            <w:r>
              <w:t xml:space="preserve">22.4</w:t>
            </w:r>
          </w:p>
        </w:tc>
        <w:tc>
          <w:tcPr/>
          <w:p>
            <w:pPr>
              <w:pStyle w:val="Compact"/>
              <w:jc w:val="right"/>
            </w:pPr>
            <w:r>
              <w:t xml:space="preserve">22.3</w:t>
            </w:r>
          </w:p>
        </w:tc>
        <w:tc>
          <w:tcPr/>
          <w:p>
            <w:pPr>
              <w:pStyle w:val="Compact"/>
              <w:jc w:val="right"/>
            </w:pPr>
            <w:r>
              <w:t xml:space="preserve">23.2</w:t>
            </w:r>
          </w:p>
        </w:tc>
        <w:tc>
          <w:tcPr/>
          <w:p>
            <w:pPr>
              <w:pStyle w:val="Compact"/>
              <w:jc w:val="right"/>
            </w:pPr>
            <w:r>
              <w:t xml:space="preserve">21.0</w:t>
            </w:r>
          </w:p>
        </w:tc>
      </w:tr>
      <w:tr>
        <w:tc>
          <w:tcPr/>
          <w:p>
            <w:pPr>
              <w:pStyle w:val="Compact"/>
              <w:jc w:val="left"/>
            </w:pPr>
            <w:r>
              <w:t xml:space="preserve">4</w:t>
            </w:r>
          </w:p>
        </w:tc>
        <w:tc>
          <w:tcPr/>
          <w:p>
            <w:pPr>
              <w:pStyle w:val="Compact"/>
              <w:jc w:val="right"/>
            </w:pPr>
            <w:r>
              <w:t xml:space="preserve">10.8</w:t>
            </w:r>
          </w:p>
        </w:tc>
        <w:tc>
          <w:tcPr/>
          <w:p>
            <w:pPr>
              <w:pStyle w:val="Compact"/>
              <w:jc w:val="right"/>
            </w:pPr>
            <w:r>
              <w:t xml:space="preserve">8.9</w:t>
            </w:r>
          </w:p>
        </w:tc>
        <w:tc>
          <w:tcPr/>
          <w:p>
            <w:pPr>
              <w:pStyle w:val="Compact"/>
              <w:jc w:val="right"/>
            </w:pPr>
            <w:r>
              <w:t xml:space="preserve">11.7</w:t>
            </w:r>
          </w:p>
        </w:tc>
        <w:tc>
          <w:tcPr/>
          <w:p>
            <w:pPr>
              <w:pStyle w:val="Compact"/>
              <w:jc w:val="right"/>
            </w:pPr>
            <w:r>
              <w:t xml:space="preserve">8.9</w:t>
            </w:r>
          </w:p>
        </w:tc>
        <w:tc>
          <w:tcPr/>
          <w:p>
            <w:pPr>
              <w:pStyle w:val="Compact"/>
              <w:jc w:val="right"/>
            </w:pPr>
            <w:r>
              <w:t xml:space="preserve">8.8</w:t>
            </w:r>
          </w:p>
        </w:tc>
        <w:tc>
          <w:tcPr/>
          <w:p>
            <w:pPr>
              <w:pStyle w:val="Compact"/>
              <w:jc w:val="right"/>
            </w:pPr>
            <w:r>
              <w:t xml:space="preserve">12.8</w:t>
            </w:r>
          </w:p>
        </w:tc>
        <w:tc>
          <w:tcPr/>
          <w:p>
            <w:pPr>
              <w:pStyle w:val="Compact"/>
              <w:jc w:val="right"/>
            </w:pPr>
            <w:r>
              <w:t xml:space="preserve">12.3</w:t>
            </w:r>
          </w:p>
        </w:tc>
        <w:tc>
          <w:tcPr/>
          <w:p>
            <w:pPr>
              <w:pStyle w:val="Compact"/>
              <w:jc w:val="right"/>
            </w:pPr>
            <w:r>
              <w:t xml:space="preserve">3.5</w:t>
            </w:r>
          </w:p>
        </w:tc>
      </w:tr>
      <w:tr>
        <w:tc>
          <w:tcPr/>
          <w:p>
            <w:pPr>
              <w:pStyle w:val="Compact"/>
              <w:jc w:val="left"/>
            </w:pPr>
            <w:r>
              <w:t xml:space="preserve">5</w:t>
            </w:r>
          </w:p>
        </w:tc>
        <w:tc>
          <w:tcPr/>
          <w:p>
            <w:pPr>
              <w:pStyle w:val="Compact"/>
              <w:jc w:val="right"/>
            </w:pPr>
            <w:r>
              <w:t xml:space="preserve">3.1</w:t>
            </w:r>
          </w:p>
        </w:tc>
        <w:tc>
          <w:tcPr/>
          <w:p>
            <w:pPr>
              <w:pStyle w:val="Compact"/>
              <w:jc w:val="right"/>
            </w:pPr>
            <w:r>
              <w:t xml:space="preserve">2.2</w:t>
            </w:r>
          </w:p>
        </w:tc>
        <w:tc>
          <w:tcPr/>
          <w:p>
            <w:pPr>
              <w:pStyle w:val="Compact"/>
              <w:jc w:val="right"/>
            </w:pPr>
            <w:r>
              <w:t xml:space="preserve">2.6</w:t>
            </w:r>
          </w:p>
        </w:tc>
        <w:tc>
          <w:tcPr/>
          <w:p>
            <w:pPr>
              <w:pStyle w:val="Compact"/>
              <w:jc w:val="right"/>
            </w:pPr>
            <w:r>
              <w:t xml:space="preserve">1.7</w:t>
            </w:r>
          </w:p>
        </w:tc>
        <w:tc>
          <w:tcPr/>
          <w:p>
            <w:pPr>
              <w:pStyle w:val="Compact"/>
              <w:jc w:val="right"/>
            </w:pPr>
            <w:r>
              <w:t xml:space="preserve">2.4</w:t>
            </w:r>
          </w:p>
        </w:tc>
        <w:tc>
          <w:tcPr/>
          <w:p>
            <w:pPr>
              <w:pStyle w:val="Compact"/>
              <w:jc w:val="right"/>
            </w:pPr>
            <w:r>
              <w:t xml:space="preserve">3.9</w:t>
            </w:r>
          </w:p>
        </w:tc>
        <w:tc>
          <w:tcPr/>
          <w:p>
            <w:pPr>
              <w:pStyle w:val="Compact"/>
              <w:jc w:val="right"/>
            </w:pPr>
            <w:r>
              <w:t xml:space="preserve">3.4</w:t>
            </w:r>
          </w:p>
        </w:tc>
        <w:tc>
          <w:tcPr/>
          <w:p>
            <w:pPr>
              <w:pStyle w:val="Compact"/>
              <w:jc w:val="right"/>
            </w:pPr>
            <w:r>
              <w:t xml:space="preserve">3.3</w:t>
            </w:r>
          </w:p>
        </w:tc>
      </w:tr>
      <w:tr>
        <w:tc>
          <w:tcPr/>
          <w:p>
            <w:pPr>
              <w:pStyle w:val="Compact"/>
              <w:jc w:val="left"/>
            </w:pPr>
            <w:r>
              <w:t xml:space="preserve">6</w:t>
            </w:r>
          </w:p>
        </w:tc>
        <w:tc>
          <w:tcPr/>
          <w:p>
            <w:pPr>
              <w:pStyle w:val="Compact"/>
              <w:jc w:val="right"/>
            </w:pPr>
            <w:r>
              <w:t xml:space="preserve">2.7</w:t>
            </w:r>
          </w:p>
        </w:tc>
        <w:tc>
          <w:tcPr/>
          <w:p>
            <w:pPr>
              <w:pStyle w:val="Compact"/>
              <w:jc w:val="right"/>
            </w:pPr>
            <w:r>
              <w:t xml:space="preserve">2.6</w:t>
            </w:r>
          </w:p>
        </w:tc>
        <w:tc>
          <w:tcPr/>
          <w:p>
            <w:pPr>
              <w:pStyle w:val="Compact"/>
              <w:jc w:val="right"/>
            </w:pPr>
            <w:r>
              <w:t xml:space="preserve">1.1</w:t>
            </w:r>
          </w:p>
        </w:tc>
        <w:tc>
          <w:tcPr/>
          <w:p>
            <w:pPr>
              <w:pStyle w:val="Compact"/>
              <w:jc w:val="right"/>
            </w:pPr>
            <w:r>
              <w:t xml:space="preserve">2.3</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2.4</w:t>
            </w:r>
          </w:p>
        </w:tc>
        <w:tc>
          <w:tcPr/>
          <w:p>
            <w:pPr>
              <w:pStyle w:val="Compact"/>
              <w:jc w:val="right"/>
            </w:pPr>
            <w:r>
              <w:t xml:space="preserve">2.9</w:t>
            </w:r>
          </w:p>
        </w:tc>
      </w:tr>
      <w:tr>
        <w:tc>
          <w:tcPr/>
          <w:p>
            <w:pPr>
              <w:pStyle w:val="Compact"/>
              <w:jc w:val="left"/>
            </w:pPr>
            <w:r>
              <w:t xml:space="preserve">7</w:t>
            </w:r>
          </w:p>
        </w:tc>
        <w:tc>
          <w:tcPr/>
          <w:p>
            <w:pPr>
              <w:pStyle w:val="Compact"/>
              <w:jc w:val="right"/>
            </w:pPr>
            <w:r>
              <w:t xml:space="preserve">0.2</w:t>
            </w:r>
          </w:p>
        </w:tc>
        <w:tc>
          <w:tcPr/>
          <w:p>
            <w:pPr>
              <w:pStyle w:val="Compact"/>
              <w:jc w:val="right"/>
            </w:pPr>
            <w:r>
              <w:t xml:space="preserve">0.4</w:t>
            </w:r>
          </w:p>
        </w:tc>
        <w:tc>
          <w:tcPr/>
          <w:p>
            <w:pPr>
              <w:pStyle w:val="Compact"/>
              <w:jc w:val="right"/>
            </w:pPr>
            <w:r>
              <w:t xml:space="preserve">4.0</w:t>
            </w:r>
          </w:p>
        </w:tc>
        <w:tc>
          <w:tcPr/>
          <w:p>
            <w:pPr>
              <w:pStyle w:val="Compact"/>
              <w:jc w:val="right"/>
            </w:pPr>
            <w:r>
              <w:t xml:space="preserve">1.0</w:t>
            </w:r>
          </w:p>
        </w:tc>
        <w:tc>
          <w:tcPr/>
          <w:p>
            <w:pPr>
              <w:pStyle w:val="Compact"/>
              <w:jc w:val="right"/>
            </w:pPr>
            <w:r>
              <w:t xml:space="preserve">0.8</w:t>
            </w:r>
          </w:p>
        </w:tc>
        <w:tc>
          <w:tcPr/>
          <w:p>
            <w:pPr>
              <w:pStyle w:val="Compact"/>
              <w:jc w:val="right"/>
            </w:pPr>
            <w:r>
              <w:t xml:space="preserve">0.6</w:t>
            </w:r>
          </w:p>
        </w:tc>
        <w:tc>
          <w:tcPr/>
          <w:p>
            <w:pPr>
              <w:pStyle w:val="Compact"/>
              <w:jc w:val="right"/>
            </w:pPr>
            <w:r>
              <w:t xml:space="preserve">0.1</w:t>
            </w:r>
          </w:p>
        </w:tc>
        <w:tc>
          <w:tcPr/>
          <w:p>
            <w:pPr>
              <w:pStyle w:val="Compact"/>
              <w:jc w:val="right"/>
            </w:pPr>
            <w:r>
              <w:t xml:space="preserve">0.4</w:t>
            </w:r>
          </w:p>
        </w:tc>
      </w:tr>
      <w:tr>
        <w:tc>
          <w:tcPr/>
          <w:p>
            <w:pPr>
              <w:pStyle w:val="Compact"/>
              <w:jc w:val="left"/>
            </w:pPr>
            <w:r>
              <w:t xml:space="preserve">8</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1.9</w:t>
            </w:r>
          </w:p>
        </w:tc>
        <w:tc>
          <w:tcPr/>
          <w:p>
            <w:pPr>
              <w:pStyle w:val="Compact"/>
              <w:jc w:val="right"/>
            </w:pPr>
            <w:r>
              <w:t xml:space="preserve">2.3</w:t>
            </w:r>
          </w:p>
        </w:tc>
        <w:tc>
          <w:tcPr/>
          <w:p>
            <w:pPr>
              <w:pStyle w:val="Compact"/>
              <w:jc w:val="right"/>
            </w:pPr>
            <w:r>
              <w:t xml:space="preserve">2.5</w:t>
            </w:r>
          </w:p>
        </w:tc>
        <w:tc>
          <w:tcPr/>
          <w:p>
            <w:pPr>
              <w:pStyle w:val="Compact"/>
              <w:jc w:val="right"/>
            </w:pPr>
            <w:r>
              <w:t xml:space="preserve">3.7</w:t>
            </w:r>
          </w:p>
        </w:tc>
        <w:tc>
          <w:tcPr/>
          <w:p>
            <w:pPr>
              <w:pStyle w:val="Compact"/>
              <w:jc w:val="right"/>
            </w:pPr>
            <w:r>
              <w:t xml:space="preserve">2.4</w:t>
            </w:r>
          </w:p>
        </w:tc>
        <w:tc>
          <w:tcPr/>
          <w:p>
            <w:pPr>
              <w:pStyle w:val="Compact"/>
              <w:jc w:val="right"/>
            </w:pPr>
            <w:r>
              <w:t xml:space="preserve">2.0</w:t>
            </w:r>
          </w:p>
        </w:tc>
      </w:tr>
      <w:tr>
        <w:tc>
          <w:tcPr/>
          <w:p>
            <w:pPr>
              <w:pStyle w:val="Compact"/>
              <w:jc w:val="left"/>
            </w:pPr>
            <w:r>
              <w:t xml:space="preserve">9</w:t>
            </w:r>
          </w:p>
        </w:tc>
        <w:tc>
          <w:tcPr/>
          <w:p>
            <w:pPr>
              <w:pStyle w:val="Compact"/>
              <w:jc w:val="right"/>
            </w:pPr>
            <w:r>
              <w:t xml:space="preserve">15.8</w:t>
            </w:r>
          </w:p>
        </w:tc>
        <w:tc>
          <w:tcPr/>
          <w:p>
            <w:pPr>
              <w:pStyle w:val="Compact"/>
              <w:jc w:val="right"/>
            </w:pPr>
            <w:r>
              <w:t xml:space="preserve">15.0</w:t>
            </w:r>
          </w:p>
        </w:tc>
        <w:tc>
          <w:tcPr/>
          <w:p>
            <w:pPr>
              <w:pStyle w:val="Compact"/>
              <w:jc w:val="right"/>
            </w:pPr>
            <w:r>
              <w:t xml:space="preserve">9.4</w:t>
            </w:r>
          </w:p>
        </w:tc>
        <w:tc>
          <w:tcPr/>
          <w:p>
            <w:pPr>
              <w:pStyle w:val="Compact"/>
              <w:jc w:val="right"/>
            </w:pPr>
            <w:r>
              <w:t xml:space="preserve">12.5</w:t>
            </w:r>
          </w:p>
        </w:tc>
        <w:tc>
          <w:tcPr/>
          <w:p>
            <w:pPr>
              <w:pStyle w:val="Compact"/>
              <w:jc w:val="right"/>
            </w:pPr>
            <w:r>
              <w:t xml:space="preserve">15.1</w:t>
            </w:r>
          </w:p>
        </w:tc>
        <w:tc>
          <w:tcPr/>
          <w:p>
            <w:pPr>
              <w:pStyle w:val="Compact"/>
              <w:jc w:val="right"/>
            </w:pPr>
            <w:r>
              <w:t xml:space="preserve">17.6</w:t>
            </w:r>
          </w:p>
        </w:tc>
        <w:tc>
          <w:tcPr/>
          <w:p>
            <w:pPr>
              <w:pStyle w:val="Compact"/>
              <w:jc w:val="right"/>
            </w:pPr>
            <w:r>
              <w:t xml:space="preserve">11.6</w:t>
            </w:r>
          </w:p>
        </w:tc>
        <w:tc>
          <w:tcPr/>
          <w:p>
            <w:pPr>
              <w:pStyle w:val="Compact"/>
              <w:jc w:val="right"/>
            </w:pPr>
            <w:r>
              <w:t xml:space="preserve">21.6</w:t>
            </w:r>
          </w:p>
        </w:tc>
      </w:tr>
      <w:tr>
        <w:tc>
          <w:tcPr/>
          <w:p>
            <w:pPr>
              <w:pStyle w:val="Compact"/>
              <w:jc w:val="left"/>
            </w:pPr>
            <w:r>
              <w:t xml:space="preserve">10</w:t>
            </w:r>
          </w:p>
        </w:tc>
        <w:tc>
          <w:tcPr/>
          <w:p>
            <w:pPr>
              <w:pStyle w:val="Compact"/>
              <w:jc w:val="right"/>
            </w:pPr>
            <w:r>
              <w:t xml:space="preserve">2.0</w:t>
            </w:r>
          </w:p>
        </w:tc>
        <w:tc>
          <w:tcPr/>
          <w:p>
            <w:pPr>
              <w:pStyle w:val="Compact"/>
              <w:jc w:val="right"/>
            </w:pPr>
            <w:r>
              <w:t xml:space="preserve">2.2</w:t>
            </w:r>
          </w:p>
        </w:tc>
        <w:tc>
          <w:tcPr/>
          <w:p>
            <w:pPr>
              <w:pStyle w:val="Compact"/>
              <w:jc w:val="right"/>
            </w:pPr>
            <w:r>
              <w:t xml:space="preserve">1.3</w:t>
            </w:r>
          </w:p>
        </w:tc>
        <w:tc>
          <w:tcPr/>
          <w:p>
            <w:pPr>
              <w:pStyle w:val="Compact"/>
              <w:jc w:val="right"/>
            </w:pPr>
            <w:r>
              <w:t xml:space="preserve">1.1</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1.5</w:t>
            </w:r>
          </w:p>
        </w:tc>
        <w:tc>
          <w:tcPr/>
          <w:p>
            <w:pPr>
              <w:pStyle w:val="Compact"/>
              <w:jc w:val="right"/>
            </w:pPr>
            <w:r>
              <w:t xml:space="preserve">2.1</w:t>
            </w:r>
          </w:p>
        </w:tc>
      </w:tr>
      <w:tr>
        <w:tc>
          <w:tcPr/>
          <w:p>
            <w:pPr>
              <w:pStyle w:val="Compact"/>
              <w:jc w:val="left"/>
            </w:pPr>
            <w:r>
              <w:t xml:space="preserve">11</w:t>
            </w:r>
          </w:p>
        </w:tc>
        <w:tc>
          <w:tcPr/>
          <w:p>
            <w:pPr>
              <w:pStyle w:val="Compact"/>
              <w:jc w:val="right"/>
            </w:pPr>
            <w:r>
              <w:t xml:space="preserve">0.2</w:t>
            </w:r>
          </w:p>
        </w:tc>
        <w:tc>
          <w:tcPr/>
          <w:p>
            <w:pPr>
              <w:pStyle w:val="Compact"/>
              <w:jc w:val="right"/>
            </w:pPr>
            <w:r>
              <w:t xml:space="preserve">0.5</w:t>
            </w:r>
          </w:p>
        </w:tc>
        <w:tc>
          <w:tcPr/>
          <w:p>
            <w:pPr>
              <w:pStyle w:val="Compact"/>
              <w:jc w:val="right"/>
            </w:pPr>
            <w:r>
              <w:t xml:space="preserve">0.3</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1.8</w:t>
            </w:r>
          </w:p>
        </w:tc>
        <w:tc>
          <w:tcPr/>
          <w:p>
            <w:pPr>
              <w:pStyle w:val="Compact"/>
              <w:jc w:val="right"/>
            </w:pPr>
            <w:r>
              <w:t xml:space="preserve">1.6</w:t>
            </w:r>
          </w:p>
        </w:tc>
        <w:tc>
          <w:tcPr/>
          <w:p>
            <w:pPr>
              <w:pStyle w:val="Compact"/>
              <w:jc w:val="right"/>
            </w:pPr>
            <w:r>
              <w:t xml:space="preserve">2.7</w:t>
            </w:r>
          </w:p>
        </w:tc>
      </w:tr>
      <w:tr>
        <w:tc>
          <w:tcPr/>
          <w:p>
            <w:pPr>
              <w:pStyle w:val="Compact"/>
              <w:jc w:val="left"/>
            </w:pPr>
            <w:r>
              <w:t xml:space="preserve">12</w:t>
            </w:r>
          </w:p>
        </w:tc>
        <w:tc>
          <w:tcPr/>
          <w:p>
            <w:pPr>
              <w:pStyle w:val="Compact"/>
              <w:jc w:val="right"/>
            </w:pPr>
            <w:r>
              <w:t xml:space="preserve">2.1</w:t>
            </w:r>
          </w:p>
        </w:tc>
        <w:tc>
          <w:tcPr/>
          <w:p>
            <w:pPr>
              <w:pStyle w:val="Compact"/>
              <w:jc w:val="right"/>
            </w:pPr>
            <w:r>
              <w:t xml:space="preserve">1.1</w:t>
            </w:r>
          </w:p>
        </w:tc>
        <w:tc>
          <w:tcPr/>
          <w:p>
            <w:pPr>
              <w:pStyle w:val="Compact"/>
              <w:jc w:val="right"/>
            </w:pPr>
            <w:r>
              <w:t xml:space="preserve">1.0</w:t>
            </w:r>
          </w:p>
        </w:tc>
        <w:tc>
          <w:tcPr/>
          <w:p>
            <w:pPr>
              <w:pStyle w:val="Compact"/>
              <w:jc w:val="right"/>
            </w:pPr>
            <w:r>
              <w:t xml:space="preserve">1.6</w:t>
            </w:r>
          </w:p>
        </w:tc>
        <w:tc>
          <w:tcPr/>
          <w:p>
            <w:pPr>
              <w:pStyle w:val="Compact"/>
              <w:jc w:val="right"/>
            </w:pPr>
            <w:r>
              <w:t xml:space="preserve">1.6</w:t>
            </w:r>
          </w:p>
        </w:tc>
        <w:tc>
          <w:tcPr/>
          <w:p>
            <w:pPr>
              <w:pStyle w:val="Compact"/>
              <w:jc w:val="right"/>
            </w:pPr>
            <w:r>
              <w:t xml:space="preserve">2.5</w:t>
            </w:r>
          </w:p>
        </w:tc>
        <w:tc>
          <w:tcPr/>
          <w:p>
            <w:pPr>
              <w:pStyle w:val="Compact"/>
              <w:jc w:val="right"/>
            </w:pPr>
            <w:r>
              <w:t xml:space="preserve">1.0</w:t>
            </w:r>
          </w:p>
        </w:tc>
        <w:tc>
          <w:tcPr/>
          <w:p>
            <w:pPr>
              <w:pStyle w:val="Compact"/>
              <w:jc w:val="right"/>
            </w:pPr>
            <w:r>
              <w:t xml:space="preserve">0.9</w:t>
            </w:r>
          </w:p>
        </w:tc>
      </w:tr>
      <w:tr>
        <w:tc>
          <w:tcPr/>
          <w:p>
            <w:pPr>
              <w:pStyle w:val="Compact"/>
              <w:jc w:val="left"/>
            </w:pPr>
            <w:r>
              <w:t xml:space="preserve">13</w:t>
            </w:r>
          </w:p>
        </w:tc>
        <w:tc>
          <w:tcPr/>
          <w:p>
            <w:pPr>
              <w:pStyle w:val="Compact"/>
              <w:jc w:val="right"/>
            </w:pPr>
            <w:r>
              <w:t xml:space="preserve">7.6</w:t>
            </w:r>
          </w:p>
        </w:tc>
        <w:tc>
          <w:tcPr/>
          <w:p>
            <w:pPr>
              <w:pStyle w:val="Compact"/>
              <w:jc w:val="right"/>
            </w:pPr>
            <w:r>
              <w:t xml:space="preserve">5.7</w:t>
            </w:r>
          </w:p>
        </w:tc>
        <w:tc>
          <w:tcPr/>
          <w:p>
            <w:pPr>
              <w:pStyle w:val="Compact"/>
              <w:jc w:val="right"/>
            </w:pPr>
            <w:r>
              <w:t xml:space="preserve">8.5</w:t>
            </w:r>
          </w:p>
        </w:tc>
        <w:tc>
          <w:tcPr/>
          <w:p>
            <w:pPr>
              <w:pStyle w:val="Compact"/>
              <w:jc w:val="right"/>
            </w:pPr>
            <w:r>
              <w:t xml:space="preserve">5.1</w:t>
            </w:r>
          </w:p>
        </w:tc>
        <w:tc>
          <w:tcPr/>
          <w:p>
            <w:pPr>
              <w:pStyle w:val="Compact"/>
              <w:jc w:val="right"/>
            </w:pPr>
            <w:r>
              <w:t xml:space="preserve">5.9</w:t>
            </w:r>
          </w:p>
        </w:tc>
        <w:tc>
          <w:tcPr/>
          <w:p>
            <w:pPr>
              <w:pStyle w:val="Compact"/>
              <w:jc w:val="right"/>
            </w:pPr>
            <w:r>
              <w:t xml:space="preserve">5.9</w:t>
            </w:r>
          </w:p>
        </w:tc>
        <w:tc>
          <w:tcPr/>
          <w:p>
            <w:pPr>
              <w:pStyle w:val="Compact"/>
              <w:jc w:val="right"/>
            </w:pPr>
            <w:r>
              <w:t xml:space="preserve">8.6</w:t>
            </w:r>
          </w:p>
        </w:tc>
        <w:tc>
          <w:tcPr/>
          <w:p>
            <w:pPr>
              <w:pStyle w:val="Compact"/>
              <w:jc w:val="right"/>
            </w:pPr>
            <w:r>
              <w:t xml:space="preserve">7.1</w:t>
            </w:r>
          </w:p>
        </w:tc>
      </w:tr>
      <w:tr>
        <w:tc>
          <w:tcPr/>
          <w:p>
            <w:pPr>
              <w:pStyle w:val="Compact"/>
              <w:jc w:val="left"/>
            </w:pPr>
            <w:r>
              <w:t xml:space="preserve">14</w:t>
            </w:r>
          </w:p>
        </w:tc>
        <w:tc>
          <w:tcPr/>
          <w:p>
            <w:pPr>
              <w:pStyle w:val="Compact"/>
              <w:jc w:val="right"/>
            </w:pPr>
            <w:r>
              <w:t xml:space="preserve">2.2</w:t>
            </w:r>
          </w:p>
        </w:tc>
        <w:tc>
          <w:tcPr/>
          <w:p>
            <w:pPr>
              <w:pStyle w:val="Compact"/>
              <w:jc w:val="right"/>
            </w:pPr>
            <w:r>
              <w:t xml:space="preserve">1.9</w:t>
            </w:r>
          </w:p>
        </w:tc>
        <w:tc>
          <w:tcPr/>
          <w:p>
            <w:pPr>
              <w:pStyle w:val="Compact"/>
              <w:jc w:val="right"/>
            </w:pPr>
            <w:r>
              <w:t xml:space="preserve">0.2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2.8</w:t>
            </w:r>
          </w:p>
        </w:tc>
        <w:tc>
          <w:tcPr/>
          <w:p>
            <w:pPr>
              <w:pStyle w:val="Compact"/>
              <w:jc w:val="right"/>
            </w:pPr>
            <w:r>
              <w:t xml:space="preserve">2.4</w:t>
            </w:r>
          </w:p>
        </w:tc>
        <w:tc>
          <w:tcPr/>
          <w:p>
            <w:pPr>
              <w:pStyle w:val="Compact"/>
              <w:jc w:val="right"/>
            </w:pPr>
            <w:r>
              <w:t xml:space="preserve">2.5</w:t>
            </w:r>
          </w:p>
        </w:tc>
      </w:tr>
      <w:tr>
        <w:tc>
          <w:tcPr/>
          <w:p>
            <w:pPr>
              <w:pStyle w:val="Compact"/>
              <w:jc w:val="left"/>
            </w:pPr>
            <w:r>
              <w:t xml:space="preserve">15</w:t>
            </w:r>
          </w:p>
        </w:tc>
        <w:tc>
          <w:tcPr/>
          <w:p>
            <w:pPr>
              <w:pStyle w:val="Compact"/>
              <w:jc w:val="right"/>
            </w:pPr>
            <w:r>
              <w:t xml:space="preserve">2.0</w:t>
            </w:r>
          </w:p>
        </w:tc>
        <w:tc>
          <w:tcPr/>
          <w:p>
            <w:pPr>
              <w:pStyle w:val="Compact"/>
              <w:jc w:val="right"/>
            </w:pPr>
            <w:r>
              <w:t xml:space="preserve">1.9</w:t>
            </w:r>
          </w:p>
        </w:tc>
        <w:tc>
          <w:tcPr/>
          <w:p>
            <w:pPr>
              <w:pStyle w:val="Compact"/>
              <w:jc w:val="right"/>
            </w:pPr>
            <w:r>
              <w:t xml:space="preserve">0.1</w:t>
            </w:r>
          </w:p>
        </w:tc>
        <w:tc>
          <w:tcPr/>
          <w:p>
            <w:pPr>
              <w:pStyle w:val="Compact"/>
              <w:jc w:val="right"/>
            </w:pPr>
            <w:r>
              <w:t xml:space="preserve">0.1</w:t>
            </w:r>
          </w:p>
        </w:tc>
        <w:tc>
          <w:tcPr/>
          <w:p>
            <w:pPr>
              <w:pStyle w:val="Compact"/>
              <w:jc w:val="right"/>
            </w:pPr>
            <w:r>
              <w:t xml:space="preserve">1.0</w:t>
            </w:r>
          </w:p>
        </w:tc>
        <w:tc>
          <w:tcPr/>
          <w:p>
            <w:pPr>
              <w:pStyle w:val="Compact"/>
              <w:jc w:val="right"/>
            </w:pPr>
            <w:r>
              <w:t xml:space="preserve">1.3</w:t>
            </w:r>
          </w:p>
        </w:tc>
        <w:tc>
          <w:tcPr/>
          <w:p>
            <w:pPr>
              <w:pStyle w:val="Compact"/>
              <w:jc w:val="right"/>
            </w:pPr>
            <w:r>
              <w:t xml:space="preserve">0.4</w:t>
            </w:r>
          </w:p>
        </w:tc>
        <w:tc>
          <w:tcPr/>
          <w:p>
            <w:pPr>
              <w:pStyle w:val="Compact"/>
              <w:jc w:val="right"/>
            </w:pPr>
            <w:r>
              <w:t xml:space="preserve">2.1</w:t>
            </w:r>
          </w:p>
        </w:tc>
      </w:tr>
      <w:tr>
        <w:tc>
          <w:tcPr/>
          <w:p>
            <w:pPr>
              <w:pStyle w:val="Compact"/>
              <w:jc w:val="left"/>
            </w:pPr>
            <w:r>
              <w:t xml:space="preserve">16</w:t>
            </w:r>
          </w:p>
        </w:tc>
        <w:tc>
          <w:tcPr/>
          <w:p>
            <w:pPr>
              <w:pStyle w:val="Compact"/>
              <w:jc w:val="right"/>
            </w:pPr>
            <w:r>
              <w:t xml:space="preserve">6.1</w:t>
            </w:r>
          </w:p>
        </w:tc>
        <w:tc>
          <w:tcPr/>
          <w:p>
            <w:pPr>
              <w:pStyle w:val="Compact"/>
              <w:jc w:val="right"/>
            </w:pPr>
            <w:r>
              <w:t xml:space="preserve">3.9</w:t>
            </w:r>
          </w:p>
        </w:tc>
        <w:tc>
          <w:tcPr/>
          <w:p>
            <w:pPr>
              <w:pStyle w:val="Compact"/>
              <w:jc w:val="right"/>
            </w:pPr>
            <w:r>
              <w:t xml:space="preserve">1.7</w:t>
            </w:r>
          </w:p>
        </w:tc>
        <w:tc>
          <w:tcPr/>
          <w:p>
            <w:pPr>
              <w:pStyle w:val="Compact"/>
              <w:jc w:val="right"/>
            </w:pPr>
            <w:r>
              <w:t xml:space="preserve">11.2</w:t>
            </w:r>
          </w:p>
        </w:tc>
        <w:tc>
          <w:tcPr/>
          <w:p>
            <w:pPr>
              <w:pStyle w:val="Compact"/>
              <w:jc w:val="right"/>
            </w:pPr>
            <w:r>
              <w:t xml:space="preserve">11.1</w:t>
            </w:r>
          </w:p>
        </w:tc>
        <w:tc>
          <w:tcPr/>
          <w:p>
            <w:pPr>
              <w:pStyle w:val="Compact"/>
              <w:jc w:val="right"/>
            </w:pPr>
            <w:r>
              <w:t xml:space="preserve">9.1</w:t>
            </w:r>
          </w:p>
        </w:tc>
        <w:tc>
          <w:tcPr/>
          <w:p>
            <w:pPr>
              <w:pStyle w:val="Compact"/>
              <w:jc w:val="right"/>
            </w:pPr>
            <w:r>
              <w:t xml:space="preserve">4.8</w:t>
            </w:r>
          </w:p>
        </w:tc>
        <w:tc>
          <w:tcPr/>
          <w:p>
            <w:pPr>
              <w:pStyle w:val="Compact"/>
              <w:jc w:val="right"/>
            </w:pPr>
            <w:r>
              <w:t xml:space="preserve">8.5</w:t>
            </w:r>
          </w:p>
        </w:tc>
      </w:tr>
      <w:tr>
        <w:tc>
          <w:tcPr/>
          <w:p>
            <w:pPr>
              <w:pStyle w:val="Compact"/>
              <w:jc w:val="left"/>
            </w:pPr>
            <w:r>
              <w:t xml:space="preserve">17</w:t>
            </w:r>
          </w:p>
        </w:tc>
        <w:tc>
          <w:tcPr/>
          <w:p>
            <w:pPr>
              <w:pStyle w:val="Compact"/>
              <w:jc w:val="right"/>
            </w:pPr>
            <w:r>
              <w:t xml:space="preserve">11.4</w:t>
            </w:r>
          </w:p>
        </w:tc>
        <w:tc>
          <w:tcPr/>
          <w:p>
            <w:pPr>
              <w:pStyle w:val="Compact"/>
              <w:jc w:val="right"/>
            </w:pPr>
            <w:r>
              <w:t xml:space="preserve">12.1</w:t>
            </w:r>
          </w:p>
        </w:tc>
        <w:tc>
          <w:tcPr/>
          <w:p>
            <w:pPr>
              <w:pStyle w:val="Compact"/>
              <w:jc w:val="right"/>
            </w:pPr>
            <w:r>
              <w:t xml:space="preserve">20.2</w:t>
            </w:r>
          </w:p>
        </w:tc>
        <w:tc>
          <w:tcPr/>
          <w:p>
            <w:pPr>
              <w:pStyle w:val="Compact"/>
              <w:jc w:val="right"/>
            </w:pPr>
            <w:r>
              <w:t xml:space="preserve">8.9</w:t>
            </w:r>
          </w:p>
        </w:tc>
        <w:tc>
          <w:tcPr/>
          <w:p>
            <w:pPr>
              <w:pStyle w:val="Compact"/>
              <w:jc w:val="right"/>
            </w:pPr>
            <w:r>
              <w:t xml:space="preserve">8.5</w:t>
            </w:r>
          </w:p>
        </w:tc>
        <w:tc>
          <w:tcPr/>
          <w:p>
            <w:pPr>
              <w:pStyle w:val="Compact"/>
              <w:jc w:val="right"/>
            </w:pPr>
            <w:r>
              <w:t xml:space="preserve">9.1</w:t>
            </w:r>
          </w:p>
        </w:tc>
        <w:tc>
          <w:tcPr/>
          <w:p>
            <w:pPr>
              <w:pStyle w:val="Compact"/>
              <w:jc w:val="right"/>
            </w:pPr>
            <w:r>
              <w:t xml:space="preserve">13.2</w:t>
            </w:r>
          </w:p>
        </w:tc>
        <w:tc>
          <w:tcPr/>
          <w:p>
            <w:pPr>
              <w:pStyle w:val="Compact"/>
              <w:jc w:val="right"/>
            </w:pPr>
            <w:r>
              <w:t xml:space="preserve">11.5</w:t>
            </w:r>
          </w:p>
        </w:tc>
      </w:tr>
    </w:tbl>
    <w:bookmarkEnd w:id="136"/>
    <w:p>
      <w:pPr>
        <w:pStyle w:val="BodyText"/>
      </w:pPr>
      <w:r>
        <w:rPr>
          <w:iCs/>
          <w:i/>
        </w:rPr>
        <w:t xml:space="preserve">Notes:</w:t>
      </w:r>
      <w:r>
        <w:t xml:space="preserve"> </w:t>
      </w:r>
      <w:r>
        <w:t xml:space="preserve">Coverage gap =</w:t>
      </w:r>
      <w:r>
        <w:t xml:space="preserve"> </w:t>
      </w:r>
      <m:oMath>
        <m:d>
          <m:dPr>
            <m:begChr m:val="|"/>
            <m:endChr m:val="|"/>
            <m:sepChr m:val=""/>
            <m:grow/>
          </m:dPr>
          <m:e>
            <m:r>
              <m:rPr>
                <m:nor/>
                <m:sty m:val="p"/>
              </m:rPr>
              <m:t>research proportion</m:t>
            </m:r>
            <m:r>
              <m:rPr>
                <m:sty m:val="p"/>
              </m:rPr>
              <m:t>−</m:t>
            </m:r>
            <m:r>
              <m:rPr>
                <m:nor/>
                <m:sty m:val="p"/>
              </m:rPr>
              <m:t>policy proportion</m:t>
            </m:r>
          </m:e>
        </m:d>
      </m:oMath>
      <w:r>
        <w:t xml:space="preserve"> </w:t>
      </w:r>
      <w:r>
        <w:t xml:space="preserve">per SDG in percentage points, using document-weighted policy proportions (Assumption A19) for all methods.</w:t>
      </w:r>
    </w:p>
    <w:bookmarkStart w:id="137" w:name="tab:app-cross-method-semgap"/>
    <w:p>
      <w:pPr>
        <w:pStyle w:val="TableCaption"/>
      </w:pPr>
      <w:r>
        <w:t xml:space="preserve">(continued) Semantic gap values across embedding architectures, classifier variants, and retrieval strategies.</w:t>
      </w:r>
    </w:p>
    <w:tbl>
      <w:tblPr>
        <w:tblStyle w:val="Table"/>
        <w:tblW w:type="auto" w:w="0"/>
        <w:tblLook w:firstRow="0" w:lastRow="0" w:firstColumn="0" w:lastColumn="0" w:noHBand="0" w:noVBand="0" w:val="0000"/>
        <w:jc w:val="start"/>
        <w:tblCaption w:val="(continued) Semantic gap values across embedding architectures, classifier variants, and retrieval strategies."/>
      </w:tblPr>
      <w:tblGrid>
        <w:gridCol w:w="880"/>
        <w:gridCol w:w="880"/>
        <w:gridCol w:w="880"/>
        <w:gridCol w:w="880"/>
        <w:gridCol w:w="880"/>
        <w:gridCol w:w="880"/>
        <w:gridCol w:w="880"/>
        <w:gridCol w:w="880"/>
        <w:gridCol w:w="880"/>
      </w:tblGrid>
      <w:tr>
        <w:tc>
          <w:tcPr/>
          <w:p>
            <w:pPr>
              <w:pStyle w:val="Compact"/>
              <w:jc w:val="left"/>
            </w:pPr>
            <w:r>
              <w:t xml:space="preserve">SDG</w:t>
            </w:r>
          </w:p>
        </w:tc>
        <w:tc>
          <w:tcPr>
            <w:gridSpan w:val="8"/>
          </w:tcPr>
          <w:p>
            <w:pPr>
              <w:pStyle w:val="Compact"/>
              <w:jc w:val="center"/>
            </w:pPr>
            <w:r>
              <w:t xml:space="preserve">Semantic gap (cosine)</w:t>
            </w:r>
          </w:p>
        </w:tc>
      </w:tr>
      <w:tr>
        <w:tc>
          <w:tcPr/>
          <w:p>
            <w:pPr>
              <w:pStyle w:val="Compact"/>
            </w:pPr>
          </w:p>
        </w:tc>
        <w:tc>
          <w:tcPr>
            <w:gridSpan w:val="3"/>
          </w:tcPr>
          <w:p>
            <w:pPr>
              <w:pStyle w:val="Compact"/>
              <w:jc w:val="center"/>
            </w:pPr>
            <w:r>
              <w:t xml:space="preserve">MPNet</w:t>
            </w:r>
          </w:p>
        </w:tc>
        <w:tc>
          <w:tcPr>
            <w:gridSpan w:val="2"/>
          </w:tcPr>
          <w:p>
            <w:pPr>
              <w:pStyle w:val="Compact"/>
              <w:jc w:val="center"/>
            </w:pPr>
            <w:r>
              <w:t xml:space="preserve">MiniLM</w:t>
            </w:r>
          </w:p>
        </w:tc>
        <w:tc>
          <w:tcPr>
            <w:gridSpan w:val="2"/>
          </w:tcPr>
          <w:p>
            <w:pPr>
              <w:pStyle w:val="Compact"/>
              <w:jc w:val="center"/>
            </w:pPr>
            <w:r>
              <w:t xml:space="preserve">SciBERT</w:t>
            </w:r>
          </w:p>
        </w:tc>
        <w:tc>
          <w:tcPr/>
          <w:p>
            <w:pPr>
              <w:pStyle w:val="Compact"/>
              <w:jc w:val="right"/>
            </w:pPr>
            <w:r>
              <w:t xml:space="preserve">Concept</w:t>
            </w:r>
          </w:p>
        </w:tc>
      </w:tr>
      <w:tr>
        <w:tc>
          <w:tcPr/>
          <w:p>
            <w:pPr>
              <w:pStyle w:val="Compact"/>
              <w:jc w:val="left"/>
            </w:pPr>
            <w:r>
              <w:t xml:space="preserve">2-4</w:t>
            </w:r>
            <w:r>
              <w:t xml:space="preserve"> </w:t>
            </w:r>
            <w:r>
              <w:t xml:space="preserve">(lr)</w:t>
            </w:r>
            <w:r>
              <w:t xml:space="preserve">5-6</w:t>
            </w:r>
            <w:r>
              <w:t xml:space="preserve"> </w:t>
            </w:r>
            <w:r>
              <w:t xml:space="preserve">(lr)</w:t>
            </w:r>
            <w:r>
              <w:t xml:space="preserve">7-8</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ZS</w:t>
            </w:r>
          </w:p>
        </w:tc>
        <w:tc>
          <w:tcPr/>
          <w:p>
            <w:pPr>
              <w:pStyle w:val="Compact"/>
              <w:jc w:val="right"/>
            </w:pPr>
            <w:r>
              <w:t xml:space="preserve">LR</w:t>
            </w:r>
          </w:p>
        </w:tc>
        <w:tc>
          <w:tcPr/>
          <w:p>
            <w:pPr>
              <w:pStyle w:val="Compact"/>
              <w:jc w:val="right"/>
            </w:pPr>
            <w:r>
              <w:t xml:space="preserve">MLP</w:t>
            </w:r>
          </w:p>
        </w:tc>
        <w:tc>
          <w:tcPr/>
          <w:p>
            <w:pPr>
              <w:pStyle w:val="Compact"/>
              <w:jc w:val="right"/>
            </w:pPr>
            <w:r>
              <w:t xml:space="preserve">LR</w:t>
            </w:r>
          </w:p>
        </w:tc>
        <w:tc>
          <w:tcPr/>
          <w:p>
            <w:pPr>
              <w:pStyle w:val="Compact"/>
              <w:jc w:val="right"/>
            </w:pPr>
            <w:r>
              <w:t xml:space="preserve">MLP</w:t>
            </w:r>
          </w:p>
        </w:tc>
        <w:tc>
          <w:tcPr/>
          <w:p>
            <w:pPr>
              <w:pStyle w:val="Compact"/>
            </w:pPr>
          </w:p>
        </w:tc>
      </w:tr>
      <w:tr>
        <w:tc>
          <w:tcPr/>
          <w:p>
            <w:pPr>
              <w:pStyle w:val="Compact"/>
              <w:jc w:val="left"/>
            </w:pPr>
            <w:r>
              <w:t xml:space="preserve">1</w:t>
            </w:r>
          </w:p>
        </w:tc>
        <w:tc>
          <w:tcPr/>
          <w:p>
            <w:pPr>
              <w:pStyle w:val="Compact"/>
              <w:jc w:val="right"/>
            </w:pPr>
            <w:r>
              <w:t xml:space="preserve">0.415</w:t>
            </w:r>
          </w:p>
        </w:tc>
        <w:tc>
          <w:tcPr/>
          <w:p>
            <w:pPr>
              <w:pStyle w:val="Compact"/>
              <w:jc w:val="right"/>
            </w:pPr>
            <w:r>
              <w:t xml:space="preserve">0.413</w:t>
            </w:r>
          </w:p>
        </w:tc>
        <w:tc>
          <w:tcPr/>
          <w:p>
            <w:pPr>
              <w:pStyle w:val="Compact"/>
              <w:jc w:val="right"/>
            </w:pPr>
            <w:r>
              <w:t xml:space="preserve">0.407</w:t>
            </w:r>
          </w:p>
        </w:tc>
        <w:tc>
          <w:tcPr/>
          <w:p>
            <w:pPr>
              <w:pStyle w:val="Compact"/>
              <w:jc w:val="right"/>
            </w:pPr>
            <w:r>
              <w:t xml:space="preserve">0.222</w:t>
            </w:r>
          </w:p>
        </w:tc>
        <w:tc>
          <w:tcPr/>
          <w:p>
            <w:pPr>
              <w:pStyle w:val="Compact"/>
              <w:jc w:val="right"/>
            </w:pPr>
            <w:r>
              <w:t xml:space="preserve">0.235</w:t>
            </w:r>
          </w:p>
        </w:tc>
        <w:tc>
          <w:tcPr/>
          <w:p>
            <w:pPr>
              <w:pStyle w:val="Compact"/>
              <w:jc w:val="right"/>
            </w:pPr>
            <w:r>
              <w:t xml:space="preserve">0.032</w:t>
            </w:r>
          </w:p>
        </w:tc>
        <w:tc>
          <w:tcPr/>
          <w:p>
            <w:pPr>
              <w:pStyle w:val="Compact"/>
              <w:jc w:val="right"/>
            </w:pPr>
            <w:r>
              <w:t xml:space="preserve">0.061</w:t>
            </w:r>
          </w:p>
        </w:tc>
        <w:tc>
          <w:tcPr/>
          <w:p>
            <w:pPr>
              <w:pStyle w:val="Compact"/>
              <w:jc w:val="right"/>
            </w:pPr>
            <w:r>
              <w:t xml:space="preserve">0.827</w:t>
            </w:r>
          </w:p>
        </w:tc>
      </w:tr>
      <w:tr>
        <w:tc>
          <w:tcPr/>
          <w:p>
            <w:pPr>
              <w:pStyle w:val="Compact"/>
              <w:jc w:val="left"/>
            </w:pPr>
            <w:r>
              <w:t xml:space="preserve">2</w:t>
            </w:r>
          </w:p>
        </w:tc>
        <w:tc>
          <w:tcPr/>
          <w:p>
            <w:pPr>
              <w:pStyle w:val="Compact"/>
              <w:jc w:val="right"/>
            </w:pPr>
            <w:r>
              <w:t xml:space="preserve">0.299</w:t>
            </w:r>
          </w:p>
        </w:tc>
        <w:tc>
          <w:tcPr/>
          <w:p>
            <w:pPr>
              <w:pStyle w:val="Compact"/>
              <w:jc w:val="right"/>
            </w:pPr>
            <w:r>
              <w:t xml:space="preserve">0.330</w:t>
            </w:r>
          </w:p>
        </w:tc>
        <w:tc>
          <w:tcPr/>
          <w:p>
            <w:pPr>
              <w:pStyle w:val="Compact"/>
              <w:jc w:val="right"/>
            </w:pPr>
            <w:r>
              <w:t xml:space="preserve">0.345</w:t>
            </w:r>
          </w:p>
        </w:tc>
        <w:tc>
          <w:tcPr/>
          <w:p>
            <w:pPr>
              <w:pStyle w:val="Compact"/>
              <w:jc w:val="right"/>
            </w:pPr>
            <w:r>
              <w:t xml:space="preserve">0.297</w:t>
            </w:r>
          </w:p>
        </w:tc>
        <w:tc>
          <w:tcPr/>
          <w:p>
            <w:pPr>
              <w:pStyle w:val="Compact"/>
              <w:jc w:val="right"/>
            </w:pPr>
            <w:r>
              <w:t xml:space="preserve">0.306</w:t>
            </w:r>
          </w:p>
        </w:tc>
        <w:tc>
          <w:tcPr/>
          <w:p>
            <w:pPr>
              <w:pStyle w:val="Compact"/>
              <w:jc w:val="right"/>
            </w:pPr>
            <w:r>
              <w:t xml:space="preserve">0.037</w:t>
            </w:r>
          </w:p>
        </w:tc>
        <w:tc>
          <w:tcPr/>
          <w:p>
            <w:pPr>
              <w:pStyle w:val="Compact"/>
              <w:jc w:val="right"/>
            </w:pPr>
            <w:r>
              <w:t xml:space="preserve">0.041</w:t>
            </w:r>
          </w:p>
        </w:tc>
        <w:tc>
          <w:tcPr/>
          <w:p>
            <w:pPr>
              <w:pStyle w:val="Compact"/>
              <w:jc w:val="right"/>
            </w:pPr>
            <w:r>
              <w:t xml:space="preserve">0.428</w:t>
            </w:r>
          </w:p>
        </w:tc>
      </w:tr>
      <w:tr>
        <w:tc>
          <w:tcPr/>
          <w:p>
            <w:pPr>
              <w:pStyle w:val="Compact"/>
              <w:jc w:val="left"/>
            </w:pPr>
            <w:r>
              <w:t xml:space="preserve">3</w:t>
            </w:r>
          </w:p>
        </w:tc>
        <w:tc>
          <w:tcPr/>
          <w:p>
            <w:pPr>
              <w:pStyle w:val="Compact"/>
              <w:jc w:val="right"/>
            </w:pPr>
            <w:r>
              <w:t xml:space="preserve">0.494</w:t>
            </w:r>
          </w:p>
        </w:tc>
        <w:tc>
          <w:tcPr/>
          <w:p>
            <w:pPr>
              <w:pStyle w:val="Compact"/>
              <w:jc w:val="right"/>
            </w:pPr>
            <w:r>
              <w:t xml:space="preserve">0.480</w:t>
            </w:r>
          </w:p>
        </w:tc>
        <w:tc>
          <w:tcPr/>
          <w:p>
            <w:pPr>
              <w:pStyle w:val="Compact"/>
              <w:jc w:val="right"/>
            </w:pPr>
            <w:r>
              <w:t xml:space="preserve">0.436</w:t>
            </w:r>
          </w:p>
        </w:tc>
        <w:tc>
          <w:tcPr/>
          <w:p>
            <w:pPr>
              <w:pStyle w:val="Compact"/>
              <w:jc w:val="right"/>
            </w:pPr>
            <w:r>
              <w:t xml:space="preserve">0.495</w:t>
            </w:r>
          </w:p>
        </w:tc>
        <w:tc>
          <w:tcPr/>
          <w:p>
            <w:pPr>
              <w:pStyle w:val="Compact"/>
              <w:jc w:val="right"/>
            </w:pPr>
            <w:r>
              <w:t xml:space="preserve">0.507</w:t>
            </w:r>
          </w:p>
        </w:tc>
        <w:tc>
          <w:tcPr/>
          <w:p>
            <w:pPr>
              <w:pStyle w:val="Compact"/>
              <w:jc w:val="right"/>
            </w:pPr>
            <w:r>
              <w:t xml:space="preserve">0.056</w:t>
            </w:r>
          </w:p>
        </w:tc>
        <w:tc>
          <w:tcPr/>
          <w:p>
            <w:pPr>
              <w:pStyle w:val="Compact"/>
              <w:jc w:val="right"/>
            </w:pPr>
            <w:r>
              <w:t xml:space="preserve">0.056</w:t>
            </w:r>
          </w:p>
        </w:tc>
        <w:tc>
          <w:tcPr/>
          <w:p>
            <w:pPr>
              <w:pStyle w:val="Compact"/>
              <w:jc w:val="right"/>
            </w:pPr>
            <w:r>
              <w:t xml:space="preserve">0.663</w:t>
            </w:r>
          </w:p>
        </w:tc>
      </w:tr>
      <w:tr>
        <w:tc>
          <w:tcPr/>
          <w:p>
            <w:pPr>
              <w:pStyle w:val="Compact"/>
              <w:jc w:val="left"/>
            </w:pPr>
            <w:r>
              <w:t xml:space="preserve">4</w:t>
            </w:r>
          </w:p>
        </w:tc>
        <w:tc>
          <w:tcPr/>
          <w:p>
            <w:pPr>
              <w:pStyle w:val="Compact"/>
              <w:jc w:val="right"/>
            </w:pPr>
            <w:r>
              <w:t xml:space="preserve">0.267</w:t>
            </w:r>
          </w:p>
        </w:tc>
        <w:tc>
          <w:tcPr/>
          <w:p>
            <w:pPr>
              <w:pStyle w:val="Compact"/>
              <w:jc w:val="right"/>
            </w:pPr>
            <w:r>
              <w:t xml:space="preserve">0.267</w:t>
            </w:r>
          </w:p>
        </w:tc>
        <w:tc>
          <w:tcPr/>
          <w:p>
            <w:pPr>
              <w:pStyle w:val="Compact"/>
              <w:jc w:val="right"/>
            </w:pPr>
            <w:r>
              <w:t xml:space="preserve">0.265</w:t>
            </w:r>
          </w:p>
        </w:tc>
        <w:tc>
          <w:tcPr/>
          <w:p>
            <w:pPr>
              <w:pStyle w:val="Compact"/>
              <w:jc w:val="right"/>
            </w:pPr>
            <w:r>
              <w:t xml:space="preserve">0.291</w:t>
            </w:r>
          </w:p>
        </w:tc>
        <w:tc>
          <w:tcPr/>
          <w:p>
            <w:pPr>
              <w:pStyle w:val="Compact"/>
              <w:jc w:val="right"/>
            </w:pPr>
            <w:r>
              <w:t xml:space="preserve">0.298</w:t>
            </w:r>
          </w:p>
        </w:tc>
        <w:tc>
          <w:tcPr/>
          <w:p>
            <w:pPr>
              <w:pStyle w:val="Compact"/>
              <w:jc w:val="right"/>
            </w:pPr>
            <w:r>
              <w:t xml:space="preserve">0.044</w:t>
            </w:r>
          </w:p>
        </w:tc>
        <w:tc>
          <w:tcPr/>
          <w:p>
            <w:pPr>
              <w:pStyle w:val="Compact"/>
              <w:jc w:val="right"/>
            </w:pPr>
            <w:r>
              <w:t xml:space="preserve">0.043</w:t>
            </w:r>
          </w:p>
        </w:tc>
        <w:tc>
          <w:tcPr/>
          <w:p>
            <w:pPr>
              <w:pStyle w:val="Compact"/>
              <w:jc w:val="right"/>
            </w:pPr>
            <w:r>
              <w:t xml:space="preserve">0.402</w:t>
            </w:r>
          </w:p>
        </w:tc>
      </w:tr>
      <w:tr>
        <w:tc>
          <w:tcPr/>
          <w:p>
            <w:pPr>
              <w:pStyle w:val="Compact"/>
              <w:jc w:val="left"/>
            </w:pPr>
            <w:r>
              <w:t xml:space="preserve">5</w:t>
            </w:r>
          </w:p>
        </w:tc>
        <w:tc>
          <w:tcPr/>
          <w:p>
            <w:pPr>
              <w:pStyle w:val="Compact"/>
              <w:jc w:val="right"/>
            </w:pPr>
            <w:r>
              <w:t xml:space="preserve">0.278</w:t>
            </w:r>
          </w:p>
        </w:tc>
        <w:tc>
          <w:tcPr/>
          <w:p>
            <w:pPr>
              <w:pStyle w:val="Compact"/>
              <w:jc w:val="right"/>
            </w:pPr>
            <w:r>
              <w:t xml:space="preserve">0.380</w:t>
            </w:r>
          </w:p>
        </w:tc>
        <w:tc>
          <w:tcPr/>
          <w:p>
            <w:pPr>
              <w:pStyle w:val="Compact"/>
              <w:jc w:val="right"/>
            </w:pPr>
            <w:r>
              <w:t xml:space="preserve">0.246</w:t>
            </w:r>
          </w:p>
        </w:tc>
        <w:tc>
          <w:tcPr/>
          <w:p>
            <w:pPr>
              <w:pStyle w:val="Compact"/>
              <w:jc w:val="right"/>
            </w:pPr>
            <w:r>
              <w:t xml:space="preserve">0.470</w:t>
            </w:r>
          </w:p>
        </w:tc>
        <w:tc>
          <w:tcPr/>
          <w:p>
            <w:pPr>
              <w:pStyle w:val="Compact"/>
              <w:jc w:val="right"/>
            </w:pPr>
            <w:r>
              <w:t xml:space="preserve">0.360</w:t>
            </w:r>
          </w:p>
        </w:tc>
        <w:tc>
          <w:tcPr/>
          <w:p>
            <w:pPr>
              <w:pStyle w:val="Compact"/>
              <w:jc w:val="right"/>
            </w:pPr>
            <w:r>
              <w:t xml:space="preserve">0.041</w:t>
            </w:r>
          </w:p>
        </w:tc>
        <w:tc>
          <w:tcPr/>
          <w:p>
            <w:pPr>
              <w:pStyle w:val="Compact"/>
              <w:jc w:val="right"/>
            </w:pPr>
            <w:r>
              <w:t xml:space="preserve">0.040</w:t>
            </w:r>
          </w:p>
        </w:tc>
        <w:tc>
          <w:tcPr/>
          <w:p>
            <w:pPr>
              <w:pStyle w:val="Compact"/>
              <w:jc w:val="right"/>
            </w:pPr>
            <w:r>
              <w:t xml:space="preserve">0.575</w:t>
            </w:r>
          </w:p>
        </w:tc>
      </w:tr>
      <w:tr>
        <w:tc>
          <w:tcPr/>
          <w:p>
            <w:pPr>
              <w:pStyle w:val="Compact"/>
              <w:jc w:val="left"/>
            </w:pPr>
            <w:r>
              <w:t xml:space="preserve">6</w:t>
            </w:r>
          </w:p>
        </w:tc>
        <w:tc>
          <w:tcPr/>
          <w:p>
            <w:pPr>
              <w:pStyle w:val="Compact"/>
              <w:jc w:val="right"/>
            </w:pPr>
            <w:r>
              <w:t xml:space="preserve">0.292</w:t>
            </w:r>
          </w:p>
        </w:tc>
        <w:tc>
          <w:tcPr/>
          <w:p>
            <w:pPr>
              <w:pStyle w:val="Compact"/>
              <w:jc w:val="right"/>
            </w:pPr>
            <w:r>
              <w:t xml:space="preserve">0.292</w:t>
            </w:r>
          </w:p>
        </w:tc>
        <w:tc>
          <w:tcPr/>
          <w:p>
            <w:pPr>
              <w:pStyle w:val="Compact"/>
              <w:jc w:val="right"/>
            </w:pPr>
            <w:r>
              <w:t xml:space="preserve">0.428</w:t>
            </w:r>
          </w:p>
        </w:tc>
        <w:tc>
          <w:tcPr/>
          <w:p>
            <w:pPr>
              <w:pStyle w:val="Compact"/>
              <w:jc w:val="right"/>
            </w:pPr>
            <w:r>
              <w:t xml:space="preserve">0.298</w:t>
            </w:r>
          </w:p>
        </w:tc>
        <w:tc>
          <w:tcPr/>
          <w:p>
            <w:pPr>
              <w:pStyle w:val="Compact"/>
              <w:jc w:val="right"/>
            </w:pPr>
            <w:r>
              <w:t xml:space="preserve">0.294</w:t>
            </w:r>
          </w:p>
        </w:tc>
        <w:tc>
          <w:tcPr/>
          <w:p>
            <w:pPr>
              <w:pStyle w:val="Compact"/>
              <w:jc w:val="right"/>
            </w:pPr>
            <w:r>
              <w:t xml:space="preserve">0.045</w:t>
            </w:r>
          </w:p>
        </w:tc>
        <w:tc>
          <w:tcPr/>
          <w:p>
            <w:pPr>
              <w:pStyle w:val="Compact"/>
              <w:jc w:val="right"/>
            </w:pPr>
            <w:r>
              <w:t xml:space="preserve">0.046</w:t>
            </w:r>
          </w:p>
        </w:tc>
        <w:tc>
          <w:tcPr/>
          <w:p>
            <w:pPr>
              <w:pStyle w:val="Compact"/>
              <w:jc w:val="right"/>
            </w:pPr>
            <w:r>
              <w:t xml:space="preserve">0.384</w:t>
            </w:r>
          </w:p>
        </w:tc>
      </w:tr>
      <w:tr>
        <w:tc>
          <w:tcPr/>
          <w:p>
            <w:pPr>
              <w:pStyle w:val="Compact"/>
              <w:jc w:val="left"/>
            </w:pPr>
            <w:r>
              <w:t xml:space="preserve">7</w:t>
            </w:r>
          </w:p>
        </w:tc>
        <w:tc>
          <w:tcPr/>
          <w:p>
            <w:pPr>
              <w:pStyle w:val="Compact"/>
              <w:jc w:val="right"/>
            </w:pPr>
            <w:r>
              <w:t xml:space="preserve">0.428</w:t>
            </w:r>
          </w:p>
        </w:tc>
        <w:tc>
          <w:tcPr/>
          <w:p>
            <w:pPr>
              <w:pStyle w:val="Compact"/>
              <w:jc w:val="right"/>
            </w:pPr>
            <w:r>
              <w:t xml:space="preserve">0.429</w:t>
            </w:r>
          </w:p>
        </w:tc>
        <w:tc>
          <w:tcPr/>
          <w:p>
            <w:pPr>
              <w:pStyle w:val="Compact"/>
              <w:jc w:val="right"/>
            </w:pPr>
            <w:r>
              <w:t xml:space="preserve">0.525</w:t>
            </w:r>
          </w:p>
        </w:tc>
        <w:tc>
          <w:tcPr/>
          <w:p>
            <w:pPr>
              <w:pStyle w:val="Compact"/>
              <w:jc w:val="right"/>
            </w:pPr>
            <w:r>
              <w:t xml:space="preserve">0.430</w:t>
            </w:r>
          </w:p>
        </w:tc>
        <w:tc>
          <w:tcPr/>
          <w:p>
            <w:pPr>
              <w:pStyle w:val="Compact"/>
              <w:jc w:val="right"/>
            </w:pPr>
            <w:r>
              <w:t xml:space="preserve">0.414</w:t>
            </w:r>
          </w:p>
        </w:tc>
        <w:tc>
          <w:tcPr/>
          <w:p>
            <w:pPr>
              <w:pStyle w:val="Compact"/>
              <w:jc w:val="right"/>
            </w:pPr>
            <w:r>
              <w:t xml:space="preserve">0.052</w:t>
            </w:r>
          </w:p>
        </w:tc>
        <w:tc>
          <w:tcPr/>
          <w:p>
            <w:pPr>
              <w:pStyle w:val="Compact"/>
              <w:jc w:val="right"/>
            </w:pPr>
            <w:r>
              <w:t xml:space="preserve">0.053</w:t>
            </w:r>
          </w:p>
        </w:tc>
        <w:tc>
          <w:tcPr/>
          <w:p>
            <w:pPr>
              <w:pStyle w:val="Compact"/>
              <w:jc w:val="right"/>
            </w:pPr>
            <w:r>
              <w:t xml:space="preserve">0.514</w:t>
            </w:r>
          </w:p>
        </w:tc>
      </w:tr>
      <w:tr>
        <w:tc>
          <w:tcPr/>
          <w:p>
            <w:pPr>
              <w:pStyle w:val="Compact"/>
              <w:jc w:val="left"/>
            </w:pPr>
            <w:r>
              <w:t xml:space="preserve">8</w:t>
            </w:r>
          </w:p>
        </w:tc>
        <w:tc>
          <w:tcPr/>
          <w:p>
            <w:pPr>
              <w:pStyle w:val="Compact"/>
              <w:jc w:val="right"/>
            </w:pPr>
            <w:r>
              <w:t xml:space="preserve">0.387</w:t>
            </w:r>
          </w:p>
        </w:tc>
        <w:tc>
          <w:tcPr/>
          <w:p>
            <w:pPr>
              <w:pStyle w:val="Compact"/>
              <w:jc w:val="right"/>
            </w:pPr>
            <w:r>
              <w:t xml:space="preserve">0.507</w:t>
            </w:r>
          </w:p>
        </w:tc>
        <w:tc>
          <w:tcPr/>
          <w:p>
            <w:pPr>
              <w:pStyle w:val="Compact"/>
              <w:jc w:val="right"/>
            </w:pPr>
            <w:r>
              <w:t xml:space="preserve">0.278</w:t>
            </w:r>
          </w:p>
        </w:tc>
        <w:tc>
          <w:tcPr/>
          <w:p>
            <w:pPr>
              <w:pStyle w:val="Compact"/>
              <w:jc w:val="right"/>
            </w:pPr>
            <w:r>
              <w:t xml:space="preserve">0.336</w:t>
            </w:r>
          </w:p>
        </w:tc>
        <w:tc>
          <w:tcPr/>
          <w:p>
            <w:pPr>
              <w:pStyle w:val="Compact"/>
              <w:jc w:val="right"/>
            </w:pPr>
            <w:r>
              <w:t xml:space="preserve">0.317</w:t>
            </w:r>
          </w:p>
        </w:tc>
        <w:tc>
          <w:tcPr/>
          <w:p>
            <w:pPr>
              <w:pStyle w:val="Compact"/>
              <w:jc w:val="right"/>
            </w:pPr>
            <w:r>
              <w:t xml:space="preserve">0.033</w:t>
            </w:r>
          </w:p>
        </w:tc>
        <w:tc>
          <w:tcPr/>
          <w:p>
            <w:pPr>
              <w:pStyle w:val="Compact"/>
              <w:jc w:val="right"/>
            </w:pPr>
            <w:r>
              <w:t xml:space="preserve">0.045</w:t>
            </w:r>
          </w:p>
        </w:tc>
        <w:tc>
          <w:tcPr/>
          <w:p>
            <w:pPr>
              <w:pStyle w:val="Compact"/>
              <w:jc w:val="right"/>
            </w:pPr>
            <w:r>
              <w:t xml:space="preserve">0.625</w:t>
            </w:r>
          </w:p>
        </w:tc>
      </w:tr>
      <w:tr>
        <w:tc>
          <w:tcPr/>
          <w:p>
            <w:pPr>
              <w:pStyle w:val="Compact"/>
              <w:jc w:val="left"/>
            </w:pPr>
            <w:r>
              <w:t xml:space="preserve">9</w:t>
            </w:r>
          </w:p>
        </w:tc>
        <w:tc>
          <w:tcPr/>
          <w:p>
            <w:pPr>
              <w:pStyle w:val="Compact"/>
              <w:jc w:val="right"/>
            </w:pPr>
            <w:r>
              <w:t xml:space="preserve">0.314</w:t>
            </w:r>
          </w:p>
        </w:tc>
        <w:tc>
          <w:tcPr/>
          <w:p>
            <w:pPr>
              <w:pStyle w:val="Compact"/>
              <w:jc w:val="right"/>
            </w:pPr>
            <w:r>
              <w:t xml:space="preserve">0.327</w:t>
            </w:r>
          </w:p>
        </w:tc>
        <w:tc>
          <w:tcPr/>
          <w:p>
            <w:pPr>
              <w:pStyle w:val="Compact"/>
              <w:jc w:val="right"/>
            </w:pPr>
            <w:r>
              <w:t xml:space="preserve">0.243</w:t>
            </w:r>
          </w:p>
        </w:tc>
        <w:tc>
          <w:tcPr/>
          <w:p>
            <w:pPr>
              <w:pStyle w:val="Compact"/>
              <w:jc w:val="right"/>
            </w:pPr>
            <w:r>
              <w:t xml:space="preserve">0.350</w:t>
            </w:r>
          </w:p>
        </w:tc>
        <w:tc>
          <w:tcPr/>
          <w:p>
            <w:pPr>
              <w:pStyle w:val="Compact"/>
              <w:jc w:val="right"/>
            </w:pPr>
            <w:r>
              <w:t xml:space="preserve">0.384</w:t>
            </w:r>
          </w:p>
        </w:tc>
        <w:tc>
          <w:tcPr/>
          <w:p>
            <w:pPr>
              <w:pStyle w:val="Compact"/>
              <w:jc w:val="right"/>
            </w:pPr>
            <w:r>
              <w:t xml:space="preserve">0.045</w:t>
            </w:r>
          </w:p>
        </w:tc>
        <w:tc>
          <w:tcPr/>
          <w:p>
            <w:pPr>
              <w:pStyle w:val="Compact"/>
              <w:jc w:val="right"/>
            </w:pPr>
            <w:r>
              <w:t xml:space="preserve">0.041</w:t>
            </w:r>
          </w:p>
        </w:tc>
        <w:tc>
          <w:tcPr/>
          <w:p>
            <w:pPr>
              <w:pStyle w:val="Compact"/>
              <w:jc w:val="right"/>
            </w:pPr>
            <w:r>
              <w:t xml:space="preserve">0.421</w:t>
            </w:r>
          </w:p>
        </w:tc>
      </w:tr>
      <w:tr>
        <w:tc>
          <w:tcPr/>
          <w:p>
            <w:pPr>
              <w:pStyle w:val="Compact"/>
              <w:jc w:val="left"/>
            </w:pPr>
            <w:r>
              <w:t xml:space="preserve">10</w:t>
            </w:r>
          </w:p>
        </w:tc>
        <w:tc>
          <w:tcPr/>
          <w:p>
            <w:pPr>
              <w:pStyle w:val="Compact"/>
              <w:jc w:val="right"/>
            </w:pPr>
            <w:r>
              <w:t xml:space="preserve">0.271</w:t>
            </w:r>
          </w:p>
        </w:tc>
        <w:tc>
          <w:tcPr/>
          <w:p>
            <w:pPr>
              <w:pStyle w:val="Compact"/>
              <w:jc w:val="right"/>
            </w:pPr>
            <w:r>
              <w:t xml:space="preserve">0.317</w:t>
            </w:r>
          </w:p>
        </w:tc>
        <w:tc>
          <w:tcPr/>
          <w:p>
            <w:pPr>
              <w:pStyle w:val="Compact"/>
              <w:jc w:val="right"/>
            </w:pPr>
            <w:r>
              <w:t xml:space="preserve">0.305</w:t>
            </w:r>
          </w:p>
        </w:tc>
        <w:tc>
          <w:tcPr/>
          <w:p>
            <w:pPr>
              <w:pStyle w:val="Compact"/>
              <w:jc w:val="right"/>
            </w:pPr>
            <w:r>
              <w:t xml:space="preserve">0.485</w:t>
            </w:r>
          </w:p>
        </w:tc>
        <w:tc>
          <w:tcPr/>
          <w:p>
            <w:pPr>
              <w:pStyle w:val="Compact"/>
              <w:jc w:val="right"/>
            </w:pPr>
            <w:r>
              <w:t xml:space="preserve">0.434</w:t>
            </w:r>
          </w:p>
        </w:tc>
        <w:tc>
          <w:tcPr/>
          <w:p>
            <w:pPr>
              <w:pStyle w:val="Compact"/>
              <w:jc w:val="right"/>
            </w:pPr>
            <w:r>
              <w:t xml:space="preserve">0.047</w:t>
            </w:r>
          </w:p>
        </w:tc>
        <w:tc>
          <w:tcPr/>
          <w:p>
            <w:pPr>
              <w:pStyle w:val="Compact"/>
              <w:jc w:val="right"/>
            </w:pPr>
            <w:r>
              <w:t xml:space="preserve">0.049</w:t>
            </w:r>
          </w:p>
        </w:tc>
        <w:tc>
          <w:tcPr/>
          <w:p>
            <w:pPr>
              <w:pStyle w:val="Compact"/>
              <w:jc w:val="right"/>
            </w:pPr>
            <w:r>
              <w:t xml:space="preserve">0.458</w:t>
            </w:r>
          </w:p>
        </w:tc>
      </w:tr>
      <w:tr>
        <w:tc>
          <w:tcPr/>
          <w:p>
            <w:pPr>
              <w:pStyle w:val="Compact"/>
              <w:jc w:val="left"/>
            </w:pPr>
            <w:r>
              <w:t xml:space="preserve">11</w:t>
            </w:r>
          </w:p>
        </w:tc>
        <w:tc>
          <w:tcPr/>
          <w:p>
            <w:pPr>
              <w:pStyle w:val="Compact"/>
              <w:jc w:val="right"/>
            </w:pPr>
            <w:r>
              <w:t xml:space="preserve">0.449</w:t>
            </w:r>
          </w:p>
        </w:tc>
        <w:tc>
          <w:tcPr/>
          <w:p>
            <w:pPr>
              <w:pStyle w:val="Compact"/>
              <w:jc w:val="right"/>
            </w:pPr>
            <w:r>
              <w:t xml:space="preserve">0.510</w:t>
            </w:r>
          </w:p>
        </w:tc>
        <w:tc>
          <w:tcPr/>
          <w:p>
            <w:pPr>
              <w:pStyle w:val="Compact"/>
              <w:jc w:val="right"/>
            </w:pPr>
            <w:r>
              <w:t xml:space="preserve">0.477</w:t>
            </w:r>
          </w:p>
        </w:tc>
        <w:tc>
          <w:tcPr/>
          <w:p>
            <w:pPr>
              <w:pStyle w:val="Compact"/>
              <w:jc w:val="right"/>
            </w:pPr>
            <w:r>
              <w:t xml:space="preserve">0.397</w:t>
            </w:r>
          </w:p>
        </w:tc>
        <w:tc>
          <w:tcPr/>
          <w:p>
            <w:pPr>
              <w:pStyle w:val="Compact"/>
              <w:jc w:val="right"/>
            </w:pPr>
            <w:r>
              <w:t xml:space="preserve">0.371</w:t>
            </w:r>
          </w:p>
        </w:tc>
        <w:tc>
          <w:tcPr/>
          <w:p>
            <w:pPr>
              <w:pStyle w:val="Compact"/>
              <w:jc w:val="right"/>
            </w:pPr>
            <w:r>
              <w:t xml:space="preserve">0.052</w:t>
            </w:r>
          </w:p>
        </w:tc>
        <w:tc>
          <w:tcPr/>
          <w:p>
            <w:pPr>
              <w:pStyle w:val="Compact"/>
              <w:jc w:val="right"/>
            </w:pPr>
            <w:r>
              <w:t xml:space="preserve">0.057</w:t>
            </w:r>
          </w:p>
        </w:tc>
        <w:tc>
          <w:tcPr/>
          <w:p>
            <w:pPr>
              <w:pStyle w:val="Compact"/>
              <w:jc w:val="right"/>
            </w:pPr>
            <w:r>
              <w:t xml:space="preserve">0.693</w:t>
            </w:r>
          </w:p>
        </w:tc>
      </w:tr>
      <w:tr>
        <w:tc>
          <w:tcPr/>
          <w:p>
            <w:pPr>
              <w:pStyle w:val="Compact"/>
              <w:jc w:val="left"/>
            </w:pPr>
            <w:r>
              <w:t xml:space="preserve">12</w:t>
            </w:r>
          </w:p>
        </w:tc>
        <w:tc>
          <w:tcPr/>
          <w:p>
            <w:pPr>
              <w:pStyle w:val="Compact"/>
              <w:jc w:val="right"/>
            </w:pPr>
            <w:r>
              <w:t xml:space="preserve">0.296</w:t>
            </w:r>
          </w:p>
        </w:tc>
        <w:tc>
          <w:tcPr/>
          <w:p>
            <w:pPr>
              <w:pStyle w:val="Compact"/>
              <w:jc w:val="right"/>
            </w:pPr>
            <w:r>
              <w:t xml:space="preserve">0.438</w:t>
            </w:r>
          </w:p>
        </w:tc>
        <w:tc>
          <w:tcPr/>
          <w:p>
            <w:pPr>
              <w:pStyle w:val="Compact"/>
              <w:jc w:val="right"/>
            </w:pPr>
            <w:r>
              <w:t xml:space="preserve">0.369</w:t>
            </w:r>
          </w:p>
        </w:tc>
        <w:tc>
          <w:tcPr/>
          <w:p>
            <w:pPr>
              <w:pStyle w:val="Compact"/>
              <w:jc w:val="right"/>
            </w:pPr>
            <w:r>
              <w:t xml:space="preserve">0.391</w:t>
            </w:r>
          </w:p>
        </w:tc>
        <w:tc>
          <w:tcPr/>
          <w:p>
            <w:pPr>
              <w:pStyle w:val="Compact"/>
              <w:jc w:val="right"/>
            </w:pPr>
            <w:r>
              <w:t xml:space="preserve">0.411</w:t>
            </w:r>
          </w:p>
        </w:tc>
        <w:tc>
          <w:tcPr/>
          <w:p>
            <w:pPr>
              <w:pStyle w:val="Compact"/>
              <w:jc w:val="right"/>
            </w:pPr>
            <w:r>
              <w:t xml:space="preserve">0.039</w:t>
            </w:r>
          </w:p>
        </w:tc>
        <w:tc>
          <w:tcPr/>
          <w:p>
            <w:pPr>
              <w:pStyle w:val="Compact"/>
              <w:jc w:val="right"/>
            </w:pPr>
            <w:r>
              <w:t xml:space="preserve">0.052</w:t>
            </w:r>
          </w:p>
        </w:tc>
        <w:tc>
          <w:tcPr/>
          <w:p>
            <w:pPr>
              <w:pStyle w:val="Compact"/>
              <w:jc w:val="right"/>
            </w:pPr>
            <w:r>
              <w:t xml:space="preserve">0.400</w:t>
            </w:r>
          </w:p>
        </w:tc>
      </w:tr>
      <w:tr>
        <w:tc>
          <w:tcPr/>
          <w:p>
            <w:pPr>
              <w:pStyle w:val="Compact"/>
              <w:jc w:val="left"/>
            </w:pPr>
            <w:r>
              <w:t xml:space="preserve">13</w:t>
            </w:r>
          </w:p>
        </w:tc>
        <w:tc>
          <w:tcPr/>
          <w:p>
            <w:pPr>
              <w:pStyle w:val="Compact"/>
              <w:jc w:val="right"/>
            </w:pPr>
            <w:r>
              <w:t xml:space="preserve">0.480</w:t>
            </w:r>
          </w:p>
        </w:tc>
        <w:tc>
          <w:tcPr/>
          <w:p>
            <w:pPr>
              <w:pStyle w:val="Compact"/>
              <w:jc w:val="right"/>
            </w:pPr>
            <w:r>
              <w:t xml:space="preserve">0.525</w:t>
            </w:r>
          </w:p>
        </w:tc>
        <w:tc>
          <w:tcPr/>
          <w:p>
            <w:pPr>
              <w:pStyle w:val="Compact"/>
              <w:jc w:val="right"/>
            </w:pPr>
            <w:r>
              <w:t xml:space="preserve">0.423</w:t>
            </w:r>
          </w:p>
        </w:tc>
        <w:tc>
          <w:tcPr/>
          <w:p>
            <w:pPr>
              <w:pStyle w:val="Compact"/>
              <w:jc w:val="right"/>
            </w:pPr>
            <w:r>
              <w:t xml:space="preserve">0.541</w:t>
            </w:r>
          </w:p>
        </w:tc>
        <w:tc>
          <w:tcPr/>
          <w:p>
            <w:pPr>
              <w:pStyle w:val="Compact"/>
              <w:jc w:val="right"/>
            </w:pPr>
            <w:r>
              <w:t xml:space="preserve">0.526</w:t>
            </w:r>
          </w:p>
        </w:tc>
        <w:tc>
          <w:tcPr/>
          <w:p>
            <w:pPr>
              <w:pStyle w:val="Compact"/>
              <w:jc w:val="right"/>
            </w:pPr>
            <w:r>
              <w:t xml:space="preserve">0.053</w:t>
            </w:r>
          </w:p>
        </w:tc>
        <w:tc>
          <w:tcPr/>
          <w:p>
            <w:pPr>
              <w:pStyle w:val="Compact"/>
              <w:jc w:val="right"/>
            </w:pPr>
            <w:r>
              <w:t xml:space="preserve">0.051</w:t>
            </w:r>
          </w:p>
        </w:tc>
        <w:tc>
          <w:tcPr/>
          <w:p>
            <w:pPr>
              <w:pStyle w:val="Compact"/>
              <w:jc w:val="right"/>
            </w:pPr>
            <w:r>
              <w:t xml:space="preserve">0.598</w:t>
            </w:r>
          </w:p>
        </w:tc>
      </w:tr>
      <w:tr>
        <w:tc>
          <w:tcPr/>
          <w:p>
            <w:pPr>
              <w:pStyle w:val="Compact"/>
              <w:jc w:val="left"/>
            </w:pPr>
            <w:r>
              <w:t xml:space="preserve">14</w:t>
            </w:r>
          </w:p>
        </w:tc>
        <w:tc>
          <w:tcPr/>
          <w:p>
            <w:pPr>
              <w:pStyle w:val="Compact"/>
              <w:jc w:val="right"/>
            </w:pPr>
            <w:r>
              <w:t xml:space="preserve">0.358</w:t>
            </w:r>
          </w:p>
        </w:tc>
        <w:tc>
          <w:tcPr/>
          <w:p>
            <w:pPr>
              <w:pStyle w:val="Compact"/>
              <w:jc w:val="right"/>
            </w:pPr>
            <w:r>
              <w:t xml:space="preserve">0.431</w:t>
            </w:r>
          </w:p>
        </w:tc>
        <w:tc>
          <w:tcPr/>
          <w:p>
            <w:pPr>
              <w:pStyle w:val="Compact"/>
              <w:jc w:val="right"/>
            </w:pPr>
            <w:r>
              <w:t xml:space="preserve">0.452</w:t>
            </w:r>
          </w:p>
        </w:tc>
        <w:tc>
          <w:tcPr/>
          <w:p>
            <w:pPr>
              <w:pStyle w:val="Compact"/>
              <w:jc w:val="right"/>
            </w:pPr>
            <w:r>
              <w:t xml:space="preserve">0.330</w:t>
            </w:r>
          </w:p>
        </w:tc>
        <w:tc>
          <w:tcPr/>
          <w:p>
            <w:pPr>
              <w:pStyle w:val="Compact"/>
              <w:jc w:val="right"/>
            </w:pPr>
            <w:r>
              <w:t xml:space="preserve">0.334</w:t>
            </w:r>
          </w:p>
        </w:tc>
        <w:tc>
          <w:tcPr/>
          <w:p>
            <w:pPr>
              <w:pStyle w:val="Compact"/>
              <w:jc w:val="right"/>
            </w:pPr>
            <w:r>
              <w:t xml:space="preserve">0.044</w:t>
            </w:r>
          </w:p>
        </w:tc>
        <w:tc>
          <w:tcPr/>
          <w:p>
            <w:pPr>
              <w:pStyle w:val="Compact"/>
              <w:jc w:val="right"/>
            </w:pPr>
            <w:r>
              <w:t xml:space="preserve">0.046</w:t>
            </w:r>
          </w:p>
        </w:tc>
        <w:tc>
          <w:tcPr/>
          <w:p>
            <w:pPr>
              <w:pStyle w:val="Compact"/>
              <w:jc w:val="right"/>
            </w:pPr>
            <w:r>
              <w:t xml:space="preserve">0.504</w:t>
            </w:r>
          </w:p>
        </w:tc>
      </w:tr>
      <w:tr>
        <w:tc>
          <w:tcPr/>
          <w:p>
            <w:pPr>
              <w:pStyle w:val="Compact"/>
              <w:jc w:val="left"/>
            </w:pPr>
            <w:r>
              <w:t xml:space="preserve">15</w:t>
            </w:r>
          </w:p>
        </w:tc>
        <w:tc>
          <w:tcPr/>
          <w:p>
            <w:pPr>
              <w:pStyle w:val="Compact"/>
              <w:jc w:val="right"/>
            </w:pPr>
            <w:r>
              <w:t xml:space="preserve">0.239</w:t>
            </w:r>
          </w:p>
        </w:tc>
        <w:tc>
          <w:tcPr/>
          <w:p>
            <w:pPr>
              <w:pStyle w:val="Compact"/>
              <w:jc w:val="right"/>
            </w:pPr>
            <w:r>
              <w:t xml:space="preserve">0.231</w:t>
            </w:r>
          </w:p>
        </w:tc>
        <w:tc>
          <w:tcPr/>
          <w:p>
            <w:pPr>
              <w:pStyle w:val="Compact"/>
              <w:jc w:val="right"/>
            </w:pPr>
            <w:r>
              <w:t xml:space="preserve">0.325</w:t>
            </w:r>
          </w:p>
        </w:tc>
        <w:tc>
          <w:tcPr/>
          <w:p>
            <w:pPr>
              <w:pStyle w:val="Compact"/>
              <w:jc w:val="right"/>
            </w:pPr>
            <w:r>
              <w:t xml:space="preserve">0.345</w:t>
            </w:r>
          </w:p>
        </w:tc>
        <w:tc>
          <w:tcPr/>
          <w:p>
            <w:pPr>
              <w:pStyle w:val="Compact"/>
              <w:jc w:val="right"/>
            </w:pPr>
            <w:r>
              <w:t xml:space="preserve">0.307</w:t>
            </w:r>
          </w:p>
        </w:tc>
        <w:tc>
          <w:tcPr/>
          <w:p>
            <w:pPr>
              <w:pStyle w:val="Compact"/>
              <w:jc w:val="right"/>
            </w:pPr>
            <w:r>
              <w:t xml:space="preserve">0.044</w:t>
            </w:r>
          </w:p>
        </w:tc>
        <w:tc>
          <w:tcPr/>
          <w:p>
            <w:pPr>
              <w:pStyle w:val="Compact"/>
              <w:jc w:val="right"/>
            </w:pPr>
            <w:r>
              <w:t xml:space="preserve">0.045</w:t>
            </w:r>
          </w:p>
        </w:tc>
        <w:tc>
          <w:tcPr/>
          <w:p>
            <w:pPr>
              <w:pStyle w:val="Compact"/>
              <w:jc w:val="right"/>
            </w:pPr>
            <w:r>
              <w:t xml:space="preserve">0.346</w:t>
            </w:r>
          </w:p>
        </w:tc>
      </w:tr>
      <w:tr>
        <w:tc>
          <w:tcPr/>
          <w:p>
            <w:pPr>
              <w:pStyle w:val="Compact"/>
              <w:jc w:val="left"/>
            </w:pPr>
            <w:r>
              <w:t xml:space="preserve">16</w:t>
            </w:r>
          </w:p>
        </w:tc>
        <w:tc>
          <w:tcPr/>
          <w:p>
            <w:pPr>
              <w:pStyle w:val="Compact"/>
              <w:jc w:val="right"/>
            </w:pPr>
            <w:r>
              <w:t xml:space="preserve">0.329</w:t>
            </w:r>
          </w:p>
        </w:tc>
        <w:tc>
          <w:tcPr/>
          <w:p>
            <w:pPr>
              <w:pStyle w:val="Compact"/>
              <w:jc w:val="right"/>
            </w:pPr>
            <w:r>
              <w:t xml:space="preserve">0.332</w:t>
            </w:r>
          </w:p>
        </w:tc>
        <w:tc>
          <w:tcPr/>
          <w:p>
            <w:pPr>
              <w:pStyle w:val="Compact"/>
              <w:jc w:val="right"/>
            </w:pPr>
            <w:r>
              <w:t xml:space="preserve">0.294</w:t>
            </w:r>
          </w:p>
        </w:tc>
        <w:tc>
          <w:tcPr/>
          <w:p>
            <w:pPr>
              <w:pStyle w:val="Compact"/>
              <w:jc w:val="right"/>
            </w:pPr>
            <w:r>
              <w:t xml:space="preserve">0.322</w:t>
            </w:r>
          </w:p>
        </w:tc>
        <w:tc>
          <w:tcPr/>
          <w:p>
            <w:pPr>
              <w:pStyle w:val="Compact"/>
              <w:jc w:val="right"/>
            </w:pPr>
            <w:r>
              <w:t xml:space="preserve">0.322</w:t>
            </w:r>
          </w:p>
        </w:tc>
        <w:tc>
          <w:tcPr/>
          <w:p>
            <w:pPr>
              <w:pStyle w:val="Compact"/>
              <w:jc w:val="right"/>
            </w:pPr>
            <w:r>
              <w:t xml:space="preserve">0.040</w:t>
            </w:r>
          </w:p>
        </w:tc>
        <w:tc>
          <w:tcPr/>
          <w:p>
            <w:pPr>
              <w:pStyle w:val="Compact"/>
              <w:jc w:val="right"/>
            </w:pPr>
            <w:r>
              <w:t xml:space="preserve">0.037</w:t>
            </w:r>
          </w:p>
        </w:tc>
        <w:tc>
          <w:tcPr/>
          <w:p>
            <w:pPr>
              <w:pStyle w:val="Compact"/>
              <w:jc w:val="right"/>
            </w:pPr>
            <w:r>
              <w:t xml:space="preserve">0.541</w:t>
            </w:r>
          </w:p>
        </w:tc>
      </w:tr>
      <w:tr>
        <w:tc>
          <w:tcPr/>
          <w:p>
            <w:pPr>
              <w:pStyle w:val="Compact"/>
              <w:jc w:val="left"/>
            </w:pPr>
            <w:r>
              <w:t xml:space="preserve">17</w:t>
            </w:r>
          </w:p>
        </w:tc>
        <w:tc>
          <w:tcPr/>
          <w:p>
            <w:pPr>
              <w:pStyle w:val="Compact"/>
              <w:jc w:val="right"/>
            </w:pPr>
            <w:r>
              <w:t xml:space="preserve">0.177</w:t>
            </w:r>
          </w:p>
        </w:tc>
        <w:tc>
          <w:tcPr/>
          <w:p>
            <w:pPr>
              <w:pStyle w:val="Compact"/>
              <w:jc w:val="right"/>
            </w:pPr>
            <w:r>
              <w:t xml:space="preserve">0.267</w:t>
            </w:r>
          </w:p>
        </w:tc>
        <w:tc>
          <w:tcPr/>
          <w:p>
            <w:pPr>
              <w:pStyle w:val="Compact"/>
              <w:jc w:val="right"/>
            </w:pPr>
            <w:r>
              <w:t xml:space="preserve">0.398</w:t>
            </w:r>
          </w:p>
        </w:tc>
        <w:tc>
          <w:tcPr/>
          <w:p>
            <w:pPr>
              <w:pStyle w:val="Compact"/>
              <w:jc w:val="right"/>
            </w:pPr>
            <w:r>
              <w:t xml:space="preserve">0.241</w:t>
            </w:r>
          </w:p>
        </w:tc>
        <w:tc>
          <w:tcPr/>
          <w:p>
            <w:pPr>
              <w:pStyle w:val="Compact"/>
              <w:jc w:val="right"/>
            </w:pPr>
            <w:r>
              <w:t xml:space="preserve">0.355</w:t>
            </w:r>
          </w:p>
        </w:tc>
        <w:tc>
          <w:tcPr/>
          <w:p>
            <w:pPr>
              <w:pStyle w:val="Compact"/>
              <w:jc w:val="right"/>
            </w:pPr>
            <w:r>
              <w:t xml:space="preserve">0.023</w:t>
            </w:r>
          </w:p>
        </w:tc>
        <w:tc>
          <w:tcPr/>
          <w:p>
            <w:pPr>
              <w:pStyle w:val="Compact"/>
              <w:jc w:val="right"/>
            </w:pPr>
            <w:r>
              <w:t xml:space="preserve">0.030</w:t>
            </w:r>
          </w:p>
        </w:tc>
        <w:tc>
          <w:tcPr/>
          <w:p>
            <w:pPr>
              <w:pStyle w:val="Compact"/>
              <w:jc w:val="right"/>
            </w:pPr>
            <w:r>
              <w:t xml:space="preserve">0.312</w:t>
            </w:r>
          </w:p>
        </w:tc>
      </w:tr>
    </w:tbl>
    <w:bookmarkEnd w:id="137"/>
    <w:p>
      <w:pPr>
        <w:pStyle w:val="BodyText"/>
      </w:pPr>
      <w:r>
        <w:rPr>
          <w:iCs/>
          <w:i/>
        </w:rPr>
        <w:t xml:space="preserve">Notes:</w:t>
      </w:r>
      <w:r>
        <w:t xml:space="preserve"> </w:t>
      </w:r>
      <w:r>
        <w:t xml:space="preserve">Semantic gap =</w:t>
      </w:r>
      <w:r>
        <w:t xml:space="preserve"> </w:t>
      </w:r>
      <m:oMath>
        <m:r>
          <m:t>1</m:t>
        </m:r>
        <m:r>
          <m:rPr>
            <m:sty m:val="p"/>
          </m:rPr>
          <m:t>−</m:t>
        </m:r>
        <m:r>
          <m:rPr>
            <m:sty m:val="p"/>
          </m:rPr>
          <m:t>cos</m:t>
        </m:r>
        <m:d>
          <m:dPr>
            <m:begChr m:val="("/>
            <m:endChr m:val=")"/>
            <m:sepChr m:val=""/>
            <m:grow/>
          </m:dPr>
          <m:e>
            <m:sSub>
              <m:e>
                <m:r>
                  <m:rPr>
                    <m:sty m:val="b"/>
                  </m:rPr>
                  <m:t>r</m:t>
                </m:r>
              </m:e>
              <m:sub>
                <m:r>
                  <m:rPr>
                    <m:nor/>
                    <m:sty m:val="p"/>
                  </m:rPr>
                  <m:t>SDG</m:t>
                </m:r>
              </m:sub>
            </m:sSub>
            <m:r>
              <m:rPr>
                <m:sty m:val="p"/>
              </m:rPr>
              <m:t>,</m:t>
            </m:r>
            <m:sSub>
              <m:e>
                <m:r>
                  <m:rPr>
                    <m:sty m:val="b"/>
                  </m:rPr>
                  <m:t>p</m:t>
                </m:r>
              </m:e>
              <m:sub>
                <m:r>
                  <m:rPr>
                    <m:nor/>
                    <m:sty m:val="p"/>
                  </m:rPr>
                  <m:t>SDG</m:t>
                </m:r>
              </m:sub>
            </m:sSub>
          </m:e>
        </m:d>
      </m:oMath>
      <w:r>
        <w:t xml:space="preserve"> </w:t>
      </w:r>
      <w:r>
        <w:t xml:space="preserve">where</w:t>
      </w:r>
      <w:r>
        <w:t xml:space="preserve"> </w:t>
      </w:r>
      <m:oMath>
        <m:sSub>
          <m:e>
            <m:r>
              <m:rPr>
                <m:sty m:val="b"/>
              </m:rPr>
              <m:t>r</m:t>
            </m:r>
          </m:e>
          <m:sub>
            <m:r>
              <m:rPr>
                <m:nor/>
                <m:sty m:val="p"/>
              </m:rPr>
              <m:t>SDG</m:t>
            </m:r>
          </m:sub>
        </m:sSub>
      </m:oMath>
      <w:r>
        <w:t xml:space="preserve"> </w:t>
      </w:r>
      <w:r>
        <w:t xml:space="preserve">and</w:t>
      </w:r>
      <w:r>
        <w:t xml:space="preserve"> </w:t>
      </w:r>
      <m:oMath>
        <m:sSub>
          <m:e>
            <m:r>
              <m:rPr>
                <m:sty m:val="b"/>
              </m:rPr>
              <m:t>p</m:t>
            </m:r>
          </m:e>
          <m:sub>
            <m:r>
              <m:rPr>
                <m:nor/>
                <m:sty m:val="p"/>
              </m:rPr>
              <m:t>SDG</m:t>
            </m:r>
          </m:sub>
        </m:sSub>
      </m:oMath>
      <w:r>
        <w:t xml:space="preserve"> </w:t>
      </w:r>
      <w:r>
        <w:t xml:space="preserve">are the research and policy centroids; policy centroids use a 50-segment-per-document cap. All values are cosine units. This is a</w:t>
      </w:r>
      <w:r>
        <w:t xml:space="preserve"> </w:t>
      </w:r>
      <w:r>
        <w:rPr>
          <w:iCs/>
          <w:i/>
        </w:rPr>
        <w:t xml:space="preserve">values</w:t>
      </w:r>
      <w:r>
        <w:t xml:space="preserve"> </w:t>
      </w:r>
      <w:r>
        <w:t xml:space="preserve">table reporting the raw (naive) semantic gap; the adjusted (register-removed) ranking is shown in the rank-robustness tables (Section </w:t>
      </w:r>
      <w:hyperlink w:anchor="sec:cross-sensitivity">
        <w:r>
          <w:rPr>
            <w:rStyle w:val="Hyperlink"/>
          </w:rPr>
          <w:t xml:space="preserve">14.2</w:t>
        </w:r>
      </w:hyperlink>
      <w:r>
        <w:t xml:space="preserve">).</w:t>
      </w:r>
    </w:p>
    <w:bookmarkEnd w:id="138"/>
    <w:bookmarkStart w:id="140" w:name="app:assignment-method-comparison"/>
    <w:p>
      <w:pPr>
        <w:pStyle w:val="Heading2"/>
      </w:pPr>
      <w:r>
        <w:t xml:space="preserve">Assignment-Method Comparison: Supervised vs. Nearest-Centroid</w:t>
      </w:r>
    </w:p>
    <w:p>
      <w:pPr>
        <w:pStyle w:val="FirstParagraph"/>
      </w:pPr>
      <w:r>
        <w:t xml:space="preserve">The zero-shot nearest-centroid method is used in this study for one purpose only: a single comparison between the canonical supervised classifier (LR, with the MLP as robustness) and an assignment rule with no trained decision boundary. Table </w:t>
      </w:r>
      <w:hyperlink w:anchor="tab:app-assignment-method-comparison">
        <w:r>
          <w:rPr>
            <w:rStyle w:val="Hyperlink"/>
          </w:rPr>
          <w:t xml:space="preserve">30</w:t>
        </w:r>
      </w:hyperlink>
      <w:r>
        <w:t xml:space="preserve"> </w:t>
      </w:r>
      <w:r>
        <w:t xml:space="preserve">reports how often the two classifiers agree, per SDG and overall, for the research corpus (segment level) and the policy corpus (segment level), together with the LR-versus-zero-shot semantic-gap rank delta per SDG.</w:t>
      </w:r>
    </w:p>
    <w:bookmarkStart w:id="139" w:name="tab:app-assignment-method-comparison"/>
    <w:p>
      <w:pPr>
        <w:pStyle w:val="TableCaption"/>
      </w:pPr>
      <w:r>
        <w:t xml:space="preserve">Classifier agreement between the supervised LR classifier and the zero-shot nearest-centroid rule, by SDG and overall, under the canonical MPNet encoder and keyword retrieval.</w:t>
      </w:r>
    </w:p>
    <w:tbl>
      <w:tblPr>
        <w:tblStyle w:val="Table"/>
        <w:tblW w:type="auto" w:w="0"/>
        <w:tblLook w:firstRow="1" w:lastRow="0" w:firstColumn="0" w:lastColumn="0" w:noHBand="0" w:noVBand="0" w:val="0020"/>
        <w:jc w:val="start"/>
        <w:tblCaption w:val="Classifier agreement between the supervised LR classifier and the zero-shot nearest-centroid rule, by SDG and overall, under the canonical MPNet encoder and keyword retrieval."/>
      </w:tblPr>
      <w:tblGrid>
        <w:gridCol w:w="880"/>
        <w:gridCol w:w="880"/>
        <w:gridCol w:w="880"/>
        <w:gridCol w:w="880"/>
        <w:gridCol w:w="880"/>
        <w:gridCol w:w="880"/>
        <w:gridCol w:w="880"/>
        <w:gridCol w:w="880"/>
        <w:gridCol w:w="880"/>
      </w:tblGrid>
      <w:tr>
        <w:trPr>
          <w:tblHeader w:val="true"/>
        </w:trPr>
        <w:tc>
          <w:tcPr/>
          <w:p>
            <w:pPr>
              <w:pStyle w:val="Compact"/>
            </w:pPr>
          </w:p>
        </w:tc>
        <w:tc>
          <w:tcPr>
            <w:gridSpan w:val="3"/>
          </w:tcPr>
          <w:p>
            <w:pPr>
              <w:pStyle w:val="Compact"/>
              <w:jc w:val="center"/>
            </w:pPr>
            <w:r>
              <w:t xml:space="preserve">Research (segments)</w:t>
            </w:r>
          </w:p>
        </w:tc>
        <w:tc>
          <w:tcPr>
            <w:gridSpan w:val="2"/>
          </w:tcPr>
          <w:p>
            <w:pPr>
              <w:pStyle w:val="Compact"/>
              <w:jc w:val="center"/>
            </w:pPr>
            <w:r>
              <w:t xml:space="preserve">Policy (segments)</w:t>
            </w:r>
          </w:p>
        </w:tc>
        <w:tc>
          <w:tcPr>
            <w:gridSpan w:val="3"/>
          </w:tcPr>
          <w:p>
            <w:pPr>
              <w:pStyle w:val="Compact"/>
              <w:jc w:val="center"/>
            </w:pPr>
            <w:r>
              <w:t xml:space="preserve">Semantic-gap rank</w:t>
            </w:r>
          </w:p>
        </w:tc>
      </w:tr>
      <w:tr>
        <w:tc>
          <w:tcPr/>
          <w:p>
            <w:pPr>
              <w:pStyle w:val="Compact"/>
              <w:jc w:val="left"/>
            </w:pPr>
            <w:r>
              <w:t xml:space="preserve">2-4</w:t>
            </w:r>
            <w:r>
              <w:t xml:space="preserve"> </w:t>
            </w:r>
            <w:r>
              <w:t xml:space="preserve">(lr)</w:t>
            </w:r>
            <w:r>
              <w:t xml:space="preserve">5-6</w:t>
            </w:r>
            <w:r>
              <w:t xml:space="preserve"> </w:t>
            </w:r>
            <w:r>
              <w:t xml:space="preserve">(lr)</w:t>
            </w:r>
            <w:r>
              <w:t xml:space="preserve">7-9</w:t>
            </w:r>
            <w:r>
              <w:t xml:space="preserve"> </w:t>
            </w:r>
            <w:r>
              <w:t xml:space="preserve">SDG</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Res MLP %</w:t>
            </w:r>
          </w:p>
        </w:tc>
        <w:tc>
          <w:tcPr/>
          <w:p>
            <w:pPr>
              <w:pStyle w:val="Compact"/>
              <w:jc w:val="right"/>
            </w:pPr>
            <m:oMath>
              <m:sSub>
                <m:e>
                  <m:r>
                    <m:t>n</m:t>
                  </m:r>
                </m:e>
                <m:sub>
                  <m:r>
                    <m:rPr>
                      <m:nor/>
                      <m:sty m:val="p"/>
                    </m:rPr>
                    <m:t>LR</m:t>
                  </m:r>
                </m:sub>
              </m:sSub>
            </m:oMath>
          </w:p>
        </w:tc>
        <w:tc>
          <w:tcPr/>
          <w:p>
            <w:pPr>
              <w:pStyle w:val="Compact"/>
              <w:jc w:val="right"/>
            </w:pPr>
            <w:r>
              <w:t xml:space="preserve">Agree %</w:t>
            </w:r>
          </w:p>
        </w:tc>
        <w:tc>
          <w:tcPr/>
          <w:p>
            <w:pPr>
              <w:pStyle w:val="Compact"/>
              <w:jc w:val="right"/>
            </w:pPr>
            <w:r>
              <w:t xml:space="preserve">LR</w:t>
            </w:r>
          </w:p>
        </w:tc>
        <w:tc>
          <w:tcPr/>
          <w:p>
            <w:pPr>
              <w:pStyle w:val="Compact"/>
              <w:jc w:val="right"/>
            </w:pPr>
            <w:r>
              <w:t xml:space="preserve">ZS</w:t>
            </w:r>
          </w:p>
        </w:tc>
        <w:tc>
          <w:tcPr/>
          <w:p>
            <w:pPr>
              <w:pStyle w:val="Compact"/>
              <w:jc w:val="right"/>
            </w:pPr>
            <m:oMath>
              <m:d>
                <m:dPr>
                  <m:begChr m:val="|"/>
                  <m:endChr m:val="|"/>
                  <m:sepChr m:val=""/>
                  <m:grow/>
                </m:dPr>
                <m:e>
                  <m:r>
                    <m:t>Δ</m:t>
                  </m:r>
                </m:e>
              </m:d>
            </m:oMath>
          </w:p>
        </w:tc>
      </w:tr>
      <w:tr>
        <w:tc>
          <w:tcPr/>
          <w:p>
            <w:pPr>
              <w:pStyle w:val="Compact"/>
              <w:jc w:val="left"/>
            </w:pPr>
            <w:r>
              <w:t xml:space="preserve">1 (No Poverty)</w:t>
            </w:r>
          </w:p>
        </w:tc>
        <w:tc>
          <w:tcPr/>
          <w:p>
            <w:pPr>
              <w:pStyle w:val="Compact"/>
              <w:jc w:val="right"/>
            </w:pPr>
            <w:r>
              <w:t xml:space="preserve">13,459</w:t>
            </w:r>
          </w:p>
        </w:tc>
        <w:tc>
          <w:tcPr/>
          <w:p>
            <w:pPr>
              <w:pStyle w:val="Compact"/>
              <w:jc w:val="right"/>
            </w:pPr>
            <w:r>
              <w:t xml:space="preserve">30.9</w:t>
            </w:r>
          </w:p>
        </w:tc>
        <w:tc>
          <w:tcPr/>
          <w:p>
            <w:pPr>
              <w:pStyle w:val="Compact"/>
              <w:jc w:val="right"/>
            </w:pPr>
            <w:r>
              <w:t xml:space="preserve">14.9</w:t>
            </w:r>
          </w:p>
        </w:tc>
        <w:tc>
          <w:tcPr/>
          <w:p>
            <w:pPr>
              <w:pStyle w:val="Compact"/>
              <w:jc w:val="right"/>
            </w:pPr>
            <w:r>
              <w:t xml:space="preserve">1,700</w:t>
            </w:r>
          </w:p>
        </w:tc>
        <w:tc>
          <w:tcPr/>
          <w:p>
            <w:pPr>
              <w:pStyle w:val="Compact"/>
              <w:jc w:val="right"/>
            </w:pPr>
            <w:r>
              <w:t xml:space="preserve">70.8</w:t>
            </w:r>
          </w:p>
        </w:tc>
        <w:tc>
          <w:tcPr/>
          <w:p>
            <w:pPr>
              <w:pStyle w:val="Compact"/>
              <w:jc w:val="right"/>
            </w:pPr>
            <w:r>
              <w:t xml:space="preserve">5</w:t>
            </w:r>
          </w:p>
        </w:tc>
        <w:tc>
          <w:tcPr/>
          <w:p>
            <w:pPr>
              <w:pStyle w:val="Compact"/>
              <w:jc w:val="right"/>
            </w:pPr>
            <w:r>
              <w:t xml:space="preserve">7</w:t>
            </w:r>
          </w:p>
        </w:tc>
        <w:tc>
          <w:tcPr/>
          <w:p>
            <w:pPr>
              <w:pStyle w:val="Compact"/>
              <w:jc w:val="right"/>
            </w:pPr>
            <w:r>
              <w:t xml:space="preserve">2</w:t>
            </w:r>
          </w:p>
        </w:tc>
      </w:tr>
      <w:tr>
        <w:tc>
          <w:tcPr/>
          <w:p>
            <w:pPr>
              <w:pStyle w:val="Compact"/>
              <w:jc w:val="left"/>
            </w:pPr>
            <w:r>
              <w:t xml:space="preserve">2 (Zero Hunger)</w:t>
            </w:r>
          </w:p>
        </w:tc>
        <w:tc>
          <w:tcPr/>
          <w:p>
            <w:pPr>
              <w:pStyle w:val="Compact"/>
              <w:jc w:val="right"/>
            </w:pPr>
            <w:r>
              <w:t xml:space="preserve">78,591</w:t>
            </w:r>
          </w:p>
        </w:tc>
        <w:tc>
          <w:tcPr/>
          <w:p>
            <w:pPr>
              <w:pStyle w:val="Compact"/>
              <w:jc w:val="right"/>
            </w:pPr>
            <w:r>
              <w:t xml:space="preserve">77.6</w:t>
            </w:r>
          </w:p>
        </w:tc>
        <w:tc>
          <w:tcPr/>
          <w:p>
            <w:pPr>
              <w:pStyle w:val="Compact"/>
              <w:jc w:val="right"/>
            </w:pPr>
            <w:r>
              <w:t xml:space="preserve">59.8</w:t>
            </w:r>
          </w:p>
        </w:tc>
        <w:tc>
          <w:tcPr/>
          <w:p>
            <w:pPr>
              <w:pStyle w:val="Compact"/>
              <w:jc w:val="right"/>
            </w:pPr>
            <w:r>
              <w:t xml:space="preserve">1,723</w:t>
            </w:r>
          </w:p>
        </w:tc>
        <w:tc>
          <w:tcPr/>
          <w:p>
            <w:pPr>
              <w:pStyle w:val="Compact"/>
              <w:jc w:val="right"/>
            </w:pPr>
            <w:r>
              <w:t xml:space="preserve">94.1</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3 (Good Health)</w:t>
            </w:r>
          </w:p>
        </w:tc>
        <w:tc>
          <w:tcPr/>
          <w:p>
            <w:pPr>
              <w:pStyle w:val="Compact"/>
              <w:jc w:val="right"/>
            </w:pPr>
            <w:r>
              <w:t xml:space="preserve">859,355</w:t>
            </w:r>
          </w:p>
        </w:tc>
        <w:tc>
          <w:tcPr/>
          <w:p>
            <w:pPr>
              <w:pStyle w:val="Compact"/>
              <w:jc w:val="right"/>
            </w:pPr>
            <w:r>
              <w:t xml:space="preserve">75.0</w:t>
            </w:r>
          </w:p>
        </w:tc>
        <w:tc>
          <w:tcPr/>
          <w:p>
            <w:pPr>
              <w:pStyle w:val="Compact"/>
              <w:jc w:val="right"/>
            </w:pPr>
            <w:r>
              <w:t xml:space="preserve">79.8</w:t>
            </w:r>
          </w:p>
        </w:tc>
        <w:tc>
          <w:tcPr/>
          <w:p>
            <w:pPr>
              <w:pStyle w:val="Compact"/>
              <w:jc w:val="right"/>
            </w:pPr>
            <w:r>
              <w:t xml:space="preserve">2,934</w:t>
            </w:r>
          </w:p>
        </w:tc>
        <w:tc>
          <w:tcPr/>
          <w:p>
            <w:pPr>
              <w:pStyle w:val="Compact"/>
              <w:jc w:val="right"/>
            </w:pPr>
            <w:r>
              <w:t xml:space="preserve">87.7</w:t>
            </w:r>
          </w:p>
        </w:tc>
        <w:tc>
          <w:tcPr/>
          <w:p>
            <w:pPr>
              <w:pStyle w:val="Compact"/>
              <w:jc w:val="right"/>
            </w:pPr>
            <w:r>
              <w:t xml:space="preserve">1</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4 (Education)</w:t>
            </w:r>
          </w:p>
        </w:tc>
        <w:tc>
          <w:tcPr/>
          <w:p>
            <w:pPr>
              <w:pStyle w:val="Compact"/>
              <w:jc w:val="right"/>
            </w:pPr>
            <w:r>
              <w:t xml:space="preserve">470,002</w:t>
            </w:r>
          </w:p>
        </w:tc>
        <w:tc>
          <w:tcPr/>
          <w:p>
            <w:pPr>
              <w:pStyle w:val="Compact"/>
              <w:jc w:val="right"/>
            </w:pPr>
            <w:r>
              <w:t xml:space="preserve">82.4</w:t>
            </w:r>
          </w:p>
        </w:tc>
        <w:tc>
          <w:tcPr/>
          <w:p>
            <w:pPr>
              <w:pStyle w:val="Compact"/>
              <w:jc w:val="right"/>
            </w:pPr>
            <w:r>
              <w:t xml:space="preserve">82.6</w:t>
            </w:r>
          </w:p>
        </w:tc>
        <w:tc>
          <w:tcPr/>
          <w:p>
            <w:pPr>
              <w:pStyle w:val="Compact"/>
              <w:jc w:val="right"/>
            </w:pPr>
            <w:r>
              <w:t xml:space="preserve">2,055</w:t>
            </w:r>
          </w:p>
        </w:tc>
        <w:tc>
          <w:tcPr/>
          <w:p>
            <w:pPr>
              <w:pStyle w:val="Compact"/>
              <w:jc w:val="right"/>
            </w:pPr>
            <w:r>
              <w:t xml:space="preserve">91.3</w:t>
            </w:r>
          </w:p>
        </w:tc>
        <w:tc>
          <w:tcPr/>
          <w:p>
            <w:pPr>
              <w:pStyle w:val="Compact"/>
              <w:jc w:val="right"/>
            </w:pPr>
            <w:r>
              <w:t xml:space="preserve">15</w:t>
            </w:r>
          </w:p>
        </w:tc>
        <w:tc>
          <w:tcPr/>
          <w:p>
            <w:pPr>
              <w:pStyle w:val="Compact"/>
              <w:jc w:val="right"/>
            </w:pPr>
            <w:r>
              <w:t xml:space="preserve">15</w:t>
            </w:r>
          </w:p>
        </w:tc>
        <w:tc>
          <w:tcPr/>
          <w:p>
            <w:pPr>
              <w:pStyle w:val="Compact"/>
              <w:jc w:val="right"/>
            </w:pPr>
            <w:r>
              <w:t xml:space="preserve">0</w:t>
            </w:r>
          </w:p>
        </w:tc>
      </w:tr>
      <w:tr>
        <w:tc>
          <w:tcPr/>
          <w:p>
            <w:pPr>
              <w:pStyle w:val="Compact"/>
              <w:jc w:val="left"/>
            </w:pPr>
            <w:r>
              <w:t xml:space="preserve">5 (Gender Equality)</w:t>
            </w:r>
          </w:p>
        </w:tc>
        <w:tc>
          <w:tcPr/>
          <w:p>
            <w:pPr>
              <w:pStyle w:val="Compact"/>
              <w:jc w:val="right"/>
            </w:pPr>
            <w:r>
              <w:t xml:space="preserve">64,940</w:t>
            </w:r>
          </w:p>
        </w:tc>
        <w:tc>
          <w:tcPr/>
          <w:p>
            <w:pPr>
              <w:pStyle w:val="Compact"/>
              <w:jc w:val="right"/>
            </w:pPr>
            <w:r>
              <w:t xml:space="preserve">56.3</w:t>
            </w:r>
          </w:p>
        </w:tc>
        <w:tc>
          <w:tcPr/>
          <w:p>
            <w:pPr>
              <w:pStyle w:val="Compact"/>
              <w:jc w:val="right"/>
            </w:pPr>
            <w:r>
              <w:t xml:space="preserve">37.0</w:t>
            </w:r>
          </w:p>
        </w:tc>
        <w:tc>
          <w:tcPr/>
          <w:p>
            <w:pPr>
              <w:pStyle w:val="Compact"/>
              <w:jc w:val="right"/>
            </w:pPr>
            <w:r>
              <w:t xml:space="preserve">2,026</w:t>
            </w:r>
          </w:p>
        </w:tc>
        <w:tc>
          <w:tcPr/>
          <w:p>
            <w:pPr>
              <w:pStyle w:val="Compact"/>
              <w:jc w:val="right"/>
            </w:pPr>
            <w:r>
              <w:t xml:space="preserve">88.5</w:t>
            </w:r>
          </w:p>
        </w:tc>
        <w:tc>
          <w:tcPr/>
          <w:p>
            <w:pPr>
              <w:pStyle w:val="Compact"/>
              <w:jc w:val="right"/>
            </w:pPr>
            <w:r>
              <w:t xml:space="preserve">13</w:t>
            </w:r>
          </w:p>
        </w:tc>
        <w:tc>
          <w:tcPr/>
          <w:p>
            <w:pPr>
              <w:pStyle w:val="Compact"/>
              <w:jc w:val="right"/>
            </w:pPr>
            <w:r>
              <w:t xml:space="preserve">16</w:t>
            </w:r>
          </w:p>
        </w:tc>
        <w:tc>
          <w:tcPr/>
          <w:p>
            <w:pPr>
              <w:pStyle w:val="Compact"/>
              <w:jc w:val="right"/>
            </w:pPr>
            <w:r>
              <w:t xml:space="preserve">3</w:t>
            </w:r>
          </w:p>
        </w:tc>
      </w:tr>
      <w:tr>
        <w:tc>
          <w:tcPr/>
          <w:p>
            <w:pPr>
              <w:pStyle w:val="Compact"/>
              <w:jc w:val="left"/>
            </w:pPr>
            <w:r>
              <w:t xml:space="preserve">6 (Clean Water)</w:t>
            </w:r>
          </w:p>
        </w:tc>
        <w:tc>
          <w:tcPr/>
          <w:p>
            <w:pPr>
              <w:pStyle w:val="Compact"/>
              <w:jc w:val="right"/>
            </w:pPr>
            <w:r>
              <w:t xml:space="preserve">35,137</w:t>
            </w:r>
          </w:p>
        </w:tc>
        <w:tc>
          <w:tcPr/>
          <w:p>
            <w:pPr>
              <w:pStyle w:val="Compact"/>
              <w:jc w:val="right"/>
            </w:pPr>
            <w:r>
              <w:t xml:space="preserve">85.3</w:t>
            </w:r>
          </w:p>
        </w:tc>
        <w:tc>
          <w:tcPr/>
          <w:p>
            <w:pPr>
              <w:pStyle w:val="Compact"/>
              <w:jc w:val="right"/>
            </w:pPr>
            <w:r>
              <w:t xml:space="preserve">75.2</w:t>
            </w:r>
          </w:p>
        </w:tc>
        <w:tc>
          <w:tcPr/>
          <w:p>
            <w:pPr>
              <w:pStyle w:val="Compact"/>
              <w:jc w:val="right"/>
            </w:pPr>
            <w:r>
              <w:t xml:space="preserve">1,206</w:t>
            </w:r>
          </w:p>
        </w:tc>
        <w:tc>
          <w:tcPr/>
          <w:p>
            <w:pPr>
              <w:pStyle w:val="Compact"/>
              <w:jc w:val="right"/>
            </w:pPr>
            <w:r>
              <w:t xml:space="preserve">94.6</w:t>
            </w:r>
          </w:p>
        </w:tc>
        <w:tc>
          <w:tcPr/>
          <w:p>
            <w:pPr>
              <w:pStyle w:val="Compact"/>
              <w:jc w:val="right"/>
            </w:pPr>
            <w:r>
              <w:t xml:space="preserve">12</w:t>
            </w:r>
          </w:p>
        </w:tc>
        <w:tc>
          <w:tcPr/>
          <w:p>
            <w:pPr>
              <w:pStyle w:val="Compact"/>
              <w:jc w:val="right"/>
            </w:pPr>
            <w:r>
              <w:t xml:space="preserve">5</w:t>
            </w:r>
          </w:p>
        </w:tc>
        <w:tc>
          <w:tcPr/>
          <w:p>
            <w:pPr>
              <w:pStyle w:val="Compact"/>
              <w:jc w:val="right"/>
            </w:pPr>
            <w:r>
              <w:t xml:space="preserve">7</w:t>
            </w:r>
          </w:p>
        </w:tc>
      </w:tr>
      <w:tr>
        <w:tc>
          <w:tcPr/>
          <w:p>
            <w:pPr>
              <w:pStyle w:val="Compact"/>
              <w:jc w:val="left"/>
            </w:pPr>
            <w:r>
              <w:t xml:space="preserve">7 (Clean Energy)</w:t>
            </w:r>
          </w:p>
        </w:tc>
        <w:tc>
          <w:tcPr/>
          <w:p>
            <w:pPr>
              <w:pStyle w:val="Compact"/>
              <w:jc w:val="right"/>
            </w:pPr>
            <w:r>
              <w:t xml:space="preserve">119,467</w:t>
            </w:r>
          </w:p>
        </w:tc>
        <w:tc>
          <w:tcPr/>
          <w:p>
            <w:pPr>
              <w:pStyle w:val="Compact"/>
              <w:jc w:val="right"/>
            </w:pPr>
            <w:r>
              <w:t xml:space="preserve">88.3</w:t>
            </w:r>
          </w:p>
        </w:tc>
        <w:tc>
          <w:tcPr/>
          <w:p>
            <w:pPr>
              <w:pStyle w:val="Compact"/>
              <w:jc w:val="right"/>
            </w:pPr>
            <w:r>
              <w:t xml:space="preserve">81.9</w:t>
            </w:r>
          </w:p>
        </w:tc>
        <w:tc>
          <w:tcPr/>
          <w:p>
            <w:pPr>
              <w:pStyle w:val="Compact"/>
              <w:jc w:val="right"/>
            </w:pPr>
            <w:r>
              <w:t xml:space="preserve">1,808</w:t>
            </w:r>
          </w:p>
        </w:tc>
        <w:tc>
          <w:tcPr/>
          <w:p>
            <w:pPr>
              <w:pStyle w:val="Compact"/>
              <w:jc w:val="right"/>
            </w:pPr>
            <w:r>
              <w:t xml:space="preserve">84.1</w:t>
            </w:r>
          </w:p>
        </w:tc>
        <w:tc>
          <w:tcPr/>
          <w:p>
            <w:pPr>
              <w:pStyle w:val="Compact"/>
              <w:jc w:val="right"/>
            </w:pPr>
            <w:r>
              <w:t xml:space="preserve">4</w:t>
            </w:r>
          </w:p>
        </w:tc>
        <w:tc>
          <w:tcPr/>
          <w:p>
            <w:pPr>
              <w:pStyle w:val="Compact"/>
              <w:jc w:val="right"/>
            </w:pPr>
            <w:r>
              <w:t xml:space="preserve">1</w:t>
            </w:r>
          </w:p>
        </w:tc>
        <w:tc>
          <w:tcPr/>
          <w:p>
            <w:pPr>
              <w:pStyle w:val="Compact"/>
              <w:jc w:val="right"/>
            </w:pPr>
            <w:r>
              <w:t xml:space="preserve">3</w:t>
            </w:r>
          </w:p>
        </w:tc>
      </w:tr>
      <w:tr>
        <w:tc>
          <w:tcPr/>
          <w:p>
            <w:pPr>
              <w:pStyle w:val="Compact"/>
              <w:jc w:val="left"/>
            </w:pPr>
            <w:r>
              <w:t xml:space="preserve">8 (Decent Work)</w:t>
            </w:r>
          </w:p>
        </w:tc>
        <w:tc>
          <w:tcPr/>
          <w:p>
            <w:pPr>
              <w:pStyle w:val="Compact"/>
              <w:jc w:val="right"/>
            </w:pPr>
            <w:r>
              <w:t xml:space="preserve">65,500</w:t>
            </w:r>
          </w:p>
        </w:tc>
        <w:tc>
          <w:tcPr/>
          <w:p>
            <w:pPr>
              <w:pStyle w:val="Compact"/>
              <w:jc w:val="right"/>
            </w:pPr>
            <w:r>
              <w:t xml:space="preserve">44.4</w:t>
            </w:r>
          </w:p>
        </w:tc>
        <w:tc>
          <w:tcPr/>
          <w:p>
            <w:pPr>
              <w:pStyle w:val="Compact"/>
              <w:jc w:val="right"/>
            </w:pPr>
            <w:r>
              <w:t xml:space="preserve">20.7</w:t>
            </w:r>
          </w:p>
        </w:tc>
        <w:tc>
          <w:tcPr/>
          <w:p>
            <w:pPr>
              <w:pStyle w:val="Compact"/>
              <w:jc w:val="right"/>
            </w:pPr>
            <w:r>
              <w:t xml:space="preserve">2,016</w:t>
            </w:r>
          </w:p>
        </w:tc>
        <w:tc>
          <w:tcPr/>
          <w:p>
            <w:pPr>
              <w:pStyle w:val="Compact"/>
              <w:jc w:val="right"/>
            </w:pPr>
            <w:r>
              <w:t xml:space="preserve">71.3</w:t>
            </w:r>
          </w:p>
        </w:tc>
        <w:tc>
          <w:tcPr/>
          <w:p>
            <w:pPr>
              <w:pStyle w:val="Compact"/>
              <w:jc w:val="right"/>
            </w:pPr>
            <w:r>
              <w:t xml:space="preserve">6</w:t>
            </w:r>
          </w:p>
        </w:tc>
        <w:tc>
          <w:tcPr/>
          <w:p>
            <w:pPr>
              <w:pStyle w:val="Compact"/>
              <w:jc w:val="right"/>
            </w:pPr>
            <w:r>
              <w:t xml:space="preserve">14</w:t>
            </w:r>
          </w:p>
        </w:tc>
        <w:tc>
          <w:tcPr/>
          <w:p>
            <w:pPr>
              <w:pStyle w:val="Compact"/>
              <w:jc w:val="right"/>
            </w:pPr>
            <w:r>
              <w:t xml:space="preserve">8</w:t>
            </w:r>
          </w:p>
        </w:tc>
      </w:tr>
      <w:tr>
        <w:tc>
          <w:tcPr/>
          <w:p>
            <w:pPr>
              <w:pStyle w:val="Compact"/>
              <w:jc w:val="left"/>
            </w:pPr>
            <w:r>
              <w:t xml:space="preserve">9 (Innovation)</w:t>
            </w:r>
          </w:p>
        </w:tc>
        <w:tc>
          <w:tcPr/>
          <w:p>
            <w:pPr>
              <w:pStyle w:val="Compact"/>
              <w:jc w:val="right"/>
            </w:pPr>
            <w:r>
              <w:t xml:space="preserve">577,833</w:t>
            </w:r>
          </w:p>
        </w:tc>
        <w:tc>
          <w:tcPr/>
          <w:p>
            <w:pPr>
              <w:pStyle w:val="Compact"/>
              <w:jc w:val="right"/>
            </w:pPr>
            <w:r>
              <w:t xml:space="preserve">50.8</w:t>
            </w:r>
          </w:p>
        </w:tc>
        <w:tc>
          <w:tcPr/>
          <w:p>
            <w:pPr>
              <w:pStyle w:val="Compact"/>
              <w:jc w:val="right"/>
            </w:pPr>
            <w:r>
              <w:t xml:space="preserve">45.1</w:t>
            </w:r>
          </w:p>
        </w:tc>
        <w:tc>
          <w:tcPr/>
          <w:p>
            <w:pPr>
              <w:pStyle w:val="Compact"/>
              <w:jc w:val="right"/>
            </w:pPr>
            <w:r>
              <w:t xml:space="preserve">4,066</w:t>
            </w:r>
          </w:p>
        </w:tc>
        <w:tc>
          <w:tcPr/>
          <w:p>
            <w:pPr>
              <w:pStyle w:val="Compact"/>
              <w:jc w:val="right"/>
            </w:pPr>
            <w:r>
              <w:t xml:space="preserve">81.0</w:t>
            </w:r>
          </w:p>
        </w:tc>
        <w:tc>
          <w:tcPr/>
          <w:p>
            <w:pPr>
              <w:pStyle w:val="Compact"/>
              <w:jc w:val="right"/>
            </w:pPr>
            <w:r>
              <w:t xml:space="preserve">9</w:t>
            </w:r>
          </w:p>
        </w:tc>
        <w:tc>
          <w:tcPr/>
          <w:p>
            <w:pPr>
              <w:pStyle w:val="Compact"/>
              <w:jc w:val="right"/>
            </w:pPr>
            <w:r>
              <w:t xml:space="preserve">17</w:t>
            </w:r>
          </w:p>
        </w:tc>
        <w:tc>
          <w:tcPr/>
          <w:p>
            <w:pPr>
              <w:pStyle w:val="Compact"/>
              <w:jc w:val="right"/>
            </w:pPr>
            <w:r>
              <w:t xml:space="preserve">8</w:t>
            </w:r>
          </w:p>
        </w:tc>
      </w:tr>
      <w:tr>
        <w:tc>
          <w:tcPr/>
          <w:p>
            <w:pPr>
              <w:pStyle w:val="Compact"/>
              <w:jc w:val="left"/>
            </w:pPr>
            <w:r>
              <w:t xml:space="preserve">10 (Reduced Ineq.)</w:t>
            </w:r>
          </w:p>
        </w:tc>
        <w:tc>
          <w:tcPr/>
          <w:p>
            <w:pPr>
              <w:pStyle w:val="Compact"/>
              <w:jc w:val="right"/>
            </w:pPr>
            <w:r>
              <w:t xml:space="preserve">30,323</w:t>
            </w:r>
          </w:p>
        </w:tc>
        <w:tc>
          <w:tcPr/>
          <w:p>
            <w:pPr>
              <w:pStyle w:val="Compact"/>
              <w:jc w:val="right"/>
            </w:pPr>
            <w:r>
              <w:t xml:space="preserve">23.6</w:t>
            </w:r>
          </w:p>
        </w:tc>
        <w:tc>
          <w:tcPr/>
          <w:p>
            <w:pPr>
              <w:pStyle w:val="Compact"/>
              <w:jc w:val="right"/>
            </w:pPr>
            <w:r>
              <w:t xml:space="preserve">12.8</w:t>
            </w:r>
          </w:p>
        </w:tc>
        <w:tc>
          <w:tcPr/>
          <w:p>
            <w:pPr>
              <w:pStyle w:val="Compact"/>
              <w:jc w:val="right"/>
            </w:pPr>
            <w:r>
              <w:t xml:space="preserve">1,123</w:t>
            </w:r>
          </w:p>
        </w:tc>
        <w:tc>
          <w:tcPr/>
          <w:p>
            <w:pPr>
              <w:pStyle w:val="Compact"/>
              <w:jc w:val="right"/>
            </w:pPr>
            <w:r>
              <w:t xml:space="preserve">56.9</w:t>
            </w:r>
          </w:p>
        </w:tc>
        <w:tc>
          <w:tcPr/>
          <w:p>
            <w:pPr>
              <w:pStyle w:val="Compact"/>
              <w:jc w:val="right"/>
            </w:pPr>
            <w:r>
              <w:t xml:space="preserve">14</w:t>
            </w:r>
          </w:p>
        </w:tc>
        <w:tc>
          <w:tcPr/>
          <w:p>
            <w:pPr>
              <w:pStyle w:val="Compact"/>
              <w:jc w:val="right"/>
            </w:pPr>
            <w:r>
              <w:t xml:space="preserve">12</w:t>
            </w:r>
          </w:p>
        </w:tc>
        <w:tc>
          <w:tcPr/>
          <w:p>
            <w:pPr>
              <w:pStyle w:val="Compact"/>
              <w:jc w:val="right"/>
            </w:pPr>
            <w:r>
              <w:t xml:space="preserve">2</w:t>
            </w:r>
          </w:p>
        </w:tc>
      </w:tr>
      <w:tr>
        <w:tc>
          <w:tcPr/>
          <w:p>
            <w:pPr>
              <w:pStyle w:val="Compact"/>
              <w:jc w:val="left"/>
            </w:pPr>
            <w:r>
              <w:t xml:space="preserve">11 (Sust. Cities)</w:t>
            </w:r>
          </w:p>
        </w:tc>
        <w:tc>
          <w:tcPr/>
          <w:p>
            <w:pPr>
              <w:pStyle w:val="Compact"/>
              <w:jc w:val="right"/>
            </w:pPr>
            <w:r>
              <w:t xml:space="preserve">146,508</w:t>
            </w:r>
          </w:p>
        </w:tc>
        <w:tc>
          <w:tcPr/>
          <w:p>
            <w:pPr>
              <w:pStyle w:val="Compact"/>
              <w:jc w:val="right"/>
            </w:pPr>
            <w:r>
              <w:t xml:space="preserve">77.2</w:t>
            </w:r>
          </w:p>
        </w:tc>
        <w:tc>
          <w:tcPr/>
          <w:p>
            <w:pPr>
              <w:pStyle w:val="Compact"/>
              <w:jc w:val="right"/>
            </w:pPr>
            <w:r>
              <w:t xml:space="preserve">64.0</w:t>
            </w:r>
          </w:p>
        </w:tc>
        <w:tc>
          <w:tcPr/>
          <w:p>
            <w:pPr>
              <w:pStyle w:val="Compact"/>
              <w:jc w:val="right"/>
            </w:pPr>
            <w:r>
              <w:t xml:space="preserve">1,658</w:t>
            </w:r>
          </w:p>
        </w:tc>
        <w:tc>
          <w:tcPr/>
          <w:p>
            <w:pPr>
              <w:pStyle w:val="Compact"/>
              <w:jc w:val="right"/>
            </w:pPr>
            <w:r>
              <w:t xml:space="preserve">88.3</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12 (Consumption)</w:t>
            </w:r>
          </w:p>
        </w:tc>
        <w:tc>
          <w:tcPr/>
          <w:p>
            <w:pPr>
              <w:pStyle w:val="Compact"/>
              <w:jc w:val="right"/>
            </w:pPr>
            <w:r>
              <w:t xml:space="preserve">46,199</w:t>
            </w:r>
          </w:p>
        </w:tc>
        <w:tc>
          <w:tcPr/>
          <w:p>
            <w:pPr>
              <w:pStyle w:val="Compact"/>
              <w:jc w:val="right"/>
            </w:pPr>
            <w:r>
              <w:t xml:space="preserve">60.9</w:t>
            </w:r>
          </w:p>
        </w:tc>
        <w:tc>
          <w:tcPr/>
          <w:p>
            <w:pPr>
              <w:pStyle w:val="Compact"/>
              <w:jc w:val="right"/>
            </w:pPr>
            <w:r>
              <w:t xml:space="preserve">38.5</w:t>
            </w:r>
          </w:p>
        </w:tc>
        <w:tc>
          <w:tcPr/>
          <w:p>
            <w:pPr>
              <w:pStyle w:val="Compact"/>
              <w:jc w:val="right"/>
            </w:pPr>
            <w:r>
              <w:t xml:space="preserve">1,187</w:t>
            </w:r>
          </w:p>
        </w:tc>
        <w:tc>
          <w:tcPr/>
          <w:p>
            <w:pPr>
              <w:pStyle w:val="Compact"/>
              <w:jc w:val="right"/>
            </w:pPr>
            <w:r>
              <w:t xml:space="preserve">91.8</w:t>
            </w:r>
          </w:p>
        </w:tc>
        <w:tc>
          <w:tcPr/>
          <w:p>
            <w:pPr>
              <w:pStyle w:val="Compact"/>
              <w:jc w:val="right"/>
            </w:pPr>
            <w:r>
              <w:t xml:space="preserve">11</w:t>
            </w:r>
          </w:p>
        </w:tc>
        <w:tc>
          <w:tcPr/>
          <w:p>
            <w:pPr>
              <w:pStyle w:val="Compact"/>
              <w:jc w:val="right"/>
            </w:pPr>
            <w:r>
              <w:t xml:space="preserve">9</w:t>
            </w:r>
          </w:p>
        </w:tc>
        <w:tc>
          <w:tcPr/>
          <w:p>
            <w:pPr>
              <w:pStyle w:val="Compact"/>
              <w:jc w:val="right"/>
            </w:pPr>
            <w:r>
              <w:t xml:space="preserve">2</w:t>
            </w:r>
          </w:p>
        </w:tc>
      </w:tr>
      <w:tr>
        <w:tc>
          <w:tcPr/>
          <w:p>
            <w:pPr>
              <w:pStyle w:val="Compact"/>
              <w:jc w:val="left"/>
            </w:pPr>
            <w:r>
              <w:t xml:space="preserve">13 (Climate)</w:t>
            </w:r>
          </w:p>
        </w:tc>
        <w:tc>
          <w:tcPr/>
          <w:p>
            <w:pPr>
              <w:pStyle w:val="Compact"/>
              <w:jc w:val="right"/>
            </w:pPr>
            <w:r>
              <w:t xml:space="preserve">121,557</w:t>
            </w:r>
          </w:p>
        </w:tc>
        <w:tc>
          <w:tcPr/>
          <w:p>
            <w:pPr>
              <w:pStyle w:val="Compact"/>
              <w:jc w:val="right"/>
            </w:pPr>
            <w:r>
              <w:t xml:space="preserve">40.5</w:t>
            </w:r>
          </w:p>
        </w:tc>
        <w:tc>
          <w:tcPr/>
          <w:p>
            <w:pPr>
              <w:pStyle w:val="Compact"/>
              <w:jc w:val="right"/>
            </w:pPr>
            <w:r>
              <w:t xml:space="preserve">28.4</w:t>
            </w:r>
          </w:p>
        </w:tc>
        <w:tc>
          <w:tcPr/>
          <w:p>
            <w:pPr>
              <w:pStyle w:val="Compact"/>
              <w:jc w:val="right"/>
            </w:pPr>
            <w:r>
              <w:t xml:space="preserve">3,399</w:t>
            </w:r>
          </w:p>
        </w:tc>
        <w:tc>
          <w:tcPr/>
          <w:p>
            <w:pPr>
              <w:pStyle w:val="Compact"/>
              <w:jc w:val="right"/>
            </w:pPr>
            <w:r>
              <w:t xml:space="preserve">84.5</w:t>
            </w:r>
          </w:p>
        </w:tc>
        <w:tc>
          <w:tcPr/>
          <w:p>
            <w:pPr>
              <w:pStyle w:val="Compact"/>
              <w:jc w:val="right"/>
            </w:pPr>
            <w:r>
              <w:t xml:space="preserve">2</w:t>
            </w:r>
          </w:p>
        </w:tc>
        <w:tc>
          <w:tcPr/>
          <w:p>
            <w:pPr>
              <w:pStyle w:val="Compact"/>
              <w:jc w:val="right"/>
            </w:pPr>
            <w:r>
              <w:t xml:space="preserve">6</w:t>
            </w:r>
          </w:p>
        </w:tc>
        <w:tc>
          <w:tcPr/>
          <w:p>
            <w:pPr>
              <w:pStyle w:val="Compact"/>
              <w:jc w:val="right"/>
            </w:pPr>
            <w:r>
              <w:t xml:space="preserve">4</w:t>
            </w:r>
          </w:p>
        </w:tc>
      </w:tr>
      <w:tr>
        <w:tc>
          <w:tcPr/>
          <w:p>
            <w:pPr>
              <w:pStyle w:val="Compact"/>
              <w:jc w:val="left"/>
            </w:pPr>
            <w:r>
              <w:t xml:space="preserve">14 (Life Below Water)</w:t>
            </w:r>
          </w:p>
        </w:tc>
        <w:tc>
          <w:tcPr/>
          <w:p>
            <w:pPr>
              <w:pStyle w:val="Compact"/>
              <w:jc w:val="right"/>
            </w:pPr>
            <w:r>
              <w:t xml:space="preserve">51,458</w:t>
            </w:r>
          </w:p>
        </w:tc>
        <w:tc>
          <w:tcPr/>
          <w:p>
            <w:pPr>
              <w:pStyle w:val="Compact"/>
              <w:jc w:val="right"/>
            </w:pPr>
            <w:r>
              <w:t xml:space="preserve">89.6</w:t>
            </w:r>
          </w:p>
        </w:tc>
        <w:tc>
          <w:tcPr/>
          <w:p>
            <w:pPr>
              <w:pStyle w:val="Compact"/>
              <w:jc w:val="right"/>
            </w:pPr>
            <w:r>
              <w:t xml:space="preserve">69.7</w:t>
            </w:r>
          </w:p>
        </w:tc>
        <w:tc>
          <w:tcPr/>
          <w:p>
            <w:pPr>
              <w:pStyle w:val="Compact"/>
              <w:jc w:val="right"/>
            </w:pPr>
            <w:r>
              <w:t xml:space="preserve">1,634</w:t>
            </w:r>
          </w:p>
        </w:tc>
        <w:tc>
          <w:tcPr/>
          <w:p>
            <w:pPr>
              <w:pStyle w:val="Compact"/>
              <w:jc w:val="right"/>
            </w:pPr>
            <w:r>
              <w:t xml:space="preserve">92.3</w:t>
            </w:r>
          </w:p>
        </w:tc>
        <w:tc>
          <w:tcPr/>
          <w:p>
            <w:pPr>
              <w:pStyle w:val="Compact"/>
              <w:jc w:val="right"/>
            </w:pPr>
            <w:r>
              <w:t xml:space="preserve">7</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15 (Life on Land)</w:t>
            </w:r>
          </w:p>
        </w:tc>
        <w:tc>
          <w:tcPr/>
          <w:p>
            <w:pPr>
              <w:pStyle w:val="Compact"/>
              <w:jc w:val="right"/>
            </w:pPr>
            <w:r>
              <w:t xml:space="preserve">78,102</w:t>
            </w:r>
          </w:p>
        </w:tc>
        <w:tc>
          <w:tcPr/>
          <w:p>
            <w:pPr>
              <w:pStyle w:val="Compact"/>
              <w:jc w:val="right"/>
            </w:pPr>
            <w:r>
              <w:t xml:space="preserve">83.5</w:t>
            </w:r>
          </w:p>
        </w:tc>
        <w:tc>
          <w:tcPr/>
          <w:p>
            <w:pPr>
              <w:pStyle w:val="Compact"/>
              <w:jc w:val="right"/>
            </w:pPr>
            <w:r>
              <w:t xml:space="preserve">70.3</w:t>
            </w:r>
          </w:p>
        </w:tc>
        <w:tc>
          <w:tcPr/>
          <w:p>
            <w:pPr>
              <w:pStyle w:val="Compact"/>
              <w:jc w:val="right"/>
            </w:pPr>
            <w:r>
              <w:t xml:space="preserve">1,828</w:t>
            </w:r>
          </w:p>
        </w:tc>
        <w:tc>
          <w:tcPr/>
          <w:p>
            <w:pPr>
              <w:pStyle w:val="Compact"/>
              <w:jc w:val="right"/>
            </w:pPr>
            <w:r>
              <w:t xml:space="preserve">84.1</w:t>
            </w:r>
          </w:p>
        </w:tc>
        <w:tc>
          <w:tcPr/>
          <w:p>
            <w:pPr>
              <w:pStyle w:val="Compact"/>
              <w:jc w:val="right"/>
            </w:pPr>
            <w:r>
              <w:t xml:space="preserve">16</w:t>
            </w:r>
          </w:p>
        </w:tc>
        <w:tc>
          <w:tcPr/>
          <w:p>
            <w:pPr>
              <w:pStyle w:val="Compact"/>
              <w:jc w:val="right"/>
            </w:pPr>
            <w:r>
              <w:t xml:space="preserve">11</w:t>
            </w:r>
          </w:p>
        </w:tc>
        <w:tc>
          <w:tcPr/>
          <w:p>
            <w:pPr>
              <w:pStyle w:val="Compact"/>
              <w:jc w:val="right"/>
            </w:pPr>
            <w:r>
              <w:t xml:space="preserve">5</w:t>
            </w:r>
          </w:p>
        </w:tc>
      </w:tr>
      <w:tr>
        <w:tc>
          <w:tcPr/>
          <w:p>
            <w:pPr>
              <w:pStyle w:val="Compact"/>
              <w:jc w:val="left"/>
            </w:pPr>
            <w:r>
              <w:t xml:space="preserve">16 (Peace &amp; Justice)</w:t>
            </w:r>
          </w:p>
        </w:tc>
        <w:tc>
          <w:tcPr/>
          <w:p>
            <w:pPr>
              <w:pStyle w:val="Compact"/>
              <w:jc w:val="right"/>
            </w:pPr>
            <w:r>
              <w:t xml:space="preserve">337,317</w:t>
            </w:r>
          </w:p>
        </w:tc>
        <w:tc>
          <w:tcPr/>
          <w:p>
            <w:pPr>
              <w:pStyle w:val="Compact"/>
              <w:jc w:val="right"/>
            </w:pPr>
            <w:r>
              <w:t xml:space="preserve">55.6</w:t>
            </w:r>
          </w:p>
        </w:tc>
        <w:tc>
          <w:tcPr/>
          <w:p>
            <w:pPr>
              <w:pStyle w:val="Compact"/>
              <w:jc w:val="right"/>
            </w:pPr>
            <w:r>
              <w:t xml:space="preserve">46.1</w:t>
            </w:r>
          </w:p>
        </w:tc>
        <w:tc>
          <w:tcPr/>
          <w:p>
            <w:pPr>
              <w:pStyle w:val="Compact"/>
              <w:jc w:val="right"/>
            </w:pPr>
            <w:r>
              <w:t xml:space="preserve">5,725</w:t>
            </w:r>
          </w:p>
        </w:tc>
        <w:tc>
          <w:tcPr/>
          <w:p>
            <w:pPr>
              <w:pStyle w:val="Compact"/>
              <w:jc w:val="right"/>
            </w:pPr>
            <w:r>
              <w:t xml:space="preserve">65.0</w:t>
            </w:r>
          </w:p>
        </w:tc>
        <w:tc>
          <w:tcPr/>
          <w:p>
            <w:pPr>
              <w:pStyle w:val="Compact"/>
              <w:jc w:val="right"/>
            </w:pPr>
            <w:r>
              <w:t xml:space="preserve">8</w:t>
            </w:r>
          </w:p>
        </w:tc>
        <w:tc>
          <w:tcPr/>
          <w:p>
            <w:pPr>
              <w:pStyle w:val="Compact"/>
              <w:jc w:val="right"/>
            </w:pPr>
            <w:r>
              <w:t xml:space="preserve">13</w:t>
            </w:r>
          </w:p>
        </w:tc>
        <w:tc>
          <w:tcPr/>
          <w:p>
            <w:pPr>
              <w:pStyle w:val="Compact"/>
              <w:jc w:val="right"/>
            </w:pPr>
            <w:r>
              <w:t xml:space="preserve">5</w:t>
            </w:r>
          </w:p>
        </w:tc>
      </w:tr>
      <w:tr>
        <w:tc>
          <w:tcPr/>
          <w:p>
            <w:pPr>
              <w:pStyle w:val="Compact"/>
              <w:jc w:val="left"/>
            </w:pPr>
            <w:r>
              <w:t xml:space="preserve">17 (Partnerships)</w:t>
            </w:r>
          </w:p>
        </w:tc>
        <w:tc>
          <w:tcPr/>
          <w:p>
            <w:pPr>
              <w:pStyle w:val="Compact"/>
              <w:jc w:val="right"/>
            </w:pPr>
            <w:r>
              <w:t xml:space="preserve">9,396</w:t>
            </w:r>
          </w:p>
        </w:tc>
        <w:tc>
          <w:tcPr/>
          <w:p>
            <w:pPr>
              <w:pStyle w:val="Compact"/>
              <w:jc w:val="right"/>
            </w:pPr>
            <w:r>
              <w:t xml:space="preserve">26.1</w:t>
            </w:r>
          </w:p>
        </w:tc>
        <w:tc>
          <w:tcPr/>
          <w:p>
            <w:pPr>
              <w:pStyle w:val="Compact"/>
              <w:jc w:val="right"/>
            </w:pPr>
            <w:r>
              <w:t xml:space="preserve">11.7</w:t>
            </w:r>
          </w:p>
        </w:tc>
        <w:tc>
          <w:tcPr/>
          <w:p>
            <w:pPr>
              <w:pStyle w:val="Compact"/>
              <w:jc w:val="right"/>
            </w:pPr>
            <w:r>
              <w:t xml:space="preserve">4,509</w:t>
            </w:r>
          </w:p>
        </w:tc>
        <w:tc>
          <w:tcPr/>
          <w:p>
            <w:pPr>
              <w:pStyle w:val="Compact"/>
              <w:jc w:val="right"/>
            </w:pPr>
            <w:r>
              <w:t xml:space="preserve">84.1</w:t>
            </w:r>
          </w:p>
        </w:tc>
        <w:tc>
          <w:tcPr/>
          <w:p>
            <w:pPr>
              <w:pStyle w:val="Compact"/>
              <w:jc w:val="right"/>
            </w:pPr>
            <w:r>
              <w:t xml:space="preserve">17</w:t>
            </w:r>
          </w:p>
        </w:tc>
        <w:tc>
          <w:tcPr/>
          <w:p>
            <w:pPr>
              <w:pStyle w:val="Compact"/>
              <w:jc w:val="right"/>
            </w:pPr>
            <w:r>
              <w:t xml:space="preserve">8</w:t>
            </w:r>
          </w:p>
        </w:tc>
        <w:tc>
          <w:tcPr/>
          <w:p>
            <w:pPr>
              <w:pStyle w:val="Compact"/>
              <w:jc w:val="right"/>
            </w:pPr>
            <w:r>
              <w:t xml:space="preserve">9</w:t>
            </w:r>
          </w:p>
        </w:tc>
      </w:tr>
      <w:tr>
        <w:tc>
          <w:tcPr/>
          <w:p>
            <w:pPr>
              <w:pStyle w:val="Compact"/>
              <w:jc w:val="left"/>
            </w:pPr>
            <w:r>
              <w:t xml:space="preserve">Overall</w:t>
            </w:r>
          </w:p>
        </w:tc>
        <w:tc>
          <w:tcPr/>
          <w:p>
            <w:pPr>
              <w:pStyle w:val="Compact"/>
              <w:jc w:val="right"/>
            </w:pPr>
            <w:r>
              <w:t xml:space="preserve">3,105,144</w:t>
            </w:r>
          </w:p>
        </w:tc>
        <w:tc>
          <w:tcPr/>
          <w:p>
            <w:pPr>
              <w:pStyle w:val="Compact"/>
              <w:jc w:val="right"/>
            </w:pPr>
            <w:r>
              <w:t xml:space="preserve">67.3</w:t>
            </w:r>
          </w:p>
        </w:tc>
        <w:tc>
          <w:tcPr/>
          <w:p>
            <w:pPr>
              <w:pStyle w:val="Compact"/>
              <w:jc w:val="right"/>
            </w:pPr>
            <w:r>
              <w:t xml:space="preserve">59.5</w:t>
            </w:r>
          </w:p>
        </w:tc>
        <w:tc>
          <w:tcPr/>
          <w:p>
            <w:pPr>
              <w:pStyle w:val="Compact"/>
              <w:jc w:val="right"/>
            </w:pPr>
            <w:r>
              <w:t xml:space="preserve">40,597</w:t>
            </w:r>
          </w:p>
        </w:tc>
        <w:tc>
          <w:tcPr/>
          <w:p>
            <w:pPr>
              <w:pStyle w:val="Compact"/>
              <w:jc w:val="right"/>
            </w:pPr>
            <w:r>
              <w:t xml:space="preserve">81.5</w:t>
            </w:r>
          </w:p>
        </w:tc>
        <w:tc>
          <w:tcPr/>
          <w:p>
            <w:pPr>
              <w:pStyle w:val="Compact"/>
            </w:pPr>
          </w:p>
        </w:tc>
        <w:tc>
          <w:tcPr/>
          <w:p>
            <w:pPr>
              <w:pStyle w:val="Compact"/>
            </w:pPr>
          </w:p>
        </w:tc>
        <w:tc>
          <w:tcPr/>
          <w:p>
            <w:pPr>
              <w:pStyle w:val="Compact"/>
            </w:pPr>
          </w:p>
        </w:tc>
      </w:tr>
    </w:tbl>
    <w:bookmarkEnd w:id="139"/>
    <w:p>
      <w:pPr>
        <w:pStyle w:val="BodyText"/>
      </w:pPr>
      <w:r>
        <w:rPr>
          <w:iCs/>
          <w:i/>
        </w:rPr>
        <w:t xml:space="preserve">Notes:</w:t>
      </w:r>
      <w:r>
        <w:t xml:space="preserve"> </w:t>
      </w:r>
      <w:r>
        <w:t xml:space="preserve">Agree % is the share of LR-assigned texts that the zero-shot rule also assigns to the same SDG. Semantic-gap ranks are</w:t>
      </w:r>
      <w:r>
        <w:t xml:space="preserve"> </w:t>
      </w:r>
      <m:oMath>
        <m:r>
          <m:t>1</m:t>
        </m:r>
        <m:r>
          <m:rPr>
            <m:sty m:val="p"/>
          </m:rPr>
          <m:t>=</m:t>
        </m:r>
        <m:r>
          <m:rPr>
            <m:nor/>
            <m:sty m:val="p"/>
          </m:rPr>
          <m:t>largest gap</m:t>
        </m:r>
      </m:oMath>
      <w:r>
        <w:t xml:space="preserve"> </w:t>
      </w:r>
      <w:r>
        <w:t xml:space="preserve">on the raw (naive, unadjusted) gap;</w:t>
      </w:r>
      <w:r>
        <w:t xml:space="preserve"> </w:t>
      </w:r>
      <m:oMath>
        <m:d>
          <m:dPr>
            <m:begChr m:val="|"/>
            <m:endChr m:val="|"/>
            <m:sepChr m:val=""/>
            <m:grow/>
          </m:dPr>
          <m:e>
            <m:r>
              <m:t>Δ</m:t>
            </m:r>
          </m:e>
        </m:d>
      </m:oMath>
      <w:r>
        <w:t xml:space="preserve"> </w:t>
      </w:r>
      <w:r>
        <w:t xml:space="preserve">is the absolute rank difference between the two classifiers. Classifier agreement is computed over all texts (research: each segment; policy: each segment), without the 50-segment-per-document cap, which applies only to centroid building. The zero-shot rule assigns each text to the SDG with the highest cosine similarity to the train-split reference centroids (</w:t>
      </w:r>
      <m:oMath>
        <m:sSub>
          <m:e>
            <m:r>
              <m:rPr>
                <m:sty m:val="b"/>
              </m:rPr>
              <m:t>s</m:t>
            </m:r>
          </m:e>
          <m:sub>
            <m:r>
              <m:t>k</m:t>
            </m:r>
          </m:sub>
        </m:sSub>
      </m:oMath>
      <w:r>
        <w:t xml:space="preserve">); the LR rule uses the trained classifier’s argmax. MLP agreement against zero-shot is reported for both corpora: research MLP-vs-ZS agreement is computed from the persisted per-shard research scores and shown as the overall Res MLP % (59.5%), alongside the policy MLP-vs-ZS rates.</w:t>
      </w:r>
    </w:p>
    <w:p>
      <w:pPr>
        <w:pStyle w:val="BodyText"/>
      </w:pPr>
      <w:r>
        <w:t xml:space="preserve">The comparison confirms that the two classifiers agree on the majority of assignments: the overall LR-versus-zero-shot agreement rate is 67.3% over the 3</w:t>
      </w:r>
      <w:r>
        <w:t xml:space="preserve">,</w:t>
      </w:r>
      <w:r>
        <w:t xml:space="preserve">105</w:t>
      </w:r>
      <w:r>
        <w:t xml:space="preserve">,</w:t>
      </w:r>
      <w:r>
        <w:t xml:space="preserve">144 research segments and 81.5% over policy segments (Table </w:t>
      </w:r>
      <w:hyperlink w:anchor="tab:app-assignment-method-comparison">
        <w:r>
          <w:rPr>
            <w:rStyle w:val="Hyperlink"/>
          </w:rPr>
          <w:t xml:space="preserve">30</w:t>
        </w:r>
      </w:hyperlink>
      <w:r>
        <w:t xml:space="preserve">). Agreement is not uniform across SDGs, and the disagreements are concentrated where the reference centroids are least separated, in line with Appendix </w:t>
      </w:r>
      <w:hyperlink w:anchor="app:centroid-similarity">
        <w:r>
          <w:rPr>
            <w:rStyle w:val="Hyperlink"/>
          </w:rPr>
          <w:t xml:space="preserve">8.2</w:t>
        </w:r>
      </w:hyperlink>
      <w:r>
        <w:t xml:space="preserve">. SDG 17, whose reference centroid is the flattest and most isolated in that analysis, is also the most classifier-sensitive goal here: it shows the largest rank delta between the two semantic-gap rankings (</w:t>
      </w:r>
      <m:oMath>
        <m:d>
          <m:dPr>
            <m:begChr m:val="|"/>
            <m:endChr m:val="|"/>
            <m:sepChr m:val=""/>
            <m:grow/>
          </m:dPr>
          <m:e>
            <m:r>
              <m:t>Δ</m:t>
            </m:r>
          </m:e>
        </m:d>
        <m:r>
          <m:rPr>
            <m:sty m:val="p"/>
          </m:rPr>
          <m:t>=</m:t>
        </m:r>
        <m:r>
          <m:t>9</m:t>
        </m:r>
      </m:oMath>
      <w:r>
        <w:t xml:space="preserve">) and one of the lowest per-SDG classifier agreement rates on the research side (26.1%, second only to SDG 10 at 23.6%). SDG 8, whose supervised rank is also heavily classifier-dependent (rank 6 under LR, rank 14 under zero-shot), shows one of the largest rank deltas (</w:t>
      </w:r>
      <m:oMath>
        <m:d>
          <m:dPr>
            <m:begChr m:val="|"/>
            <m:endChr m:val="|"/>
            <m:sepChr m:val=""/>
            <m:grow/>
          </m:dPr>
          <m:e>
            <m:r>
              <m:t>Δ</m:t>
            </m:r>
          </m:e>
        </m:d>
        <m:r>
          <m:rPr>
            <m:sty m:val="p"/>
          </m:rPr>
          <m:t>=</m:t>
        </m:r>
        <m:r>
          <m:t>8</m:t>
        </m:r>
      </m:oMath>
      <w:r>
        <w:t xml:space="preserve">, tied with SDG 9). The zero-shot rule, having no supervised decision boundary, anchors partnership and inequality discourse less sharply than the LR classifier. The MLP robustness check agrees with the zero-shot rule at 76.3% of policy segments, close to the LR-versus-zero-shot rate, and at 59.5% of research segments overall.</w:t>
      </w:r>
    </w:p>
    <w:bookmarkEnd w:id="140"/>
    <w:bookmarkStart w:id="142" w:name="app:raw-value-correlation"/>
    <w:p>
      <w:pPr>
        <w:pStyle w:val="Heading2"/>
      </w:pPr>
      <w:r>
        <w:t xml:space="preserve">Raw-Value Correlation: Metric-Sensitivity Companion</w:t>
      </w:r>
    </w:p>
    <w:p>
      <w:pPr>
        <w:pStyle w:val="FirstParagraph"/>
      </w:pPr>
      <w:r>
        <w:t xml:space="preserve">Table </w:t>
      </w:r>
      <w:hyperlink w:anchor="tab:raw-value-correlation">
        <w:r>
          <w:rPr>
            <w:rStyle w:val="Hyperlink"/>
          </w:rPr>
          <w:t xml:space="preserve">31</w:t>
        </w:r>
      </w:hyperlink>
      <w:r>
        <w:t xml:space="preserve"> </w:t>
      </w:r>
      <w:r>
        <w:t xml:space="preserve">repeats the H1a–H1d grid of Table </w:t>
      </w:r>
      <w:hyperlink w:anchor="tab:interaction">
        <w:r>
          <w:rPr>
            <w:rStyle w:val="Hyperlink"/>
          </w:rPr>
          <w:t xml:space="preserve">5</w:t>
        </w:r>
      </w:hyperlink>
      <w:r>
        <w:t xml:space="preserve"> </w:t>
      </w:r>
      <w:r>
        <w:t xml:space="preserve">with one change: cells report Pearson</w:t>
      </w:r>
      <w:r>
        <w:t xml:space="preserve"> </w:t>
      </w:r>
      <m:oMath>
        <m:r>
          <m:t>r</m:t>
        </m:r>
      </m:oMath>
      <w:r>
        <w:t xml:space="preserve"> </w:t>
      </w:r>
      <w:r>
        <w:t xml:space="preserve">on the raw coverage and gap magnitudes instead of</w:t>
      </w:r>
      <w:r>
        <w:t xml:space="preserve"> </w:t>
      </w:r>
      <w:r>
        <w:t xml:space="preserve">Spearman</w:t>
      </w:r>
      <w:r>
        <w:t xml:space="preserve"> </w:t>
      </w:r>
      <m:oMath>
        <m:r>
          <m:t>ρ</m:t>
        </m:r>
      </m:oMath>
      <w:r>
        <w:t xml:space="preserve"> </w:t>
      </w:r>
      <w:r>
        <w:t xml:space="preserve">on their ranks. The grid, predictors, and columns are identical. The four</w:t>
      </w:r>
      <w:r>
        <w:t xml:space="preserve"> </w:t>
      </w:r>
      <w:r>
        <w:t xml:space="preserve">H1 hypotheses are co-equal and each probes a distinct coverage-structure prediction. Under</w:t>
      </w:r>
      <w:r>
        <w:t xml:space="preserve"> </w:t>
      </w:r>
      <w:r>
        <w:t xml:space="preserve">both metrics the adjusted-gap association is stable across the supervised tracks for H1a</w:t>
      </w:r>
      <w:r>
        <w:t xml:space="preserve"> </w:t>
      </w:r>
      <w:r>
        <w:t xml:space="preserve">and H1d (the hypotheses with a detectable signal: positive in 8/9 and 9/9 configs</w:t>
      </w:r>
      <w:r>
        <w:t xml:space="preserve"> </w:t>
      </w:r>
      <w:r>
        <w:t xml:space="preserve">respectively under Pearson) and remains null for H1b and H1c (no consistent signal under</w:t>
      </w:r>
      <w:r>
        <w:t xml:space="preserve"> </w:t>
      </w:r>
      <w:r>
        <w:t xml:space="preserve">either metric – itself informative: coverage divergence tracks the gap and policy share,</w:t>
      </w:r>
      <w:r>
        <w:t xml:space="preserve"> </w:t>
      </w:r>
      <w:r>
        <w:t xml:space="preserve">not dominance or raw research share). The</w:t>
      </w:r>
      <w:r>
        <w:t xml:space="preserve"> </w:t>
      </w:r>
      <w:r>
        <w:t xml:space="preserve">zero-shot config, already scoped as an uncertainty bound, is stable on the adjusted gap.</w:t>
      </w:r>
      <w:r>
        <w:t xml:space="preserve"> </w:t>
      </w:r>
      <w:r>
        <w:t xml:space="preserve">SciBERT is designated a lower-trust robustness encoder (its scientific pretraining</w:t>
      </w:r>
      <w:r>
        <w:t xml:space="preserve"> </w:t>
      </w:r>
      <w:r>
        <w:t xml:space="preserve">compresses gap magnitudes,</w:t>
      </w:r>
      <w:r>
        <w:t xml:space="preserve"> </w:t>
      </w:r>
      <m:oMath>
        <m:r>
          <m:t>0.043</m:t>
        </m:r>
        <m:r>
          <m:t>​</m:t>
        </m:r>
      </m:oMath>
      <w:r>
        <w:t xml:space="preserve"> </w:t>
      </w:r>
      <w:r>
        <w:t xml:space="preserve">against</w:t>
      </w:r>
      <w:r>
        <w:t xml:space="preserve"> </w:t>
      </w:r>
      <m:oMath>
        <m:r>
          <m:t>0.340</m:t>
        </m:r>
        <m:r>
          <m:t>​</m:t>
        </m:r>
      </m:oMath>
      <w:r>
        <w:t xml:space="preserve">,</w:t>
      </w:r>
      <w:r>
        <w:t xml:space="preserve"> </w:t>
      </w:r>
      <w:r>
        <w:t xml:space="preserve">Section </w:t>
      </w:r>
      <w:hyperlink w:anchor="sec:encoder-sensitivity">
        <w:r>
          <w:rPr>
            <w:rStyle w:val="Hyperlink"/>
          </w:rPr>
          <w:t xml:space="preserve">14.3</w:t>
        </w:r>
      </w:hyperlink>
      <w:r>
        <w:t xml:space="preserve">).</w:t>
      </w:r>
    </w:p>
    <w:p>
      <w:pPr>
        <w:pStyle w:val="BodyText"/>
      </w:pPr>
      <w:r>
        <w:rPr>
          <w:iCs/>
          <w:i/>
        </w:rPr>
        <w:t xml:space="preserve">Possible causes of the SciBERT divergence.</w:t>
      </w:r>
      <w:r>
        <w:t xml:space="preserve"> </w:t>
      </w:r>
      <w:r>
        <w:t xml:space="preserve">Possible causes range from small-</w:t>
      </w:r>
      <m:oMath>
        <m:r>
          <m:t>n</m:t>
        </m:r>
      </m:oMath>
      <w:r>
        <w:t xml:space="preserve"> </w:t>
      </w:r>
      <w:r>
        <w:t xml:space="preserve">estimation noise to SciBERT’s compressed gap magnitudes and lower assignment fidelity. None is confirmed, and the divergence does not threaten the conclusion, which rests on the supervised tracks where the H1a adjusted Pearson reaches</w:t>
      </w:r>
      <w:r>
        <w:t xml:space="preserve"> </w:t>
      </w:r>
      <m:oMath>
        <m:r>
          <m:rPr>
            <m:sty m:val="p"/>
          </m:rPr>
          <m:t>+</m:t>
        </m:r>
        <m:r>
          <m:t>0.694</m:t>
        </m:r>
      </m:oMath>
      <w:r>
        <w:t xml:space="preserve"> </w:t>
      </w:r>
      <w:r>
        <w:t xml:space="preserve">(Table </w:t>
      </w:r>
      <w:hyperlink w:anchor="tab:raw-value-correlation">
        <w:r>
          <w:rPr>
            <w:rStyle w:val="Hyperlink"/>
          </w:rPr>
          <w:t xml:space="preserve">31</w:t>
        </w:r>
      </w:hyperlink>
      <w:r>
        <w:t xml:space="preserve">) and is stable across metrics. The raw-value specification therefore confirms, rather than threatens, the rank-based result.</w:t>
      </w:r>
    </w:p>
    <w:bookmarkStart w:id="141" w:name="tab:raw-value-correlation"/>
    <w:p>
      <w:pPr>
        <w:pStyle w:val="TableCaption"/>
      </w:pPr>
      <w:r>
        <w:t xml:space="preserve">Pearson</w:t>
      </w:r>
      <w:r>
        <w:t xml:space="preserve"> </w:t>
      </w:r>
      <m:oMath>
        <m:r>
          <m:t>r</m:t>
        </m:r>
      </m:oMath>
      <w:r>
        <w:t xml:space="preserve"> </w:t>
      </w:r>
      <w:r>
        <w:t xml:space="preserve">on the raw coverage and semantic-gap magnitudes (not ranked).</w:t>
      </w:r>
    </w:p>
    <w:tbl>
      <w:tblPr>
        <w:tblStyle w:val="Table"/>
        <w:tblW w:type="auto" w:w="0"/>
        <w:tblLook w:firstRow="1" w:lastRow="0" w:firstColumn="0" w:lastColumn="0" w:noHBand="0" w:noVBand="0" w:val="0020"/>
        <w:jc w:val="start"/>
        <w:tblCaption w:val="Pearson r on the raw coverage and semantic-gap magnitudes (not ranked)."/>
      </w:tblPr>
      <w:tblGrid>
        <w:gridCol w:w="1980"/>
        <w:gridCol w:w="1980"/>
        <w:gridCol w:w="1980"/>
        <w:gridCol w:w="1980"/>
      </w:tblGrid>
      <w:tr>
        <w:trPr>
          <w:tblHeader w:val="true"/>
        </w:trPr>
        <w:tc>
          <w:tcPr/>
          <w:p>
            <w:pPr>
              <w:pStyle w:val="Compact"/>
            </w:pPr>
          </w:p>
        </w:tc>
        <w:tc>
          <w:tcPr/>
          <w:p>
            <w:pPr>
              <w:pStyle w:val="Compact"/>
              <w:jc w:val="center"/>
            </w:pPr>
            <w:r>
              <w:t xml:space="preserve">Raw gap</w:t>
            </w:r>
          </w:p>
        </w:tc>
        <w:tc>
          <w:tcPr/>
          <w:p>
            <w:pPr>
              <w:pStyle w:val="Compact"/>
              <w:jc w:val="center"/>
            </w:pPr>
            <w:r>
              <w:t xml:space="preserve">Adj. gap</w:t>
            </w:r>
          </w:p>
        </w:tc>
        <w:tc>
          <w:tcPr/>
          <w:p>
            <w:pPr>
              <w:pStyle w:val="Compact"/>
              <w:jc w:val="center"/>
            </w:pPr>
            <w:r>
              <w:t xml:space="preserve">Register</w:t>
            </w:r>
          </w:p>
        </w:tc>
      </w:tr>
      <w:tr>
        <w:tc>
          <w:tcPr>
            <w:gridSpan w:val="4"/>
          </w:tcPr>
          <w:p>
            <w:pPr>
              <w:pStyle w:val="Compact"/>
              <w:jc w:val="left"/>
            </w:pPr>
            <w:r>
              <w:rPr>
                <w:bCs/>
                <w:b/>
              </w:rPr>
              <w:t xml:space="preserve">H1a. Coverage gap</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+0.102</w:t>
            </w:r>
          </w:p>
        </w:tc>
        <w:tc>
          <w:tcPr/>
          <w:p>
            <w:pPr>
              <w:pStyle w:val="Compact"/>
              <w:jc w:val="center"/>
            </w:pPr>
            <w:r>
              <w:t xml:space="preserve">+0.694</w:t>
            </w:r>
            <m:oMath>
              <m:sSup>
                <m:e>
                  <m:r>
                    <m:t>​</m:t>
                  </m:r>
                </m:e>
                <m:sup>
                  <m:r>
                    <m:rPr>
                      <m:sty m:val="p"/>
                    </m:rPr>
                    <m:t>*</m:t>
                  </m:r>
                  <m:r>
                    <m:rPr>
                      <m:sty m:val="p"/>
                    </m:rPr>
                    <m:t>*</m:t>
                  </m:r>
                </m:sup>
              </m:sSup>
            </m:oMath>
          </w:p>
        </w:tc>
        <w:tc>
          <w:tcPr/>
          <w:p>
            <w:pPr>
              <w:pStyle w:val="Compact"/>
              <w:jc w:val="center"/>
            </w:pPr>
            <w:r>
              <w:t xml:space="preserve">-0.382</w:t>
            </w:r>
          </w:p>
        </w:tc>
      </w:tr>
      <w:tr>
        <w:tc>
          <w:tcPr/>
          <w:p>
            <w:pPr>
              <w:pStyle w:val="Compact"/>
              <w:jc w:val="left"/>
            </w:pPr>
            <w:r>
              <w:t xml:space="preserve">MPNet MLP</w:t>
            </w:r>
          </w:p>
        </w:tc>
        <w:tc>
          <w:tcPr/>
          <w:p>
            <w:pPr>
              <w:pStyle w:val="Compact"/>
              <w:jc w:val="center"/>
            </w:pPr>
            <w:r>
              <w:t xml:space="preserve">-0.069</w:t>
            </w:r>
          </w:p>
        </w:tc>
        <w:tc>
          <w:tcPr/>
          <w:p>
            <w:pPr>
              <w:pStyle w:val="Compact"/>
              <w:jc w:val="center"/>
            </w:pPr>
            <w:r>
              <w:t xml:space="preserve">+0.441</w:t>
            </w:r>
            <m:oMath>
              <m:sSup>
                <m:e>
                  <m:r>
                    <m:t>​</m:t>
                  </m:r>
                </m:e>
                <m:sup>
                  <m:r>
                    <m:rPr>
                      <m:sty m:val="p"/>
                    </m:rPr>
                    <m:t>†</m:t>
                  </m:r>
                </m:sup>
              </m:sSup>
            </m:oMath>
          </w:p>
        </w:tc>
        <w:tc>
          <w:tcPr/>
          <w:p>
            <w:pPr>
              <w:pStyle w:val="Compact"/>
              <w:jc w:val="center"/>
            </w:pPr>
            <w:r>
              <w:t xml:space="preserve">-0.404</w:t>
            </w:r>
          </w:p>
        </w:tc>
      </w:tr>
      <w:tr>
        <w:tc>
          <w:tcPr/>
          <w:p>
            <w:pPr>
              <w:pStyle w:val="Compact"/>
              <w:jc w:val="left"/>
            </w:pPr>
            <w:r>
              <w:t xml:space="preserve">MPNet ZS</w:t>
            </w:r>
          </w:p>
        </w:tc>
        <w:tc>
          <w:tcPr/>
          <w:p>
            <w:pPr>
              <w:pStyle w:val="Compact"/>
              <w:jc w:val="center"/>
            </w:pPr>
            <w:r>
              <w:t xml:space="preserve">-0.171</w:t>
            </w:r>
          </w:p>
        </w:tc>
        <w:tc>
          <w:tcPr/>
          <w:p>
            <w:pPr>
              <w:pStyle w:val="Compact"/>
              <w:jc w:val="center"/>
            </w:pPr>
            <w:r>
              <w:t xml:space="preserve">+0.230</w:t>
            </w:r>
          </w:p>
        </w:tc>
        <w:tc>
          <w:tcPr/>
          <w:p>
            <w:pPr>
              <w:pStyle w:val="Compact"/>
              <w:jc w:val="center"/>
            </w:pPr>
            <w:r>
              <w:t xml:space="preserve">-0.333</w:t>
            </w:r>
          </w:p>
        </w:tc>
      </w:tr>
      <w:tr>
        <w:tc>
          <w:tcPr/>
          <w:p>
            <w:pPr>
              <w:pStyle w:val="Compact"/>
              <w:jc w:val="left"/>
            </w:pPr>
            <w:r>
              <w:t xml:space="preserve">MiniLM LR</w:t>
            </w:r>
          </w:p>
        </w:tc>
        <w:tc>
          <w:tcPr/>
          <w:p>
            <w:pPr>
              <w:pStyle w:val="Compact"/>
              <w:jc w:val="center"/>
            </w:pPr>
            <w:r>
              <w:t xml:space="preserve">+0.068</w:t>
            </w:r>
          </w:p>
        </w:tc>
        <w:tc>
          <w:tcPr/>
          <w:p>
            <w:pPr>
              <w:pStyle w:val="Compact"/>
              <w:jc w:val="center"/>
            </w:pPr>
            <w:r>
              <w:t xml:space="preserve">+0.474</w:t>
            </w:r>
            <m:oMath>
              <m:sSup>
                <m:e>
                  <m:r>
                    <m:t>​</m:t>
                  </m:r>
                </m:e>
                <m:sup>
                  <m:r>
                    <m:rPr>
                      <m:sty m:val="p"/>
                    </m:rPr>
                    <m:t>†</m:t>
                  </m:r>
                </m:sup>
              </m:sSup>
            </m:oMath>
          </w:p>
        </w:tc>
        <w:tc>
          <w:tcPr/>
          <w:p>
            <w:pPr>
              <w:pStyle w:val="Compact"/>
              <w:jc w:val="center"/>
            </w:pPr>
            <w:r>
              <w:t xml:space="preserve">-0.226</w:t>
            </w:r>
          </w:p>
        </w:tc>
      </w:tr>
      <w:tr>
        <w:tc>
          <w:tcPr/>
          <w:p>
            <w:pPr>
              <w:pStyle w:val="Compact"/>
              <w:jc w:val="left"/>
            </w:pPr>
            <w:r>
              <w:t xml:space="preserve">MiniLM MLP</w:t>
            </w:r>
          </w:p>
        </w:tc>
        <w:tc>
          <w:tcPr/>
          <w:p>
            <w:pPr>
              <w:pStyle w:val="Compact"/>
              <w:jc w:val="center"/>
            </w:pPr>
            <w:r>
              <w:t xml:space="preserve">+0.333</w:t>
            </w:r>
          </w:p>
        </w:tc>
        <w:tc>
          <w:tcPr/>
          <w:p>
            <w:pPr>
              <w:pStyle w:val="Compact"/>
              <w:jc w:val="center"/>
            </w:pPr>
            <w:r>
              <w:t xml:space="preserve">+0.611</w:t>
            </w:r>
            <m:oMath>
              <m:sSup>
                <m:e>
                  <m:r>
                    <m:t>​</m:t>
                  </m:r>
                </m:e>
                <m:sup>
                  <m:r>
                    <m:rPr>
                      <m:sty m:val="p"/>
                    </m:rPr>
                    <m:t>*</m:t>
                  </m:r>
                  <m:r>
                    <m:rPr>
                      <m:sty m:val="p"/>
                    </m:rPr>
                    <m:t>*</m:t>
                  </m:r>
                </m:sup>
              </m:sSup>
            </m:oMath>
          </w:p>
        </w:tc>
        <w:tc>
          <w:tcPr/>
          <w:p>
            <w:pPr>
              <w:pStyle w:val="Compact"/>
              <w:jc w:val="center"/>
            </w:pPr>
            <w:r>
              <w:t xml:space="preserve">-0.093</w:t>
            </w:r>
          </w:p>
        </w:tc>
      </w:tr>
      <w:tr>
        <w:tc>
          <w:tcPr/>
          <w:p>
            <w:pPr>
              <w:pStyle w:val="Compact"/>
              <w:jc w:val="left"/>
            </w:pPr>
            <w:r>
              <w:t xml:space="preserve">SciBERT LR</w:t>
            </w:r>
          </w:p>
        </w:tc>
        <w:tc>
          <w:tcPr/>
          <w:p>
            <w:pPr>
              <w:pStyle w:val="Compact"/>
              <w:jc w:val="center"/>
            </w:pPr>
            <w:r>
              <w:t xml:space="preserve">+0.129</w:t>
            </w:r>
          </w:p>
        </w:tc>
        <w:tc>
          <w:tcPr/>
          <w:p>
            <w:pPr>
              <w:pStyle w:val="Compact"/>
              <w:jc w:val="center"/>
            </w:pPr>
            <w:r>
              <w:t xml:space="preserve">+0.152</w:t>
            </w:r>
          </w:p>
        </w:tc>
        <w:tc>
          <w:tcPr/>
          <w:p>
            <w:pPr>
              <w:pStyle w:val="Compact"/>
              <w:jc w:val="center"/>
            </w:pPr>
            <w:r>
              <w:t xml:space="preserve">-0.080</w:t>
            </w:r>
          </w:p>
        </w:tc>
      </w:tr>
      <w:tr>
        <w:tc>
          <w:tcPr/>
          <w:p>
            <w:pPr>
              <w:pStyle w:val="Compact"/>
              <w:jc w:val="left"/>
            </w:pPr>
            <w:r>
              <w:t xml:space="preserve">SciBERT MLP</w:t>
            </w:r>
          </w:p>
        </w:tc>
        <w:tc>
          <w:tcPr/>
          <w:p>
            <w:pPr>
              <w:pStyle w:val="Compact"/>
              <w:jc w:val="center"/>
            </w:pPr>
            <w:r>
              <w:t xml:space="preserve">-0.108</w:t>
            </w:r>
          </w:p>
        </w:tc>
        <w:tc>
          <w:tcPr/>
          <w:p>
            <w:pPr>
              <w:pStyle w:val="Compact"/>
              <w:jc w:val="center"/>
            </w:pPr>
            <w:r>
              <w:t xml:space="preserve">-0.189</w:t>
            </w:r>
          </w:p>
        </w:tc>
        <w:tc>
          <w:tcPr/>
          <w:p>
            <w:pPr>
              <w:pStyle w:val="Compact"/>
              <w:jc w:val="center"/>
            </w:pPr>
            <w:r>
              <w:t xml:space="preserve">+0.138</w:t>
            </w:r>
          </w:p>
        </w:tc>
      </w:tr>
      <w:tr>
        <w:tc>
          <w:tcPr/>
          <w:p>
            <w:pPr>
              <w:pStyle w:val="Compact"/>
              <w:jc w:val="left"/>
            </w:pPr>
            <w:r>
              <w:t xml:space="preserve">Concept LR</w:t>
            </w:r>
          </w:p>
        </w:tc>
        <w:tc>
          <w:tcPr/>
          <w:p>
            <w:pPr>
              <w:pStyle w:val="Compact"/>
              <w:jc w:val="center"/>
            </w:pPr>
            <w:r>
              <w:t xml:space="preserve">+0.030</w:t>
            </w:r>
          </w:p>
        </w:tc>
        <w:tc>
          <w:tcPr/>
          <w:p>
            <w:pPr>
              <w:pStyle w:val="Compact"/>
              <w:jc w:val="center"/>
            </w:pPr>
            <w:r>
              <w:t xml:space="preserve">+0.445</w:t>
            </w:r>
            <m:oMath>
              <m:sSup>
                <m:e>
                  <m:r>
                    <m:t>​</m:t>
                  </m:r>
                </m:e>
                <m:sup>
                  <m:r>
                    <m:rPr>
                      <m:sty m:val="p"/>
                    </m:rPr>
                    <m:t>†</m:t>
                  </m:r>
                </m:sup>
              </m:sSup>
            </m:oMath>
          </w:p>
        </w:tc>
        <w:tc>
          <w:tcPr/>
          <w:p>
            <w:pPr>
              <w:pStyle w:val="Compact"/>
              <w:jc w:val="center"/>
            </w:pPr>
            <w:r>
              <w:t xml:space="preserve">-0.357</w:t>
            </w:r>
          </w:p>
        </w:tc>
      </w:tr>
      <w:tr>
        <w:tc>
          <w:tcPr/>
          <w:p>
            <w:pPr>
              <w:pStyle w:val="Compact"/>
              <w:jc w:val="left"/>
            </w:pPr>
            <w:r>
              <w:t xml:space="preserve">Concept MLP</w:t>
            </w:r>
          </w:p>
        </w:tc>
        <w:tc>
          <w:tcPr/>
          <w:p>
            <w:pPr>
              <w:pStyle w:val="Compact"/>
              <w:jc w:val="center"/>
            </w:pPr>
            <w:r>
              <w:t xml:space="preserve">-0.092</w:t>
            </w:r>
          </w:p>
        </w:tc>
        <w:tc>
          <w:tcPr/>
          <w:p>
            <w:pPr>
              <w:pStyle w:val="Compact"/>
              <w:jc w:val="center"/>
            </w:pPr>
            <w:r>
              <w:t xml:space="preserve">+0.196</w:t>
            </w:r>
          </w:p>
        </w:tc>
        <w:tc>
          <w:tcPr/>
          <w:p>
            <w:pPr>
              <w:pStyle w:val="Compact"/>
              <w:jc w:val="center"/>
            </w:pPr>
            <w:r>
              <w:t xml:space="preserve">-0.310</w:t>
            </w:r>
          </w:p>
        </w:tc>
      </w:tr>
      <w:tr>
        <w:tc>
          <w:tcPr>
            <w:gridSpan w:val="4"/>
          </w:tcPr>
          <w:p>
            <w:pPr>
              <w:pStyle w:val="Compact"/>
              <w:jc w:val="left"/>
            </w:pPr>
            <w:r>
              <w:rPr>
                <w:bCs/>
                <w:b/>
              </w:rPr>
              <w:t xml:space="preserve">H1b. Policy–research dominance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+0.274</w:t>
            </w:r>
          </w:p>
        </w:tc>
        <w:tc>
          <w:tcPr/>
          <w:p>
            <w:pPr>
              <w:pStyle w:val="Compact"/>
              <w:jc w:val="center"/>
            </w:pPr>
            <w:r>
              <w:t xml:space="preserve">+0.196</w:t>
            </w:r>
          </w:p>
        </w:tc>
        <w:tc>
          <w:tcPr/>
          <w:p>
            <w:pPr>
              <w:pStyle w:val="Compact"/>
              <w:jc w:val="center"/>
            </w:pPr>
            <w:r>
              <w:t xml:space="preserve">+0.115</w:t>
            </w:r>
          </w:p>
        </w:tc>
      </w:tr>
      <w:tr>
        <w:tc>
          <w:tcPr/>
          <w:p>
            <w:pPr>
              <w:pStyle w:val="Compact"/>
              <w:jc w:val="left"/>
            </w:pPr>
            <w:r>
              <w:t xml:space="preserve">MPNet MLP</w:t>
            </w:r>
          </w:p>
        </w:tc>
        <w:tc>
          <w:tcPr/>
          <w:p>
            <w:pPr>
              <w:pStyle w:val="Compact"/>
              <w:jc w:val="center"/>
            </w:pPr>
            <w:r>
              <w:t xml:space="preserve">+0.050</w:t>
            </w:r>
          </w:p>
        </w:tc>
        <w:tc>
          <w:tcPr/>
          <w:p>
            <w:pPr>
              <w:pStyle w:val="Compact"/>
              <w:jc w:val="center"/>
            </w:pPr>
            <w:r>
              <w:t xml:space="preserve">+0.090</w:t>
            </w:r>
          </w:p>
        </w:tc>
        <w:tc>
          <w:tcPr/>
          <w:p>
            <w:pPr>
              <w:pStyle w:val="Compact"/>
              <w:jc w:val="center"/>
            </w:pPr>
            <w:r>
              <w:t xml:space="preserve">-0.014</w:t>
            </w:r>
          </w:p>
        </w:tc>
      </w:tr>
      <w:tr>
        <w:tc>
          <w:tcPr/>
          <w:p>
            <w:pPr>
              <w:pStyle w:val="Compact"/>
              <w:jc w:val="left"/>
            </w:pPr>
            <w:r>
              <w:t xml:space="preserve">MPNet ZS</w:t>
            </w:r>
          </w:p>
        </w:tc>
        <w:tc>
          <w:tcPr/>
          <w:p>
            <w:pPr>
              <w:pStyle w:val="Compact"/>
              <w:jc w:val="center"/>
            </w:pPr>
            <w:r>
              <w:t xml:space="preserve">-0.152</w:t>
            </w:r>
          </w:p>
        </w:tc>
        <w:tc>
          <w:tcPr/>
          <w:p>
            <w:pPr>
              <w:pStyle w:val="Compact"/>
              <w:jc w:val="center"/>
            </w:pPr>
            <w:r>
              <w:t xml:space="preserve">-0.227</w:t>
            </w:r>
          </w:p>
        </w:tc>
        <w:tc>
          <w:tcPr/>
          <w:p>
            <w:pPr>
              <w:pStyle w:val="Compact"/>
              <w:jc w:val="center"/>
            </w:pPr>
            <w:r>
              <w:t xml:space="preserve">+0.033</w:t>
            </w:r>
          </w:p>
        </w:tc>
      </w:tr>
      <w:tr>
        <w:tc>
          <w:tcPr/>
          <w:p>
            <w:pPr>
              <w:pStyle w:val="Compact"/>
              <w:jc w:val="left"/>
            </w:pPr>
            <w:r>
              <w:t xml:space="preserve">MiniLM LR</w:t>
            </w:r>
          </w:p>
        </w:tc>
        <w:tc>
          <w:tcPr/>
          <w:p>
            <w:pPr>
              <w:pStyle w:val="Compact"/>
              <w:jc w:val="center"/>
            </w:pPr>
            <w:r>
              <w:t xml:space="preserve">+0.293</w:t>
            </w:r>
          </w:p>
        </w:tc>
        <w:tc>
          <w:tcPr/>
          <w:p>
            <w:pPr>
              <w:pStyle w:val="Compact"/>
              <w:jc w:val="center"/>
            </w:pPr>
            <w:r>
              <w:t xml:space="preserve">+0.119</w:t>
            </w:r>
          </w:p>
        </w:tc>
        <w:tc>
          <w:tcPr/>
          <w:p>
            <w:pPr>
              <w:pStyle w:val="Compact"/>
              <w:jc w:val="center"/>
            </w:pPr>
            <w:r>
              <w:t xml:space="preserve">+0.240</w:t>
            </w:r>
          </w:p>
        </w:tc>
      </w:tr>
      <w:tr>
        <w:tc>
          <w:tcPr/>
          <w:p>
            <w:pPr>
              <w:pStyle w:val="Compact"/>
              <w:jc w:val="left"/>
            </w:pPr>
            <w:r>
              <w:t xml:space="preserve">MiniLM MLP</w:t>
            </w:r>
          </w:p>
        </w:tc>
        <w:tc>
          <w:tcPr/>
          <w:p>
            <w:pPr>
              <w:pStyle w:val="Compact"/>
              <w:jc w:val="center"/>
            </w:pPr>
            <w:r>
              <w:t xml:space="preserve">+0.353</w:t>
            </w:r>
          </w:p>
        </w:tc>
        <w:tc>
          <w:tcPr/>
          <w:p>
            <w:pPr>
              <w:pStyle w:val="Compact"/>
              <w:jc w:val="center"/>
            </w:pPr>
            <w:r>
              <w:t xml:space="preserve">+0.150</w:t>
            </w:r>
          </w:p>
        </w:tc>
        <w:tc>
          <w:tcPr/>
          <w:p>
            <w:pPr>
              <w:pStyle w:val="Compact"/>
              <w:jc w:val="center"/>
            </w:pPr>
            <w:r>
              <w:t xml:space="preserve">+0.260</w:t>
            </w:r>
          </w:p>
        </w:tc>
      </w:tr>
      <w:tr>
        <w:tc>
          <w:tcPr/>
          <w:p>
            <w:pPr>
              <w:pStyle w:val="Compact"/>
              <w:jc w:val="left"/>
            </w:pPr>
            <w:r>
              <w:t xml:space="preserve">SciBERT LR</w:t>
            </w:r>
          </w:p>
        </w:tc>
        <w:tc>
          <w:tcPr/>
          <w:p>
            <w:pPr>
              <w:pStyle w:val="Compact"/>
              <w:jc w:val="center"/>
            </w:pPr>
            <w:r>
              <w:t xml:space="preserve">+0.460</w:t>
            </w:r>
            <m:oMath>
              <m:sSup>
                <m:e>
                  <m:r>
                    <m:t>​</m:t>
                  </m:r>
                </m:e>
                <m:sup>
                  <m:r>
                    <m:rPr>
                      <m:sty m:val="p"/>
                    </m:rPr>
                    <m:t>†</m:t>
                  </m:r>
                </m:sup>
              </m:sSup>
            </m:oMath>
          </w:p>
        </w:tc>
        <w:tc>
          <w:tcPr/>
          <w:p>
            <w:pPr>
              <w:pStyle w:val="Compact"/>
              <w:jc w:val="center"/>
            </w:pPr>
            <w:r>
              <w:t xml:space="preserve">-0.156</w:t>
            </w:r>
          </w:p>
        </w:tc>
        <w:tc>
          <w:tcPr/>
          <w:p>
            <w:pPr>
              <w:pStyle w:val="Compact"/>
              <w:jc w:val="center"/>
            </w:pPr>
            <w:r>
              <w:t xml:space="preserve">+0.420</w:t>
            </w:r>
            <m:oMath>
              <m:sSup>
                <m:e>
                  <m:r>
                    <m:t>​</m:t>
                  </m:r>
                </m:e>
                <m:sup>
                  <m:r>
                    <m:rPr>
                      <m:sty m:val="p"/>
                    </m:rPr>
                    <m:t>†</m:t>
                  </m:r>
                </m:sup>
              </m:sSup>
            </m:oMath>
          </w:p>
        </w:tc>
      </w:tr>
      <w:tr>
        <w:tc>
          <w:tcPr/>
          <w:p>
            <w:pPr>
              <w:pStyle w:val="Compact"/>
              <w:jc w:val="left"/>
            </w:pPr>
            <w:r>
              <w:t xml:space="preserve">SciBERT MLP</w:t>
            </w:r>
          </w:p>
        </w:tc>
        <w:tc>
          <w:tcPr/>
          <w:p>
            <w:pPr>
              <w:pStyle w:val="Compact"/>
              <w:jc w:val="center"/>
            </w:pPr>
            <w:r>
              <w:t xml:space="preserve">+0.194</w:t>
            </w:r>
          </w:p>
        </w:tc>
        <w:tc>
          <w:tcPr/>
          <w:p>
            <w:pPr>
              <w:pStyle w:val="Compact"/>
              <w:jc w:val="center"/>
            </w:pPr>
            <w:r>
              <w:t xml:space="preserve">-0.358</w:t>
            </w:r>
          </w:p>
        </w:tc>
        <w:tc>
          <w:tcPr/>
          <w:p>
            <w:pPr>
              <w:pStyle w:val="Compact"/>
              <w:jc w:val="center"/>
            </w:pPr>
            <w:r>
              <w:t xml:space="preserve">+0.484</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+0.117</w:t>
            </w:r>
          </w:p>
        </w:tc>
        <w:tc>
          <w:tcPr/>
          <w:p>
            <w:pPr>
              <w:pStyle w:val="Compact"/>
              <w:jc w:val="center"/>
            </w:pPr>
            <w:r>
              <w:t xml:space="preserve">+0.120</w:t>
            </w:r>
          </w:p>
        </w:tc>
        <w:tc>
          <w:tcPr/>
          <w:p>
            <w:pPr>
              <w:pStyle w:val="Compact"/>
              <w:jc w:val="center"/>
            </w:pPr>
            <w:r>
              <w:t xml:space="preserve">+0.021</w:t>
            </w:r>
          </w:p>
        </w:tc>
      </w:tr>
      <w:tr>
        <w:tc>
          <w:tcPr/>
          <w:p>
            <w:pPr>
              <w:pStyle w:val="Compact"/>
              <w:jc w:val="left"/>
            </w:pPr>
            <w:r>
              <w:t xml:space="preserve">Concept MLP</w:t>
            </w:r>
          </w:p>
        </w:tc>
        <w:tc>
          <w:tcPr/>
          <w:p>
            <w:pPr>
              <w:pStyle w:val="Compact"/>
              <w:jc w:val="center"/>
            </w:pPr>
            <w:r>
              <w:t xml:space="preserve">-0.060</w:t>
            </w:r>
          </w:p>
        </w:tc>
        <w:tc>
          <w:tcPr/>
          <w:p>
            <w:pPr>
              <w:pStyle w:val="Compact"/>
              <w:jc w:val="center"/>
            </w:pPr>
            <w:r>
              <w:t xml:space="preserve">+0.046</w:t>
            </w:r>
          </w:p>
        </w:tc>
        <w:tc>
          <w:tcPr/>
          <w:p>
            <w:pPr>
              <w:pStyle w:val="Compact"/>
              <w:jc w:val="center"/>
            </w:pPr>
            <w:r>
              <w:t xml:space="preserve">-0.119</w:t>
            </w:r>
          </w:p>
        </w:tc>
      </w:tr>
      <w:tr>
        <w:tc>
          <w:tcPr>
            <w:gridSpan w:val="4"/>
          </w:tcPr>
          <w:p>
            <w:pPr>
              <w:pStyle w:val="Compact"/>
              <w:jc w:val="left"/>
            </w:pPr>
            <w:r>
              <w:rPr>
                <w:bCs/>
                <w:b/>
              </w:rPr>
              <w:t xml:space="preserve">H1c. Research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+0.288</w:t>
            </w:r>
          </w:p>
        </w:tc>
        <w:tc>
          <w:tcPr/>
          <w:p>
            <w:pPr>
              <w:pStyle w:val="Compact"/>
              <w:jc w:val="center"/>
            </w:pPr>
            <w:r>
              <w:t xml:space="preserve">+0.464</w:t>
            </w:r>
            <m:oMath>
              <m:sSup>
                <m:e>
                  <m:r>
                    <m:t>​</m:t>
                  </m:r>
                </m:e>
                <m:sup>
                  <m:r>
                    <m:rPr>
                      <m:sty m:val="p"/>
                    </m:rPr>
                    <m:t>†</m:t>
                  </m:r>
                </m:sup>
              </m:sSup>
            </m:oMath>
          </w:p>
        </w:tc>
        <w:tc>
          <w:tcPr/>
          <w:p>
            <w:pPr>
              <w:pStyle w:val="Compact"/>
              <w:jc w:val="center"/>
            </w:pPr>
            <w:r>
              <w:t xml:space="preserve">-0.055</w:t>
            </w:r>
          </w:p>
        </w:tc>
      </w:tr>
      <w:tr>
        <w:tc>
          <w:tcPr/>
          <w:p>
            <w:pPr>
              <w:pStyle w:val="Compact"/>
              <w:jc w:val="left"/>
            </w:pPr>
            <w:r>
              <w:t xml:space="preserve">MPNet MLP</w:t>
            </w:r>
          </w:p>
        </w:tc>
        <w:tc>
          <w:tcPr/>
          <w:p>
            <w:pPr>
              <w:pStyle w:val="Compact"/>
              <w:jc w:val="center"/>
            </w:pPr>
            <w:r>
              <w:t xml:space="preserve">+0.032</w:t>
            </w:r>
          </w:p>
        </w:tc>
        <w:tc>
          <w:tcPr/>
          <w:p>
            <w:pPr>
              <w:pStyle w:val="Compact"/>
              <w:jc w:val="center"/>
            </w:pPr>
            <w:r>
              <w:t xml:space="preserve">+0.308</w:t>
            </w:r>
          </w:p>
        </w:tc>
        <w:tc>
          <w:tcPr/>
          <w:p>
            <w:pPr>
              <w:pStyle w:val="Compact"/>
              <w:jc w:val="center"/>
            </w:pPr>
            <w:r>
              <w:t xml:space="preserve">-0.197</w:t>
            </w:r>
          </w:p>
        </w:tc>
      </w:tr>
      <w:tr>
        <w:tc>
          <w:tcPr/>
          <w:p>
            <w:pPr>
              <w:pStyle w:val="Compact"/>
              <w:jc w:val="left"/>
            </w:pPr>
            <w:r>
              <w:t xml:space="preserve">MPNet ZS</w:t>
            </w:r>
          </w:p>
        </w:tc>
        <w:tc>
          <w:tcPr/>
          <w:p>
            <w:pPr>
              <w:pStyle w:val="Compact"/>
              <w:jc w:val="center"/>
            </w:pPr>
            <w:r>
              <w:t xml:space="preserve">-0.191</w:t>
            </w:r>
          </w:p>
        </w:tc>
        <w:tc>
          <w:tcPr/>
          <w:p>
            <w:pPr>
              <w:pStyle w:val="Compact"/>
              <w:jc w:val="center"/>
            </w:pPr>
            <w:r>
              <w:t xml:space="preserve">-0.117</w:t>
            </w:r>
          </w:p>
        </w:tc>
        <w:tc>
          <w:tcPr/>
          <w:p>
            <w:pPr>
              <w:pStyle w:val="Compact"/>
              <w:jc w:val="center"/>
            </w:pPr>
            <w:r>
              <w:t xml:space="preserve">-0.087</w:t>
            </w:r>
          </w:p>
        </w:tc>
      </w:tr>
      <w:tr>
        <w:tc>
          <w:tcPr/>
          <w:p>
            <w:pPr>
              <w:pStyle w:val="Compact"/>
              <w:jc w:val="left"/>
            </w:pPr>
            <w:r>
              <w:t xml:space="preserve">MiniLM LR</w:t>
            </w:r>
          </w:p>
        </w:tc>
        <w:tc>
          <w:tcPr/>
          <w:p>
            <w:pPr>
              <w:pStyle w:val="Compact"/>
              <w:jc w:val="center"/>
            </w:pPr>
            <w:r>
              <w:t xml:space="preserve">+0.302</w:t>
            </w:r>
          </w:p>
        </w:tc>
        <w:tc>
          <w:tcPr/>
          <w:p>
            <w:pPr>
              <w:pStyle w:val="Compact"/>
              <w:jc w:val="center"/>
            </w:pPr>
            <w:r>
              <w:t xml:space="preserve">+0.355</w:t>
            </w:r>
          </w:p>
        </w:tc>
        <w:tc>
          <w:tcPr/>
          <w:p>
            <w:pPr>
              <w:pStyle w:val="Compact"/>
              <w:jc w:val="center"/>
            </w:pPr>
            <w:r>
              <w:t xml:space="preserve">+0.101</w:t>
            </w:r>
          </w:p>
        </w:tc>
      </w:tr>
      <w:tr>
        <w:tc>
          <w:tcPr/>
          <w:p>
            <w:pPr>
              <w:pStyle w:val="Compact"/>
              <w:jc w:val="left"/>
            </w:pPr>
            <w:r>
              <w:t xml:space="preserve">MiniLM MLP</w:t>
            </w:r>
          </w:p>
        </w:tc>
        <w:tc>
          <w:tcPr/>
          <w:p>
            <w:pPr>
              <w:pStyle w:val="Compact"/>
              <w:jc w:val="center"/>
            </w:pPr>
            <w:r>
              <w:t xml:space="preserve">+0.429</w:t>
            </w:r>
            <m:oMath>
              <m:sSup>
                <m:e>
                  <m:r>
                    <m:t>​</m:t>
                  </m:r>
                </m:e>
                <m:sup>
                  <m:r>
                    <m:rPr>
                      <m:sty m:val="p"/>
                    </m:rPr>
                    <m:t>†</m:t>
                  </m:r>
                </m:sup>
              </m:sSup>
            </m:oMath>
          </w:p>
        </w:tc>
        <w:tc>
          <w:tcPr/>
          <w:p>
            <w:pPr>
              <w:pStyle w:val="Compact"/>
              <w:jc w:val="center"/>
            </w:pPr>
            <w:r>
              <w:t xml:space="preserve">+0.438</w:t>
            </w:r>
            <m:oMath>
              <m:sSup>
                <m:e>
                  <m:r>
                    <m:t>​</m:t>
                  </m:r>
                </m:e>
                <m:sup>
                  <m:r>
                    <m:rPr>
                      <m:sty m:val="p"/>
                    </m:rPr>
                    <m:t>†</m:t>
                  </m:r>
                </m:sup>
              </m:sSup>
            </m:oMath>
          </w:p>
        </w:tc>
        <w:tc>
          <w:tcPr/>
          <w:p>
            <w:pPr>
              <w:pStyle w:val="Compact"/>
              <w:jc w:val="center"/>
            </w:pPr>
            <w:r>
              <w:t xml:space="preserve">+0.132</w:t>
            </w:r>
          </w:p>
        </w:tc>
      </w:tr>
      <w:tr>
        <w:tc>
          <w:tcPr/>
          <w:p>
            <w:pPr>
              <w:pStyle w:val="Compact"/>
              <w:jc w:val="left"/>
            </w:pPr>
            <w:r>
              <w:t xml:space="preserve">SciBERT LR</w:t>
            </w:r>
          </w:p>
        </w:tc>
        <w:tc>
          <w:tcPr/>
          <w:p>
            <w:pPr>
              <w:pStyle w:val="Compact"/>
              <w:jc w:val="center"/>
            </w:pPr>
            <w:r>
              <w:t xml:space="preserve">+0.419</w:t>
            </w:r>
            <m:oMath>
              <m:sSup>
                <m:e>
                  <m:r>
                    <m:t>​</m:t>
                  </m:r>
                </m:e>
                <m:sup>
                  <m:r>
                    <m:rPr>
                      <m:sty m:val="p"/>
                    </m:rPr>
                    <m:t>†</m:t>
                  </m:r>
                </m:sup>
              </m:sSup>
            </m:oMath>
          </w:p>
        </w:tc>
        <w:tc>
          <w:tcPr/>
          <w:p>
            <w:pPr>
              <w:pStyle w:val="Compact"/>
              <w:jc w:val="center"/>
            </w:pPr>
            <w:r>
              <w:t xml:space="preserve">+0.208</w:t>
            </w:r>
          </w:p>
        </w:tc>
        <w:tc>
          <w:tcPr/>
          <w:p>
            <w:pPr>
              <w:pStyle w:val="Compact"/>
              <w:jc w:val="center"/>
            </w:pPr>
            <w:r>
              <w:t xml:space="preserve">+0.029</w:t>
            </w:r>
          </w:p>
        </w:tc>
      </w:tr>
      <w:tr>
        <w:tc>
          <w:tcPr/>
          <w:p>
            <w:pPr>
              <w:pStyle w:val="Compact"/>
              <w:jc w:val="left"/>
            </w:pPr>
            <w:r>
              <w:t xml:space="preserve">SciBERT MLP</w:t>
            </w:r>
          </w:p>
        </w:tc>
        <w:tc>
          <w:tcPr/>
          <w:p>
            <w:pPr>
              <w:pStyle w:val="Compact"/>
              <w:jc w:val="center"/>
            </w:pPr>
            <w:r>
              <w:t xml:space="preserve">+0.029</w:t>
            </w:r>
          </w:p>
        </w:tc>
        <w:tc>
          <w:tcPr/>
          <w:p>
            <w:pPr>
              <w:pStyle w:val="Compact"/>
              <w:jc w:val="center"/>
            </w:pPr>
            <w:r>
              <w:t xml:space="preserve">-0.234</w:t>
            </w:r>
          </w:p>
        </w:tc>
        <w:tc>
          <w:tcPr/>
          <w:p>
            <w:pPr>
              <w:pStyle w:val="Compact"/>
              <w:jc w:val="center"/>
            </w:pPr>
            <w:r>
              <w:t xml:space="preserve">+0.262</w:t>
            </w:r>
          </w:p>
        </w:tc>
      </w:tr>
      <w:tr>
        <w:tc>
          <w:tcPr/>
          <w:p>
            <w:pPr>
              <w:pStyle w:val="Compact"/>
              <w:jc w:val="left"/>
            </w:pPr>
            <w:r>
              <w:t xml:space="preserve">Concept LR</w:t>
            </w:r>
          </w:p>
        </w:tc>
        <w:tc>
          <w:tcPr/>
          <w:p>
            <w:pPr>
              <w:pStyle w:val="Compact"/>
              <w:jc w:val="center"/>
            </w:pPr>
            <w:r>
              <w:t xml:space="preserve">+0.134</w:t>
            </w:r>
          </w:p>
        </w:tc>
        <w:tc>
          <w:tcPr/>
          <w:p>
            <w:pPr>
              <w:pStyle w:val="Compact"/>
              <w:jc w:val="center"/>
            </w:pPr>
            <w:r>
              <w:t xml:space="preserve">+0.262</w:t>
            </w:r>
          </w:p>
        </w:tc>
        <w:tc>
          <w:tcPr/>
          <w:p>
            <w:pPr>
              <w:pStyle w:val="Compact"/>
              <w:jc w:val="center"/>
            </w:pPr>
            <w:r>
              <w:t xml:space="preserve">-0.085</w:t>
            </w:r>
          </w:p>
        </w:tc>
      </w:tr>
      <w:tr>
        <w:tc>
          <w:tcPr/>
          <w:p>
            <w:pPr>
              <w:pStyle w:val="Compact"/>
              <w:jc w:val="left"/>
            </w:pPr>
            <w:r>
              <w:t xml:space="preserve">Concept MLP</w:t>
            </w:r>
          </w:p>
        </w:tc>
        <w:tc>
          <w:tcPr/>
          <w:p>
            <w:pPr>
              <w:pStyle w:val="Compact"/>
              <w:jc w:val="center"/>
            </w:pPr>
            <w:r>
              <w:t xml:space="preserve">-0.074</w:t>
            </w:r>
          </w:p>
        </w:tc>
        <w:tc>
          <w:tcPr/>
          <w:p>
            <w:pPr>
              <w:pStyle w:val="Compact"/>
              <w:jc w:val="center"/>
            </w:pPr>
            <w:r>
              <w:t xml:space="preserve">+0.113</w:t>
            </w:r>
          </w:p>
        </w:tc>
        <w:tc>
          <w:tcPr/>
          <w:p>
            <w:pPr>
              <w:pStyle w:val="Compact"/>
              <w:jc w:val="center"/>
            </w:pPr>
            <w:r>
              <w:t xml:space="preserve">-0.205</w:t>
            </w:r>
          </w:p>
        </w:tc>
      </w:tr>
      <w:tr>
        <w:tc>
          <w:tcPr>
            <w:gridSpan w:val="4"/>
          </w:tcPr>
          <w:p>
            <w:pPr>
              <w:pStyle w:val="Compact"/>
              <w:jc w:val="left"/>
            </w:pPr>
            <w:r>
              <w:rPr>
                <w:bCs/>
                <w:b/>
              </w:rPr>
              <w:t xml:space="preserve">H1d. Policy coverage</w:t>
            </w:r>
            <w:r>
              <w:rPr>
                <w:bCs/>
                <w:b/>
              </w:rPr>
              <w:t xml:space="preserve"> </w:t>
            </w:r>
            <m:oMath>
              <m:r>
                <m:rPr>
                  <m:sty m:val="p"/>
                </m:rPr>
                <m:t>↔</m:t>
              </m:r>
            </m:oMath>
            <w:r>
              <w:rPr>
                <w:bCs/>
                <w:b/>
              </w:rPr>
              <w:t xml:space="preserve"> </w:t>
            </w:r>
            <w:r>
              <w:rPr>
                <w:bCs/>
                <w:b/>
              </w:rPr>
              <w:t xml:space="preserve">Semantic gap</w:t>
            </w:r>
          </w:p>
        </w:tc>
      </w:tr>
      <w:tr>
        <w:tc>
          <w:tcPr/>
          <w:p>
            <w:pPr>
              <w:pStyle w:val="Compact"/>
              <w:jc w:val="left"/>
            </w:pPr>
            <w:r>
              <w:t xml:space="preserve">MPNet LR</w:t>
            </w:r>
          </w:p>
        </w:tc>
        <w:tc>
          <w:tcPr/>
          <w:p>
            <w:pPr>
              <w:pStyle w:val="Compact"/>
              <w:jc w:val="center"/>
            </w:pPr>
            <w:r>
              <w:t xml:space="preserve">-0.018</w:t>
            </w:r>
          </w:p>
        </w:tc>
        <w:tc>
          <w:tcPr/>
          <w:p>
            <w:pPr>
              <w:pStyle w:val="Compact"/>
              <w:jc w:val="center"/>
            </w:pPr>
            <w:r>
              <w:t xml:space="preserve">+0.501</w:t>
            </w:r>
            <m:oMath>
              <m:sSup>
                <m:e>
                  <m:r>
                    <m:t>​</m:t>
                  </m:r>
                </m:e>
                <m:sup>
                  <m:r>
                    <m:rPr>
                      <m:sty m:val="p"/>
                    </m:rPr>
                    <m:t>*</m:t>
                  </m:r>
                </m:sup>
              </m:sSup>
            </m:oMath>
          </w:p>
        </w:tc>
        <w:tc>
          <w:tcPr/>
          <w:p>
            <w:pPr>
              <w:pStyle w:val="Compact"/>
              <w:jc w:val="center"/>
            </w:pPr>
            <w:r>
              <w:t xml:space="preserve">-0.359</w:t>
            </w:r>
          </w:p>
        </w:tc>
      </w:tr>
      <w:tr>
        <w:tc>
          <w:tcPr/>
          <w:p>
            <w:pPr>
              <w:pStyle w:val="Compact"/>
              <w:jc w:val="left"/>
            </w:pPr>
            <w:r>
              <w:t xml:space="preserve">MPNet MLP</w:t>
            </w:r>
          </w:p>
        </w:tc>
        <w:tc>
          <w:tcPr/>
          <w:p>
            <w:pPr>
              <w:pStyle w:val="Compact"/>
              <w:jc w:val="center"/>
            </w:pPr>
            <w:r>
              <w:t xml:space="preserve">-0.045</w:t>
            </w:r>
          </w:p>
        </w:tc>
        <w:tc>
          <w:tcPr/>
          <w:p>
            <w:pPr>
              <w:pStyle w:val="Compact"/>
              <w:jc w:val="center"/>
            </w:pPr>
            <w:r>
              <w:t xml:space="preserve">+0.418</w:t>
            </w:r>
            <m:oMath>
              <m:sSup>
                <m:e>
                  <m:r>
                    <m:t>​</m:t>
                  </m:r>
                </m:e>
                <m:sup>
                  <m:r>
                    <m:rPr>
                      <m:sty m:val="p"/>
                    </m:rPr>
                    <m:t>†</m:t>
                  </m:r>
                </m:sup>
              </m:sSup>
            </m:oMath>
          </w:p>
        </w:tc>
        <w:tc>
          <w:tcPr/>
          <w:p>
            <w:pPr>
              <w:pStyle w:val="Compact"/>
              <w:jc w:val="center"/>
            </w:pPr>
            <w:r>
              <w:t xml:space="preserve">-0.361</w:t>
            </w:r>
          </w:p>
        </w:tc>
      </w:tr>
      <w:tr>
        <w:tc>
          <w:tcPr/>
          <w:p>
            <w:pPr>
              <w:pStyle w:val="Compact"/>
              <w:jc w:val="left"/>
            </w:pPr>
            <w:r>
              <w:t xml:space="preserve">MPNet ZS</w:t>
            </w:r>
          </w:p>
        </w:tc>
        <w:tc>
          <w:tcPr/>
          <w:p>
            <w:pPr>
              <w:pStyle w:val="Compact"/>
              <w:jc w:val="center"/>
            </w:pPr>
            <w:r>
              <w:t xml:space="preserve">-0.052</w:t>
            </w:r>
          </w:p>
        </w:tc>
        <w:tc>
          <w:tcPr/>
          <w:p>
            <w:pPr>
              <w:pStyle w:val="Compact"/>
              <w:jc w:val="center"/>
            </w:pPr>
            <w:r>
              <w:t xml:space="preserve">+0.258</w:t>
            </w:r>
          </w:p>
        </w:tc>
        <w:tc>
          <w:tcPr/>
          <w:p>
            <w:pPr>
              <w:pStyle w:val="Compact"/>
              <w:jc w:val="center"/>
            </w:pPr>
            <w:r>
              <w:t xml:space="preserve">-0.244</w:t>
            </w:r>
          </w:p>
        </w:tc>
      </w:tr>
      <w:tr>
        <w:tc>
          <w:tcPr/>
          <w:p>
            <w:pPr>
              <w:pStyle w:val="Compact"/>
              <w:jc w:val="left"/>
            </w:pPr>
            <w:r>
              <w:t xml:space="preserve">MiniLM LR</w:t>
            </w:r>
          </w:p>
        </w:tc>
        <w:tc>
          <w:tcPr/>
          <w:p>
            <w:pPr>
              <w:pStyle w:val="Compact"/>
              <w:jc w:val="center"/>
            </w:pPr>
            <w:r>
              <w:t xml:space="preserve">-0.041</w:t>
            </w:r>
          </w:p>
        </w:tc>
        <w:tc>
          <w:tcPr/>
          <w:p>
            <w:pPr>
              <w:pStyle w:val="Compact"/>
              <w:jc w:val="center"/>
            </w:pPr>
            <w:r>
              <w:t xml:space="preserve">+0.381</w:t>
            </w:r>
          </w:p>
        </w:tc>
        <w:tc>
          <w:tcPr/>
          <w:p>
            <w:pPr>
              <w:pStyle w:val="Compact"/>
              <w:jc w:val="center"/>
            </w:pPr>
            <w:r>
              <w:t xml:space="preserve">-0.284</w:t>
            </w:r>
          </w:p>
        </w:tc>
      </w:tr>
      <w:tr>
        <w:tc>
          <w:tcPr/>
          <w:p>
            <w:pPr>
              <w:pStyle w:val="Compact"/>
              <w:jc w:val="left"/>
            </w:pPr>
            <w:r>
              <w:t xml:space="preserve">MiniLM MLP</w:t>
            </w:r>
          </w:p>
        </w:tc>
        <w:tc>
          <w:tcPr/>
          <w:p>
            <w:pPr>
              <w:pStyle w:val="Compact"/>
              <w:jc w:val="center"/>
            </w:pPr>
            <w:r>
              <w:t xml:space="preserve">+0.064</w:t>
            </w:r>
          </w:p>
        </w:tc>
        <w:tc>
          <w:tcPr/>
          <w:p>
            <w:pPr>
              <w:pStyle w:val="Compact"/>
              <w:jc w:val="center"/>
            </w:pPr>
            <w:r>
              <w:t xml:space="preserve">+0.466</w:t>
            </w:r>
            <m:oMath>
              <m:sSup>
                <m:e>
                  <m:r>
                    <m:t>​</m:t>
                  </m:r>
                </m:e>
                <m:sup>
                  <m:r>
                    <m:rPr>
                      <m:sty m:val="p"/>
                    </m:rPr>
                    <m:t>*</m:t>
                  </m:r>
                </m:sup>
              </m:sSup>
            </m:oMath>
          </w:p>
        </w:tc>
        <w:tc>
          <w:tcPr/>
          <w:p>
            <w:pPr>
              <w:pStyle w:val="Compact"/>
              <w:jc w:val="center"/>
            </w:pPr>
            <w:r>
              <w:t xml:space="preserve">-0.269</w:t>
            </w:r>
          </w:p>
        </w:tc>
      </w:tr>
      <w:tr>
        <w:tc>
          <w:tcPr/>
          <w:p>
            <w:pPr>
              <w:pStyle w:val="Compact"/>
              <w:jc w:val="left"/>
            </w:pPr>
            <w:r>
              <w:t xml:space="preserve">SciBERT LR</w:t>
            </w:r>
          </w:p>
        </w:tc>
        <w:tc>
          <w:tcPr/>
          <w:p>
            <w:pPr>
              <w:pStyle w:val="Compact"/>
              <w:jc w:val="center"/>
            </w:pPr>
            <w:r>
              <w:t xml:space="preserve">-0.138</w:t>
            </w:r>
          </w:p>
        </w:tc>
        <w:tc>
          <w:tcPr/>
          <w:p>
            <w:pPr>
              <w:pStyle w:val="Compact"/>
              <w:jc w:val="center"/>
            </w:pPr>
            <w:r>
              <w:t xml:space="preserve">+0.728</w:t>
            </w:r>
            <m:oMath>
              <m:sSup>
                <m:e>
                  <m:r>
                    <m:t>​</m:t>
                  </m:r>
                </m:e>
                <m:sup>
                  <m:r>
                    <m:rPr>
                      <m:sty m:val="p"/>
                    </m:rPr>
                    <m:t>*</m:t>
                  </m:r>
                  <m:r>
                    <m:rPr>
                      <m:sty m:val="p"/>
                    </m:rPr>
                    <m:t>*</m:t>
                  </m:r>
                </m:sup>
              </m:sSup>
            </m:oMath>
          </w:p>
        </w:tc>
        <w:tc>
          <w:tcPr/>
          <w:p>
            <w:pPr>
              <w:pStyle w:val="Compact"/>
              <w:jc w:val="center"/>
            </w:pPr>
            <w:r>
              <w:t xml:space="preserve">-0.813</w:t>
            </w:r>
            <m:oMath>
              <m:sSup>
                <m:e>
                  <m:r>
                    <m:t>​</m:t>
                  </m:r>
                </m:e>
                <m:sup>
                  <m:r>
                    <m:rPr>
                      <m:sty m:val="p"/>
                    </m:rPr>
                    <m:t>*</m:t>
                  </m:r>
                  <m:r>
                    <m:rPr>
                      <m:sty m:val="p"/>
                    </m:rPr>
                    <m:t>*</m:t>
                  </m:r>
                  <m:r>
                    <m:rPr>
                      <m:sty m:val="p"/>
                    </m:rPr>
                    <m:t>*</m:t>
                  </m:r>
                </m:sup>
              </m:sSup>
            </m:oMath>
          </w:p>
        </w:tc>
      </w:tr>
      <w:tr>
        <w:tc>
          <w:tcPr/>
          <w:p>
            <w:pPr>
              <w:pStyle w:val="Compact"/>
              <w:jc w:val="left"/>
            </w:pPr>
            <w:r>
              <w:t xml:space="preserve">SciBERT MLP</w:t>
            </w:r>
          </w:p>
        </w:tc>
        <w:tc>
          <w:tcPr/>
          <w:p>
            <w:pPr>
              <w:pStyle w:val="Compact"/>
              <w:jc w:val="center"/>
            </w:pPr>
            <w:r>
              <w:t xml:space="preserve">-0.344</w:t>
            </w:r>
          </w:p>
        </w:tc>
        <w:tc>
          <w:tcPr/>
          <w:p>
            <w:pPr>
              <w:pStyle w:val="Compact"/>
              <w:jc w:val="center"/>
            </w:pPr>
            <w:r>
              <w:t xml:space="preserve">+0.287</w:t>
            </w:r>
          </w:p>
        </w:tc>
        <w:tc>
          <w:tcPr/>
          <w:p>
            <w:pPr>
              <w:pStyle w:val="Compact"/>
              <w:jc w:val="center"/>
            </w:pPr>
            <w:r>
              <w:t xml:space="preserve">-0.492</w:t>
            </w:r>
            <m:oMath>
              <m:sSup>
                <m:e>
                  <m:r>
                    <m:t>​</m:t>
                  </m:r>
                </m:e>
                <m:sup>
                  <m:r>
                    <m:rPr>
                      <m:sty m:val="p"/>
                    </m:rPr>
                    <m:t>*</m:t>
                  </m:r>
                </m:sup>
              </m:sSup>
            </m:oMath>
          </w:p>
        </w:tc>
      </w:tr>
      <w:tr>
        <w:tc>
          <w:tcPr/>
          <w:p>
            <w:pPr>
              <w:pStyle w:val="Compact"/>
              <w:jc w:val="left"/>
            </w:pPr>
            <w:r>
              <w:t xml:space="preserve">Concept LR</w:t>
            </w:r>
          </w:p>
        </w:tc>
        <w:tc>
          <w:tcPr/>
          <w:p>
            <w:pPr>
              <w:pStyle w:val="Compact"/>
              <w:jc w:val="center"/>
            </w:pPr>
            <w:r>
              <w:t xml:space="preserve">+0.009</w:t>
            </w:r>
          </w:p>
        </w:tc>
        <w:tc>
          <w:tcPr/>
          <w:p>
            <w:pPr>
              <w:pStyle w:val="Compact"/>
              <w:jc w:val="center"/>
            </w:pPr>
            <w:r>
              <w:t xml:space="preserve">+0.269</w:t>
            </w:r>
          </w:p>
        </w:tc>
        <w:tc>
          <w:tcPr/>
          <w:p>
            <w:pPr>
              <w:pStyle w:val="Compact"/>
              <w:jc w:val="center"/>
            </w:pPr>
            <w:r>
              <w:t xml:space="preserve">-0.225</w:t>
            </w:r>
          </w:p>
        </w:tc>
      </w:tr>
      <w:tr>
        <w:tc>
          <w:tcPr/>
          <w:p>
            <w:pPr>
              <w:pStyle w:val="Compact"/>
              <w:jc w:val="left"/>
            </w:pPr>
            <w:r>
              <w:t xml:space="preserve">Concept MLP</w:t>
            </w:r>
          </w:p>
        </w:tc>
        <w:tc>
          <w:tcPr/>
          <w:p>
            <w:pPr>
              <w:pStyle w:val="Compact"/>
              <w:jc w:val="center"/>
            </w:pPr>
            <w:r>
              <w:t xml:space="preserve">-0.017</w:t>
            </w:r>
          </w:p>
        </w:tc>
        <w:tc>
          <w:tcPr/>
          <w:p>
            <w:pPr>
              <w:pStyle w:val="Compact"/>
              <w:jc w:val="center"/>
            </w:pPr>
            <w:r>
              <w:t xml:space="preserve">+0.130</w:t>
            </w:r>
          </w:p>
        </w:tc>
        <w:tc>
          <w:tcPr/>
          <w:p>
            <w:pPr>
              <w:pStyle w:val="Compact"/>
              <w:jc w:val="center"/>
            </w:pPr>
            <w:r>
              <w:t xml:space="preserve">-0.154</w:t>
            </w:r>
          </w:p>
        </w:tc>
      </w:tr>
    </w:tbl>
    <w:bookmarkEnd w:id="141"/>
    <w:p>
      <w:pPr>
        <w:pStyle w:val="BodyText"/>
      </w:pPr>
      <w:r>
        <w:rPr>
          <w:iCs/>
          <w:i/>
        </w:rPr>
        <w:t xml:space="preserve">Notes:</w:t>
      </w:r>
      <w:r>
        <w:t xml:space="preserve"> </w:t>
      </w:r>
      <w:r>
        <w:t xml:space="preserve">Same H1a–H1d grid and column layout as Table </w:t>
      </w:r>
      <w:hyperlink w:anchor="tab:interaction">
        <w:r>
          <w:rPr>
            <w:rStyle w:val="Hyperlink"/>
          </w:rPr>
          <w:t xml:space="preserve">5</w:t>
        </w:r>
      </w:hyperlink>
      <w:r>
        <w:t xml:space="preserve">; significance stars use the two-sided Monte Carlo permutation</w:t>
      </w:r>
      <w:r>
        <w:t xml:space="preserve"> </w:t>
      </w:r>
      <m:oMath>
        <m:r>
          <m:t>p</m:t>
        </m:r>
      </m:oMath>
      <w:r>
        <w:t xml:space="preserve">-value (</w:t>
      </w:r>
      <m:oMath>
        <m:sSup>
          <m:e>
            <m:r>
              <m:t>​</m:t>
            </m:r>
          </m:e>
          <m:sup>
            <m:r>
              <m:rPr>
                <m:sty m:val="p"/>
              </m:rPr>
              <m:t>*</m:t>
            </m:r>
            <m:r>
              <m:rPr>
                <m:sty m:val="p"/>
              </m:rPr>
              <m:t>*</m:t>
            </m:r>
            <m:r>
              <m:rPr>
                <m:sty m:val="p"/>
              </m:rPr>
              <m:t>*</m:t>
            </m:r>
          </m:sup>
        </m:sSup>
        <m:r>
          <m:t> </m:t>
        </m:r>
        <m:r>
          <m:t>p</m:t>
        </m:r>
        <m:r>
          <m:rPr>
            <m:sty m:val="p"/>
          </m:rPr>
          <m:t>&lt;</m:t>
        </m:r>
        <m:r>
          <m:t>0.001</m:t>
        </m:r>
      </m:oMath>
      <w:r>
        <w:t xml:space="preserve">,</w:t>
      </w:r>
      <w:r>
        <w:t xml:space="preserve"> </w:t>
      </w:r>
      <m:oMath>
        <m:sSup>
          <m:e>
            <m:r>
              <m:t>​</m:t>
            </m:r>
          </m:e>
          <m:sup>
            <m:r>
              <m:rPr>
                <m:sty m:val="p"/>
              </m:rPr>
              <m:t>*</m:t>
            </m:r>
            <m:r>
              <m:rPr>
                <m:sty m:val="p"/>
              </m:rPr>
              <m:t>*</m:t>
            </m:r>
          </m:sup>
        </m:sSup>
        <m:r>
          <m:t> </m:t>
        </m:r>
        <m:r>
          <m:t>p</m:t>
        </m:r>
        <m:r>
          <m:rPr>
            <m:sty m:val="p"/>
          </m:rPr>
          <m:t>&lt;</m:t>
        </m:r>
        <m:r>
          <m:t>0.01</m:t>
        </m:r>
      </m:oMath>
      <w:r>
        <w:t xml:space="preserve">,</w:t>
      </w:r>
      <w:r>
        <w:t xml:space="preserve"> </w:t>
      </w:r>
      <m:oMath>
        <m:sSup>
          <m:e>
            <m:r>
              <m:t>​</m:t>
            </m:r>
          </m:e>
          <m:sup>
            <m:r>
              <m:rPr>
                <m:sty m:val="p"/>
              </m:rPr>
              <m:t>*</m:t>
            </m:r>
          </m:sup>
        </m:sSup>
        <m:r>
          <m:t> </m:t>
        </m:r>
        <m:r>
          <m:t>p</m:t>
        </m:r>
        <m:r>
          <m:rPr>
            <m:sty m:val="p"/>
          </m:rPr>
          <m:t>&lt;</m:t>
        </m:r>
        <m:r>
          <m:t>0.05</m:t>
        </m:r>
      </m:oMath>
      <w:r>
        <w:t xml:space="preserve">,</w:t>
      </w:r>
      <w:r>
        <w:t xml:space="preserve"> </w:t>
      </w:r>
      <m:oMath>
        <m:sSup>
          <m:e>
            <m:r>
              <m:t>​</m:t>
            </m:r>
          </m:e>
          <m:sup>
            <m:r>
              <m:rPr>
                <m:sty m:val="p"/>
              </m:rPr>
              <m:t>†</m:t>
            </m:r>
          </m:sup>
        </m:sSup>
        <m:r>
          <m:t> </m:t>
        </m:r>
        <m:r>
          <m:t>p</m:t>
        </m:r>
        <m:r>
          <m:rPr>
            <m:sty m:val="p"/>
          </m:rPr>
          <m:t>&lt;</m:t>
        </m:r>
        <m:r>
          <m:t>0.10</m:t>
        </m:r>
      </m:oMath>
      <w:r>
        <w:t xml:space="preserve">). Identical inputs and configuration grid to</w:t>
      </w:r>
      <w:r>
        <w:t xml:space="preserve"> </w:t>
      </w:r>
      <w:r>
        <w:t xml:space="preserve">Table </w:t>
      </w:r>
      <w:hyperlink w:anchor="tab:interaction">
        <w:r>
          <w:rPr>
            <w:rStyle w:val="Hyperlink"/>
          </w:rPr>
          <w:t xml:space="preserve">5</w:t>
        </w:r>
      </w:hyperlink>
      <w:r>
        <w:t xml:space="preserve">; only the correlation function changes from Spearman</w:t>
      </w:r>
      <w:r>
        <w:t xml:space="preserve"> </w:t>
      </w:r>
      <m:oMath>
        <m:r>
          <m:t>ρ</m:t>
        </m:r>
      </m:oMath>
      <w:r>
        <w:t xml:space="preserve"> </w:t>
      </w:r>
      <w:r>
        <w:t xml:space="preserve">(ranks) to Pearson</w:t>
      </w:r>
      <w:r>
        <w:t xml:space="preserve"> </w:t>
      </w:r>
      <m:oMath>
        <m:r>
          <m:t>r</m:t>
        </m:r>
      </m:oMath>
      <w:r>
        <w:t xml:space="preserve"> </w:t>
      </w:r>
      <w:r>
        <w:t xml:space="preserve">(raw magnitudes). ZS is MPNet-only per manuscript</w:t>
      </w:r>
      <w:r>
        <w:t xml:space="preserve"> </w:t>
      </w:r>
      <w:r>
        <w:t xml:space="preserve">scope.</w:t>
      </w:r>
    </w:p>
    <w:bookmarkEnd w:id="142"/>
    <w:bookmarkStart w:id="145" w:name="app:policy-source-data"/>
    <w:p>
      <w:pPr>
        <w:pStyle w:val="Heading2"/>
      </w:pPr>
      <w:r>
        <w:t xml:space="preserve">Detailed Policy Profiles by Source Family</w:t>
      </w:r>
    </w:p>
    <w:p>
      <w:pPr>
        <w:pStyle w:val="FirstParagraph"/>
      </w:pPr>
      <w:r>
        <w:t xml:space="preserve">The full policy corpus combines a curated AI/SDG sub-corpus, SDGi VNR/VLR reports, and UN General Debate speeches. These are all policy-facing texts, but they are not interchangeable genres. The family split reported in Table </w:t>
      </w:r>
      <w:hyperlink w:anchor="tab:policy-source-family">
        <w:r>
          <w:rPr>
            <w:rStyle w:val="Hyperlink"/>
          </w:rPr>
          <w:t xml:space="preserve">32</w:t>
        </w:r>
      </w:hyperlink>
      <w:r>
        <w:t xml:space="preserve"> </w:t>
      </w:r>
      <w:r>
        <w:t xml:space="preserve">therefore asks a narrow question: whether the full-corpus policy profile is broadly stable across source families or whether it is strongly shaped by corpus composition.</w:t>
      </w:r>
    </w:p>
    <w:p>
      <w:pPr>
        <w:pStyle w:val="BodyText"/>
      </w:pPr>
      <w:r>
        <w:t xml:space="preserve">The answer is mixed. The international-institutional profile is source-family sensitive. The curated AI/SDG family is much more innovation-oriented, with SDG 9 leading its document-weighted profile, while the UNGDC family is more strongly concentrated on climate, partnerships, and governance, consistent with the UNGD topic distributions reported by</w:t>
      </w:r>
      <w:r>
        <w:t xml:space="preserve"> </w:t>
      </w:r>
      <w:r>
        <w:t xml:space="preserve">Jankin et al. (2024)</w:t>
      </w:r>
      <w:r>
        <w:t xml:space="preserve">, and the SDGi family is comparatively even, with SDG 11-style institutional review language at its top. At the same time, the broader full-corpus pattern is not driven by one family alone: both the UNGDC speeches and the full corpus are dominated by the climate–partnerships–governance block, and the within-SDG semantic-gap ordering is broadly preserved across families (</w:t>
      </w:r>
      <m:oMath>
        <m:r>
          <m:t>ρ</m:t>
        </m:r>
        <m:r>
          <m:rPr>
            <m:sty m:val="p"/>
          </m:rPr>
          <m:t>=</m:t>
        </m:r>
        <m:r>
          <m:t>0.73</m:t>
        </m:r>
      </m:oMath>
      <w:r>
        <w:t xml:space="preserve">–</w:t>
      </w:r>
      <m:oMath>
        <m:r>
          <m:t>0.97</m:t>
        </m:r>
      </m:oMath>
      <w:r>
        <w:t xml:space="preserve">).</w:t>
      </w:r>
    </w:p>
    <w:p>
      <w:pPr>
        <w:pStyle w:val="BodyText"/>
      </w:pPr>
      <w:r>
        <w:t xml:space="preserve">The implication is interpretive rather than corrective. The full policy corpus should be read as international institutional SDG discourse, not as a universal profile of all AI sustainability policy. The scope of what the policy-side distribution represents is accordingly narrower, but the main diagnostic purpose remains valid.</w:t>
      </w:r>
    </w:p>
    <w:bookmarkStart w:id="143" w:name="tab:policy-source-family"/>
    <w:p>
      <w:pPr>
        <w:pStyle w:val="TableCaption"/>
      </w:pPr>
      <w:r>
        <w:t xml:space="preserve">Per-SDG policy source-family sensitivity: coverage share and semantic gap.</w:t>
      </w:r>
    </w:p>
    <w:tbl>
      <w:tblPr>
        <w:tblStyle w:val="Table"/>
        <w:tblW w:type="auto" w:w="0"/>
        <w:tblLook w:firstRow="1" w:lastRow="0" w:firstColumn="0" w:lastColumn="0" w:noHBand="0" w:noVBand="0" w:val="0020"/>
        <w:jc w:val="start"/>
        <w:tblCaption w:val="Per-SDG policy source-family sensitivity: coverage share and semantic gap."/>
      </w:tblPr>
      <w:tblGrid>
        <w:gridCol w:w="880"/>
        <w:gridCol w:w="880"/>
        <w:gridCol w:w="880"/>
        <w:gridCol w:w="880"/>
        <w:gridCol w:w="880"/>
        <w:gridCol w:w="880"/>
        <w:gridCol w:w="880"/>
        <w:gridCol w:w="880"/>
        <w:gridCol w:w="880"/>
      </w:tblGrid>
      <w:tr>
        <w:trPr>
          <w:tblHeader w:val="true"/>
        </w:trPr>
        <w:tc>
          <w:tcPr/>
          <w:p>
            <w:pPr>
              <w:pStyle w:val="Compact"/>
              <w:jc w:val="left"/>
            </w:pPr>
            <w:r>
              <w:t xml:space="preserve">SDG</w:t>
            </w:r>
          </w:p>
        </w:tc>
        <w:tc>
          <w:tcPr>
            <w:gridSpan w:val="2"/>
          </w:tcPr>
          <w:p>
            <w:pPr>
              <w:pStyle w:val="Compact"/>
              <w:jc w:val="center"/>
            </w:pPr>
            <w:r>
              <w:t xml:space="preserve">Full Corpus</w:t>
            </w:r>
          </w:p>
        </w:tc>
        <w:tc>
          <w:tcPr>
            <w:gridSpan w:val="2"/>
          </w:tcPr>
          <w:p>
            <w:pPr>
              <w:pStyle w:val="Compact"/>
              <w:jc w:val="center"/>
            </w:pPr>
            <w:r>
              <w:t xml:space="preserve">Curated AI/SDG</w:t>
            </w:r>
          </w:p>
        </w:tc>
        <w:tc>
          <w:tcPr>
            <w:gridSpan w:val="2"/>
          </w:tcPr>
          <w:p>
            <w:pPr>
              <w:pStyle w:val="Compact"/>
              <w:jc w:val="center"/>
            </w:pPr>
            <w:r>
              <w:t xml:space="preserve">SDGi VNR/VLR</w:t>
            </w:r>
          </w:p>
        </w:tc>
        <w:tc>
          <w:tcPr>
            <w:gridSpan w:val="2"/>
          </w:tcPr>
          <w:p>
            <w:pPr>
              <w:pStyle w:val="Compact"/>
              <w:jc w:val="center"/>
            </w:pPr>
            <w:r>
              <w:t xml:space="preserve">UNGDC</w:t>
            </w:r>
          </w:p>
        </w:tc>
      </w:tr>
      <w:tr>
        <w:tc>
          <w:tcPr/>
          <w:p>
            <w:pPr>
              <w:pStyle w:val="Compact"/>
              <w:jc w:val="left"/>
            </w:pPr>
            <w:r>
              <w:t xml:space="preserve">2-3</w:t>
            </w:r>
            <w:r>
              <w:t xml:space="preserve"> </w:t>
            </w:r>
            <w:r>
              <w:t xml:space="preserve">(lr)</w:t>
            </w:r>
            <w:r>
              <w:t xml:space="preserve">4-5</w:t>
            </w:r>
            <w:r>
              <w:t xml:space="preserve"> </w:t>
            </w:r>
            <w:r>
              <w:t xml:space="preserve">(lr)</w:t>
            </w:r>
            <w:r>
              <w:t xml:space="preserve">6-7</w:t>
            </w:r>
            <w:r>
              <w:t xml:space="preserve"> </w:t>
            </w:r>
            <w:r>
              <w:t xml:space="preserve">(lr)</w:t>
            </w:r>
            <w:r>
              <w:t xml:space="preserve">8-9</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c>
          <w:tcPr/>
          <w:p>
            <w:pPr>
              <w:pStyle w:val="Compact"/>
              <w:jc w:val="center"/>
            </w:pPr>
            <w:r>
              <w:t xml:space="preserve">pol.% (n)</w:t>
            </w:r>
          </w:p>
        </w:tc>
        <w:tc>
          <w:tcPr/>
          <w:p>
            <w:pPr>
              <w:pStyle w:val="Compact"/>
              <w:jc w:val="center"/>
            </w:pPr>
            <w:r>
              <w:t xml:space="preserve">sem. (n)</w:t>
            </w:r>
          </w:p>
        </w:tc>
      </w:tr>
      <w:tr>
        <w:tc>
          <w:tcPr/>
          <w:p>
            <w:pPr>
              <w:pStyle w:val="Compact"/>
              <w:jc w:val="left"/>
            </w:pPr>
            <w:r>
              <w:t xml:space="preserve">1</w:t>
            </w:r>
          </w:p>
        </w:tc>
        <w:tc>
          <w:tcPr/>
          <w:p>
            <w:pPr>
              <w:pStyle w:val="Compact"/>
              <w:jc w:val="center"/>
            </w:pPr>
            <w:r>
              <w:t xml:space="preserve">4.5 (288)</w:t>
            </w:r>
          </w:p>
        </w:tc>
        <w:tc>
          <w:tcPr/>
          <w:p>
            <w:pPr>
              <w:pStyle w:val="Compact"/>
              <w:jc w:val="center"/>
            </w:pPr>
            <w:r>
              <w:t xml:space="preserve">0.415 (1,689)</w:t>
            </w:r>
          </w:p>
        </w:tc>
        <w:tc>
          <w:tcPr/>
          <w:p>
            <w:pPr>
              <w:pStyle w:val="Compact"/>
              <w:jc w:val="center"/>
            </w:pPr>
            <w:r>
              <w:t xml:space="preserve">1.1 (1)</w:t>
            </w:r>
          </w:p>
        </w:tc>
        <w:tc>
          <w:tcPr/>
          <w:p>
            <w:pPr>
              <w:pStyle w:val="Compact"/>
              <w:jc w:val="center"/>
            </w:pPr>
            <w:r>
              <w:t xml:space="preserve">0.443 (357)</w:t>
            </w:r>
          </w:p>
        </w:tc>
        <w:tc>
          <w:tcPr/>
          <w:p>
            <w:pPr>
              <w:pStyle w:val="Compact"/>
              <w:jc w:val="center"/>
            </w:pPr>
            <w:r>
              <w:t xml:space="preserve">5.9 (250)</w:t>
            </w:r>
          </w:p>
        </w:tc>
        <w:tc>
          <w:tcPr/>
          <w:p>
            <w:pPr>
              <w:pStyle w:val="Compact"/>
              <w:jc w:val="center"/>
            </w:pPr>
            <w:r>
              <w:t xml:space="preserve">0.415 (1,191)</w:t>
            </w:r>
          </w:p>
        </w:tc>
        <w:tc>
          <w:tcPr/>
          <w:p>
            <w:pPr>
              <w:pStyle w:val="Compact"/>
              <w:jc w:val="center"/>
            </w:pPr>
            <w:r>
              <w:t xml:space="preserve">1.8 (37)</w:t>
            </w:r>
          </w:p>
        </w:tc>
        <w:tc>
          <w:tcPr/>
          <w:p>
            <w:pPr>
              <w:pStyle w:val="Compact"/>
              <w:jc w:val="center"/>
            </w:pPr>
            <w:r>
              <w:t xml:space="preserve">0.556 (141)</w:t>
            </w:r>
          </w:p>
        </w:tc>
      </w:tr>
      <w:tr>
        <w:tc>
          <w:tcPr/>
          <w:p>
            <w:pPr>
              <w:pStyle w:val="Compact"/>
              <w:jc w:val="left"/>
            </w:pPr>
            <w:r>
              <w:t xml:space="preserve">2</w:t>
            </w:r>
          </w:p>
        </w:tc>
        <w:tc>
          <w:tcPr/>
          <w:p>
            <w:pPr>
              <w:pStyle w:val="Compact"/>
              <w:jc w:val="center"/>
            </w:pPr>
            <w:r>
              <w:t xml:space="preserve">4.3 (274)</w:t>
            </w:r>
          </w:p>
        </w:tc>
        <w:tc>
          <w:tcPr/>
          <w:p>
            <w:pPr>
              <w:pStyle w:val="Compact"/>
              <w:jc w:val="center"/>
            </w:pPr>
            <w:r>
              <w:t xml:space="preserve">0.299 (1,508)</w:t>
            </w:r>
          </w:p>
        </w:tc>
        <w:tc>
          <w:tcPr/>
          <w:p>
            <w:pPr>
              <w:pStyle w:val="Compact"/>
              <w:jc w:val="center"/>
            </w:pPr>
            <w:r>
              <w:t xml:space="preserve">0.0 (0)</w:t>
            </w:r>
          </w:p>
        </w:tc>
        <w:tc>
          <w:tcPr/>
          <w:p>
            <w:pPr>
              <w:pStyle w:val="Compact"/>
              <w:jc w:val="center"/>
            </w:pPr>
            <w:r>
              <w:t xml:space="preserve">0.345 (240)</w:t>
            </w:r>
          </w:p>
        </w:tc>
        <w:tc>
          <w:tcPr/>
          <w:p>
            <w:pPr>
              <w:pStyle w:val="Compact"/>
              <w:jc w:val="center"/>
            </w:pPr>
            <w:r>
              <w:t xml:space="preserve">5.8 (246)</w:t>
            </w:r>
          </w:p>
        </w:tc>
        <w:tc>
          <w:tcPr/>
          <w:p>
            <w:pPr>
              <w:pStyle w:val="Compact"/>
              <w:jc w:val="center"/>
            </w:pPr>
            <w:r>
              <w:t xml:space="preserve">0.294 (1,196)</w:t>
            </w:r>
          </w:p>
        </w:tc>
        <w:tc>
          <w:tcPr/>
          <w:p>
            <w:pPr>
              <w:pStyle w:val="Compact"/>
              <w:jc w:val="center"/>
            </w:pPr>
            <w:r>
              <w:t xml:space="preserve">1.4 (28)</w:t>
            </w:r>
          </w:p>
        </w:tc>
        <w:tc>
          <w:tcPr/>
          <w:p>
            <w:pPr>
              <w:pStyle w:val="Compact"/>
              <w:jc w:val="center"/>
            </w:pPr>
            <w:r>
              <w:t xml:space="preserve">0.454 (72)</w:t>
            </w:r>
          </w:p>
        </w:tc>
      </w:tr>
      <w:tr>
        <w:tc>
          <w:tcPr/>
          <w:p>
            <w:pPr>
              <w:pStyle w:val="Compact"/>
              <w:jc w:val="left"/>
            </w:pPr>
            <w:r>
              <w:t xml:space="preserve">3</w:t>
            </w:r>
          </w:p>
        </w:tc>
        <w:tc>
          <w:tcPr/>
          <w:p>
            <w:pPr>
              <w:pStyle w:val="Compact"/>
              <w:jc w:val="center"/>
            </w:pPr>
            <w:r>
              <w:t xml:space="preserve">4.7 (298)</w:t>
            </w:r>
          </w:p>
        </w:tc>
        <w:tc>
          <w:tcPr/>
          <w:p>
            <w:pPr>
              <w:pStyle w:val="Compact"/>
              <w:jc w:val="center"/>
            </w:pPr>
            <w:r>
              <w:t xml:space="preserve">0.495 (2,408)</w:t>
            </w:r>
          </w:p>
        </w:tc>
        <w:tc>
          <w:tcPr/>
          <w:p>
            <w:pPr>
              <w:pStyle w:val="Compact"/>
              <w:jc w:val="center"/>
            </w:pPr>
            <w:r>
              <w:t xml:space="preserve">6.4 (6)</w:t>
            </w:r>
          </w:p>
        </w:tc>
        <w:tc>
          <w:tcPr/>
          <w:p>
            <w:pPr>
              <w:pStyle w:val="Compact"/>
              <w:jc w:val="center"/>
            </w:pPr>
            <w:r>
              <w:t xml:space="preserve">0.362 (643)</w:t>
            </w:r>
          </w:p>
        </w:tc>
        <w:tc>
          <w:tcPr/>
          <w:p>
            <w:pPr>
              <w:pStyle w:val="Compact"/>
              <w:jc w:val="center"/>
            </w:pPr>
            <w:r>
              <w:t xml:space="preserve">6.7 (284)</w:t>
            </w:r>
          </w:p>
        </w:tc>
        <w:tc>
          <w:tcPr/>
          <w:p>
            <w:pPr>
              <w:pStyle w:val="Compact"/>
              <w:jc w:val="center"/>
            </w:pPr>
            <w:r>
              <w:t xml:space="preserve">0.554 (1,707)</w:t>
            </w:r>
          </w:p>
        </w:tc>
        <w:tc>
          <w:tcPr/>
          <w:p>
            <w:pPr>
              <w:pStyle w:val="Compact"/>
              <w:jc w:val="center"/>
            </w:pPr>
            <w:r>
              <w:t xml:space="preserve">0.4 (8)</w:t>
            </w:r>
          </w:p>
        </w:tc>
        <w:tc>
          <w:tcPr/>
          <w:p>
            <w:pPr>
              <w:pStyle w:val="Compact"/>
              <w:jc w:val="center"/>
            </w:pPr>
            <w:r>
              <w:t xml:space="preserve">0.695 (58)</w:t>
            </w:r>
          </w:p>
        </w:tc>
      </w:tr>
      <w:tr>
        <w:tc>
          <w:tcPr/>
          <w:p>
            <w:pPr>
              <w:pStyle w:val="Compact"/>
              <w:jc w:val="left"/>
            </w:pPr>
            <w:r>
              <w:t xml:space="preserve">4</w:t>
            </w:r>
          </w:p>
        </w:tc>
        <w:tc>
          <w:tcPr/>
          <w:p>
            <w:pPr>
              <w:pStyle w:val="Compact"/>
              <w:jc w:val="center"/>
            </w:pPr>
            <w:r>
              <w:t xml:space="preserve">4.8 (305)</w:t>
            </w:r>
          </w:p>
        </w:tc>
        <w:tc>
          <w:tcPr/>
          <w:p>
            <w:pPr>
              <w:pStyle w:val="Compact"/>
              <w:jc w:val="center"/>
            </w:pPr>
            <w:r>
              <w:t xml:space="preserve">0.267 (2,055)</w:t>
            </w:r>
          </w:p>
        </w:tc>
        <w:tc>
          <w:tcPr/>
          <w:p>
            <w:pPr>
              <w:pStyle w:val="Compact"/>
              <w:jc w:val="center"/>
            </w:pPr>
            <w:r>
              <w:t xml:space="preserve">0.0 (0)</w:t>
            </w:r>
          </w:p>
        </w:tc>
        <w:tc>
          <w:tcPr/>
          <w:p>
            <w:pPr>
              <w:pStyle w:val="Compact"/>
              <w:jc w:val="center"/>
            </w:pPr>
            <w:r>
              <w:t xml:space="preserve">0.205 (274)</w:t>
            </w:r>
          </w:p>
        </w:tc>
        <w:tc>
          <w:tcPr/>
          <w:p>
            <w:pPr>
              <w:pStyle w:val="Compact"/>
              <w:jc w:val="center"/>
            </w:pPr>
            <w:r>
              <w:t xml:space="preserve">7.0 (296)</w:t>
            </w:r>
          </w:p>
        </w:tc>
        <w:tc>
          <w:tcPr/>
          <w:p>
            <w:pPr>
              <w:pStyle w:val="Compact"/>
              <w:jc w:val="center"/>
            </w:pPr>
            <w:r>
              <w:t xml:space="preserve">0.287 (1,718)</w:t>
            </w:r>
          </w:p>
        </w:tc>
        <w:tc>
          <w:tcPr/>
          <w:p>
            <w:pPr>
              <w:pStyle w:val="Compact"/>
              <w:jc w:val="center"/>
            </w:pPr>
            <w:r>
              <w:t xml:space="preserve">0.4 (9)</w:t>
            </w:r>
          </w:p>
        </w:tc>
        <w:tc>
          <w:tcPr/>
          <w:p>
            <w:pPr>
              <w:pStyle w:val="Compact"/>
              <w:jc w:val="center"/>
            </w:pPr>
            <w:r>
              <w:t xml:space="preserve">0.395 (63)</w:t>
            </w:r>
          </w:p>
        </w:tc>
      </w:tr>
      <w:tr>
        <w:tc>
          <w:tcPr/>
          <w:p>
            <w:pPr>
              <w:pStyle w:val="Compact"/>
              <w:jc w:val="left"/>
            </w:pPr>
            <w:r>
              <w:t xml:space="preserve">5</w:t>
            </w:r>
          </w:p>
        </w:tc>
        <w:tc>
          <w:tcPr/>
          <w:p>
            <w:pPr>
              <w:pStyle w:val="Compact"/>
              <w:jc w:val="center"/>
            </w:pPr>
            <w:r>
              <w:t xml:space="preserve">5.1 (324)</w:t>
            </w:r>
          </w:p>
        </w:tc>
        <w:tc>
          <w:tcPr/>
          <w:p>
            <w:pPr>
              <w:pStyle w:val="Compact"/>
              <w:jc w:val="center"/>
            </w:pPr>
            <w:r>
              <w:t xml:space="preserve">0.278 (2,005)</w:t>
            </w:r>
          </w:p>
        </w:tc>
        <w:tc>
          <w:tcPr/>
          <w:p>
            <w:pPr>
              <w:pStyle w:val="Compact"/>
              <w:jc w:val="center"/>
            </w:pPr>
            <w:r>
              <w:t xml:space="preserve">0.0 (0)</w:t>
            </w:r>
          </w:p>
        </w:tc>
        <w:tc>
          <w:tcPr/>
          <w:p>
            <w:pPr>
              <w:pStyle w:val="Compact"/>
              <w:jc w:val="center"/>
            </w:pPr>
            <w:r>
              <w:t xml:space="preserve">0.276 (272)</w:t>
            </w:r>
          </w:p>
        </w:tc>
        <w:tc>
          <w:tcPr/>
          <w:p>
            <w:pPr>
              <w:pStyle w:val="Compact"/>
              <w:jc w:val="center"/>
            </w:pPr>
            <w:r>
              <w:t xml:space="preserve">6.6 (278)</w:t>
            </w:r>
          </w:p>
        </w:tc>
        <w:tc>
          <w:tcPr/>
          <w:p>
            <w:pPr>
              <w:pStyle w:val="Compact"/>
              <w:jc w:val="center"/>
            </w:pPr>
            <w:r>
              <w:t xml:space="preserve">0.282 (1,531)</w:t>
            </w:r>
          </w:p>
        </w:tc>
        <w:tc>
          <w:tcPr/>
          <w:p>
            <w:pPr>
              <w:pStyle w:val="Compact"/>
              <w:jc w:val="center"/>
            </w:pPr>
            <w:r>
              <w:t xml:space="preserve">2.2 (46)</w:t>
            </w:r>
          </w:p>
        </w:tc>
        <w:tc>
          <w:tcPr/>
          <w:p>
            <w:pPr>
              <w:pStyle w:val="Compact"/>
              <w:jc w:val="center"/>
            </w:pPr>
            <w:r>
              <w:t xml:space="preserve">0.411 (202)</w:t>
            </w:r>
          </w:p>
        </w:tc>
      </w:tr>
      <w:tr>
        <w:tc>
          <w:tcPr/>
          <w:p>
            <w:pPr>
              <w:pStyle w:val="Compact"/>
              <w:jc w:val="left"/>
            </w:pPr>
            <w:r>
              <w:t xml:space="preserve">6</w:t>
            </w:r>
          </w:p>
        </w:tc>
        <w:tc>
          <w:tcPr/>
          <w:p>
            <w:pPr>
              <w:pStyle w:val="Compact"/>
              <w:jc w:val="center"/>
            </w:pPr>
            <w:r>
              <w:t xml:space="preserve">3.7 (238)</w:t>
            </w:r>
          </w:p>
        </w:tc>
        <w:tc>
          <w:tcPr/>
          <w:p>
            <w:pPr>
              <w:pStyle w:val="Compact"/>
              <w:jc w:val="center"/>
            </w:pPr>
            <w:r>
              <w:t xml:space="preserve">0.292 (1,206)</w:t>
            </w:r>
          </w:p>
        </w:tc>
        <w:tc>
          <w:tcPr/>
          <w:p>
            <w:pPr>
              <w:pStyle w:val="Compact"/>
              <w:jc w:val="center"/>
            </w:pPr>
            <w:r>
              <w:t xml:space="preserve">0.0 (0)</w:t>
            </w:r>
          </w:p>
        </w:tc>
        <w:tc>
          <w:tcPr/>
          <w:p>
            <w:pPr>
              <w:pStyle w:val="Compact"/>
              <w:jc w:val="center"/>
            </w:pPr>
            <w:r>
              <w:t xml:space="preserve">0.346 (137)</w:t>
            </w:r>
          </w:p>
        </w:tc>
        <w:tc>
          <w:tcPr/>
          <w:p>
            <w:pPr>
              <w:pStyle w:val="Compact"/>
              <w:jc w:val="center"/>
            </w:pPr>
            <w:r>
              <w:t xml:space="preserve">5.3 (226)</w:t>
            </w:r>
          </w:p>
        </w:tc>
        <w:tc>
          <w:tcPr/>
          <w:p>
            <w:pPr>
              <w:pStyle w:val="Compact"/>
              <w:jc w:val="center"/>
            </w:pPr>
            <w:r>
              <w:t xml:space="preserve">0.292 (1,038)</w:t>
            </w:r>
          </w:p>
        </w:tc>
        <w:tc>
          <w:tcPr/>
          <w:p>
            <w:pPr>
              <w:pStyle w:val="Compact"/>
              <w:jc w:val="center"/>
            </w:pPr>
            <w:r>
              <w:t xml:space="preserve">0.6 (12)</w:t>
            </w:r>
          </w:p>
        </w:tc>
        <w:tc>
          <w:tcPr/>
          <w:p>
            <w:pPr>
              <w:pStyle w:val="Compact"/>
              <w:jc w:val="center"/>
            </w:pPr>
            <w:r>
              <w:t xml:space="preserve">0.422 (31)</w:t>
            </w:r>
          </w:p>
        </w:tc>
      </w:tr>
      <w:tr>
        <w:tc>
          <w:tcPr/>
          <w:p>
            <w:pPr>
              <w:pStyle w:val="Compact"/>
              <w:jc w:val="left"/>
            </w:pPr>
            <w:r>
              <w:t xml:space="preserve">7</w:t>
            </w:r>
          </w:p>
        </w:tc>
        <w:tc>
          <w:tcPr/>
          <w:p>
            <w:pPr>
              <w:pStyle w:val="Compact"/>
              <w:jc w:val="center"/>
            </w:pPr>
            <w:r>
              <w:t xml:space="preserve">4.3 (273)</w:t>
            </w:r>
          </w:p>
        </w:tc>
        <w:tc>
          <w:tcPr/>
          <w:p>
            <w:pPr>
              <w:pStyle w:val="Compact"/>
              <w:jc w:val="center"/>
            </w:pPr>
            <w:r>
              <w:t xml:space="preserve">0.427 (1,578)</w:t>
            </w:r>
          </w:p>
        </w:tc>
        <w:tc>
          <w:tcPr/>
          <w:p>
            <w:pPr>
              <w:pStyle w:val="Compact"/>
              <w:jc w:val="center"/>
            </w:pPr>
            <w:r>
              <w:t xml:space="preserve">1.1 (1)</w:t>
            </w:r>
          </w:p>
        </w:tc>
        <w:tc>
          <w:tcPr/>
          <w:p>
            <w:pPr>
              <w:pStyle w:val="Compact"/>
              <w:jc w:val="center"/>
            </w:pPr>
            <w:r>
              <w:t xml:space="preserve">0.511 (358)</w:t>
            </w:r>
          </w:p>
        </w:tc>
        <w:tc>
          <w:tcPr/>
          <w:p>
            <w:pPr>
              <w:pStyle w:val="Compact"/>
              <w:jc w:val="center"/>
            </w:pPr>
            <w:r>
              <w:t xml:space="preserve">6.0 (253)</w:t>
            </w:r>
          </w:p>
        </w:tc>
        <w:tc>
          <w:tcPr/>
          <w:p>
            <w:pPr>
              <w:pStyle w:val="Compact"/>
              <w:jc w:val="center"/>
            </w:pPr>
            <w:r>
              <w:t xml:space="preserve">0.409 (1,147)</w:t>
            </w:r>
          </w:p>
        </w:tc>
        <w:tc>
          <w:tcPr/>
          <w:p>
            <w:pPr>
              <w:pStyle w:val="Compact"/>
              <w:jc w:val="center"/>
            </w:pPr>
            <w:r>
              <w:t xml:space="preserve">0.9 (19)</w:t>
            </w:r>
          </w:p>
        </w:tc>
        <w:tc>
          <w:tcPr/>
          <w:p>
            <w:pPr>
              <w:pStyle w:val="Compact"/>
              <w:jc w:val="center"/>
            </w:pPr>
            <w:r>
              <w:t xml:space="preserve">0.591 (73)</w:t>
            </w:r>
          </w:p>
        </w:tc>
      </w:tr>
      <w:tr>
        <w:tc>
          <w:tcPr/>
          <w:p>
            <w:pPr>
              <w:pStyle w:val="Compact"/>
              <w:jc w:val="left"/>
            </w:pPr>
            <w:r>
              <w:t xml:space="preserve">8</w:t>
            </w:r>
          </w:p>
        </w:tc>
        <w:tc>
          <w:tcPr/>
          <w:p>
            <w:pPr>
              <w:pStyle w:val="Compact"/>
              <w:jc w:val="center"/>
            </w:pPr>
            <w:r>
              <w:t xml:space="preserve">4.3 (276)</w:t>
            </w:r>
          </w:p>
        </w:tc>
        <w:tc>
          <w:tcPr/>
          <w:p>
            <w:pPr>
              <w:pStyle w:val="Compact"/>
              <w:jc w:val="center"/>
            </w:pPr>
            <w:r>
              <w:t xml:space="preserve">0.387 (1,886)</w:t>
            </w:r>
          </w:p>
        </w:tc>
        <w:tc>
          <w:tcPr/>
          <w:p>
            <w:pPr>
              <w:pStyle w:val="Compact"/>
              <w:jc w:val="center"/>
            </w:pPr>
            <w:r>
              <w:t xml:space="preserve">0.0 (0)</w:t>
            </w:r>
          </w:p>
        </w:tc>
        <w:tc>
          <w:tcPr/>
          <w:p>
            <w:pPr>
              <w:pStyle w:val="Compact"/>
              <w:jc w:val="center"/>
            </w:pPr>
            <w:r>
              <w:t xml:space="preserve">0.395 (309)</w:t>
            </w:r>
          </w:p>
        </w:tc>
        <w:tc>
          <w:tcPr/>
          <w:p>
            <w:pPr>
              <w:pStyle w:val="Compact"/>
              <w:jc w:val="center"/>
            </w:pPr>
            <w:r>
              <w:t xml:space="preserve">6.5 (275)</w:t>
            </w:r>
          </w:p>
        </w:tc>
        <w:tc>
          <w:tcPr/>
          <w:p>
            <w:pPr>
              <w:pStyle w:val="Compact"/>
              <w:jc w:val="center"/>
            </w:pPr>
            <w:r>
              <w:t xml:space="preserve">0.397 (1,558)</w:t>
            </w:r>
          </w:p>
        </w:tc>
        <w:tc>
          <w:tcPr/>
          <w:p>
            <w:pPr>
              <w:pStyle w:val="Compact"/>
              <w:jc w:val="center"/>
            </w:pPr>
            <w:r>
              <w:t xml:space="preserve">0.0 (1)</w:t>
            </w:r>
          </w:p>
        </w:tc>
        <w:tc>
          <w:tcPr/>
          <w:p>
            <w:pPr>
              <w:pStyle w:val="Compact"/>
              <w:jc w:val="center"/>
            </w:pPr>
            <w:r>
              <w:t xml:space="preserve">0.536 (19)</w:t>
            </w:r>
          </w:p>
        </w:tc>
      </w:tr>
      <w:tr>
        <w:tc>
          <w:tcPr/>
          <w:p>
            <w:pPr>
              <w:pStyle w:val="Compact"/>
              <w:jc w:val="left"/>
            </w:pPr>
            <w:r>
              <w:t xml:space="preserve">9</w:t>
            </w:r>
          </w:p>
        </w:tc>
        <w:tc>
          <w:tcPr/>
          <w:p>
            <w:pPr>
              <w:pStyle w:val="Compact"/>
              <w:jc w:val="center"/>
            </w:pPr>
            <w:r>
              <w:t xml:space="preserve">4.3 (274)</w:t>
            </w:r>
          </w:p>
        </w:tc>
        <w:tc>
          <w:tcPr/>
          <w:p>
            <w:pPr>
              <w:pStyle w:val="Compact"/>
              <w:jc w:val="center"/>
            </w:pPr>
            <w:r>
              <w:t xml:space="preserve">0.315 (2,986)</w:t>
            </w:r>
          </w:p>
        </w:tc>
        <w:tc>
          <w:tcPr/>
          <w:p>
            <w:pPr>
              <w:pStyle w:val="Compact"/>
              <w:jc w:val="center"/>
            </w:pPr>
            <w:r>
              <w:t xml:space="preserve">50.0 (47)</w:t>
            </w:r>
          </w:p>
        </w:tc>
        <w:tc>
          <w:tcPr/>
          <w:p>
            <w:pPr>
              <w:pStyle w:val="Compact"/>
              <w:jc w:val="center"/>
            </w:pPr>
            <w:r>
              <w:t xml:space="preserve">0.272 (1,838)</w:t>
            </w:r>
          </w:p>
        </w:tc>
        <w:tc>
          <w:tcPr/>
          <w:p>
            <w:pPr>
              <w:pStyle w:val="Compact"/>
              <w:jc w:val="center"/>
            </w:pPr>
            <w:r>
              <w:t xml:space="preserve">5.1 (215)</w:t>
            </w:r>
          </w:p>
        </w:tc>
        <w:tc>
          <w:tcPr/>
          <w:p>
            <w:pPr>
              <w:pStyle w:val="Compact"/>
              <w:jc w:val="center"/>
            </w:pPr>
            <w:r>
              <w:t xml:space="preserve">0.545 (1,116)</w:t>
            </w:r>
          </w:p>
        </w:tc>
        <w:tc>
          <w:tcPr/>
          <w:p>
            <w:pPr>
              <w:pStyle w:val="Compact"/>
              <w:jc w:val="center"/>
            </w:pPr>
            <w:r>
              <w:t xml:space="preserve">0.6 (12)</w:t>
            </w:r>
          </w:p>
        </w:tc>
        <w:tc>
          <w:tcPr/>
          <w:p>
            <w:pPr>
              <w:pStyle w:val="Compact"/>
              <w:jc w:val="center"/>
            </w:pPr>
            <w:r>
              <w:t xml:space="preserve">0.459 (32)</w:t>
            </w:r>
          </w:p>
        </w:tc>
      </w:tr>
      <w:tr>
        <w:tc>
          <w:tcPr/>
          <w:p>
            <w:pPr>
              <w:pStyle w:val="Compact"/>
              <w:jc w:val="left"/>
            </w:pPr>
            <w:r>
              <w:t xml:space="preserve">10</w:t>
            </w:r>
          </w:p>
        </w:tc>
        <w:tc>
          <w:tcPr/>
          <w:p>
            <w:pPr>
              <w:pStyle w:val="Compact"/>
              <w:jc w:val="center"/>
            </w:pPr>
            <w:r>
              <w:t xml:space="preserve">2.9 (182)</w:t>
            </w:r>
          </w:p>
        </w:tc>
        <w:tc>
          <w:tcPr/>
          <w:p>
            <w:pPr>
              <w:pStyle w:val="Compact"/>
              <w:jc w:val="center"/>
            </w:pPr>
            <w:r>
              <w:t xml:space="preserve">0.272 (1,085)</w:t>
            </w:r>
          </w:p>
        </w:tc>
        <w:tc>
          <w:tcPr/>
          <w:p>
            <w:pPr>
              <w:pStyle w:val="Compact"/>
              <w:jc w:val="center"/>
            </w:pPr>
            <w:r>
              <w:t xml:space="preserve">0.0 (0)</w:t>
            </w:r>
          </w:p>
        </w:tc>
        <w:tc>
          <w:tcPr/>
          <w:p>
            <w:pPr>
              <w:pStyle w:val="Compact"/>
              <w:jc w:val="center"/>
            </w:pPr>
            <w:r>
              <w:t xml:space="preserve">0.331 (258)</w:t>
            </w:r>
          </w:p>
        </w:tc>
        <w:tc>
          <w:tcPr/>
          <w:p>
            <w:pPr>
              <w:pStyle w:val="Compact"/>
              <w:jc w:val="center"/>
            </w:pPr>
            <w:r>
              <w:t xml:space="preserve">4.2 (176)</w:t>
            </w:r>
          </w:p>
        </w:tc>
        <w:tc>
          <w:tcPr/>
          <w:p>
            <w:pPr>
              <w:pStyle w:val="Compact"/>
              <w:jc w:val="center"/>
            </w:pPr>
            <w:r>
              <w:t xml:space="preserve">0.278 (774)</w:t>
            </w:r>
          </w:p>
        </w:tc>
        <w:tc>
          <w:tcPr/>
          <w:p>
            <w:pPr>
              <w:pStyle w:val="Compact"/>
              <w:jc w:val="center"/>
            </w:pPr>
            <w:r>
              <w:t xml:space="preserve">0.3 (6)</w:t>
            </w:r>
          </w:p>
        </w:tc>
        <w:tc>
          <w:tcPr/>
          <w:p>
            <w:pPr>
              <w:pStyle w:val="Compact"/>
              <w:jc w:val="center"/>
            </w:pPr>
            <w:r>
              <w:t xml:space="preserve">0.402 (53)</w:t>
            </w:r>
          </w:p>
        </w:tc>
      </w:tr>
      <w:tr>
        <w:tc>
          <w:tcPr/>
          <w:p>
            <w:pPr>
              <w:pStyle w:val="Compact"/>
              <w:jc w:val="left"/>
            </w:pPr>
            <w:r>
              <w:t xml:space="preserve">11</w:t>
            </w:r>
          </w:p>
        </w:tc>
        <w:tc>
          <w:tcPr/>
          <w:p>
            <w:pPr>
              <w:pStyle w:val="Compact"/>
              <w:jc w:val="center"/>
            </w:pPr>
            <w:r>
              <w:t xml:space="preserve">5.3 (338)</w:t>
            </w:r>
          </w:p>
        </w:tc>
        <w:tc>
          <w:tcPr/>
          <w:p>
            <w:pPr>
              <w:pStyle w:val="Compact"/>
              <w:jc w:val="center"/>
            </w:pPr>
            <w:r>
              <w:t xml:space="preserve">0.449 (1,658)</w:t>
            </w:r>
          </w:p>
        </w:tc>
        <w:tc>
          <w:tcPr/>
          <w:p>
            <w:pPr>
              <w:pStyle w:val="Compact"/>
              <w:jc w:val="center"/>
            </w:pPr>
            <w:r>
              <w:t xml:space="preserve">0.0 (0)</w:t>
            </w:r>
          </w:p>
        </w:tc>
        <w:tc>
          <w:tcPr/>
          <w:p>
            <w:pPr>
              <w:pStyle w:val="Compact"/>
              <w:jc w:val="center"/>
            </w:pPr>
            <w:r>
              <w:t xml:space="preserve">0.428 (175)</w:t>
            </w:r>
          </w:p>
        </w:tc>
        <w:tc>
          <w:tcPr/>
          <w:p>
            <w:pPr>
              <w:pStyle w:val="Compact"/>
              <w:jc w:val="center"/>
            </w:pPr>
            <w:r>
              <w:t xml:space="preserve">8.0 (336)</w:t>
            </w:r>
          </w:p>
        </w:tc>
        <w:tc>
          <w:tcPr/>
          <w:p>
            <w:pPr>
              <w:pStyle w:val="Compact"/>
              <w:jc w:val="center"/>
            </w:pPr>
            <w:r>
              <w:t xml:space="preserve">0.456 (1,474)</w:t>
            </w:r>
          </w:p>
        </w:tc>
        <w:tc>
          <w:tcPr/>
          <w:p>
            <w:pPr>
              <w:pStyle w:val="Compact"/>
              <w:jc w:val="center"/>
            </w:pPr>
            <w:r>
              <w:t xml:space="preserve">0.1 (2)</w:t>
            </w:r>
          </w:p>
        </w:tc>
        <w:tc>
          <w:tcPr/>
          <w:p>
            <w:pPr>
              <w:pStyle w:val="Compact"/>
              <w:jc w:val="center"/>
            </w:pPr>
            <w:r>
              <w:t xml:space="preserve">0.573 (9)</w:t>
            </w:r>
          </w:p>
        </w:tc>
      </w:tr>
      <w:tr>
        <w:tc>
          <w:tcPr/>
          <w:p>
            <w:pPr>
              <w:pStyle w:val="Compact"/>
              <w:jc w:val="left"/>
            </w:pPr>
            <w:r>
              <w:t xml:space="preserve">12</w:t>
            </w:r>
          </w:p>
        </w:tc>
        <w:tc>
          <w:tcPr/>
          <w:p>
            <w:pPr>
              <w:pStyle w:val="Compact"/>
              <w:jc w:val="center"/>
            </w:pPr>
            <w:r>
              <w:t xml:space="preserve">3.5 (226)</w:t>
            </w:r>
          </w:p>
        </w:tc>
        <w:tc>
          <w:tcPr/>
          <w:p>
            <w:pPr>
              <w:pStyle w:val="Compact"/>
              <w:jc w:val="center"/>
            </w:pPr>
            <w:r>
              <w:t xml:space="preserve">0.296 (1,132)</w:t>
            </w:r>
          </w:p>
        </w:tc>
        <w:tc>
          <w:tcPr/>
          <w:p>
            <w:pPr>
              <w:pStyle w:val="Compact"/>
              <w:jc w:val="center"/>
            </w:pPr>
            <w:r>
              <w:t xml:space="preserve">0.0 (0)</w:t>
            </w:r>
          </w:p>
        </w:tc>
        <w:tc>
          <w:tcPr/>
          <w:p>
            <w:pPr>
              <w:pStyle w:val="Compact"/>
              <w:jc w:val="center"/>
            </w:pPr>
            <w:r>
              <w:t xml:space="preserve">0.384 (178)</w:t>
            </w:r>
          </w:p>
        </w:tc>
        <w:tc>
          <w:tcPr/>
          <w:p>
            <w:pPr>
              <w:pStyle w:val="Compact"/>
              <w:jc w:val="center"/>
            </w:pPr>
            <w:r>
              <w:t xml:space="preserve">5.3 (225)</w:t>
            </w:r>
          </w:p>
        </w:tc>
        <w:tc>
          <w:tcPr/>
          <w:p>
            <w:pPr>
              <w:pStyle w:val="Compact"/>
              <w:jc w:val="center"/>
            </w:pPr>
            <w:r>
              <w:t xml:space="preserve">0.297 (947)</w:t>
            </w:r>
          </w:p>
        </w:tc>
        <w:tc>
          <w:tcPr/>
          <w:p>
            <w:pPr>
              <w:pStyle w:val="Compact"/>
              <w:jc w:val="center"/>
            </w:pPr>
            <w:r>
              <w:t xml:space="preserve">0.0 (1)</w:t>
            </w:r>
          </w:p>
        </w:tc>
        <w:tc>
          <w:tcPr/>
          <w:p>
            <w:pPr>
              <w:pStyle w:val="Compact"/>
              <w:jc w:val="center"/>
            </w:pPr>
            <w:r>
              <w:t xml:space="preserve">0.488 (7)</w:t>
            </w:r>
          </w:p>
        </w:tc>
      </w:tr>
      <w:tr>
        <w:tc>
          <w:tcPr/>
          <w:p>
            <w:pPr>
              <w:pStyle w:val="Compact"/>
              <w:jc w:val="left"/>
            </w:pPr>
            <w:r>
              <w:t xml:space="preserve">13</w:t>
            </w:r>
          </w:p>
        </w:tc>
        <w:tc>
          <w:tcPr/>
          <w:p>
            <w:pPr>
              <w:pStyle w:val="Compact"/>
              <w:jc w:val="center"/>
            </w:pPr>
            <w:r>
              <w:t xml:space="preserve">11.3 (718)</w:t>
            </w:r>
          </w:p>
        </w:tc>
        <w:tc>
          <w:tcPr/>
          <w:p>
            <w:pPr>
              <w:pStyle w:val="Compact"/>
              <w:jc w:val="center"/>
            </w:pPr>
            <w:r>
              <w:t xml:space="preserve">0.480 (3,084)</w:t>
            </w:r>
          </w:p>
        </w:tc>
        <w:tc>
          <w:tcPr/>
          <w:p>
            <w:pPr>
              <w:pStyle w:val="Compact"/>
              <w:jc w:val="center"/>
            </w:pPr>
            <w:r>
              <w:t xml:space="preserve">7.4 (7)</w:t>
            </w:r>
          </w:p>
        </w:tc>
        <w:tc>
          <w:tcPr/>
          <w:p>
            <w:pPr>
              <w:pStyle w:val="Compact"/>
              <w:jc w:val="center"/>
            </w:pPr>
            <w:r>
              <w:t xml:space="preserve">0.437 (613)</w:t>
            </w:r>
          </w:p>
        </w:tc>
        <w:tc>
          <w:tcPr/>
          <w:p>
            <w:pPr>
              <w:pStyle w:val="Compact"/>
              <w:jc w:val="center"/>
            </w:pPr>
            <w:r>
              <w:t xml:space="preserve">6.0 (252)</w:t>
            </w:r>
          </w:p>
        </w:tc>
        <w:tc>
          <w:tcPr/>
          <w:p>
            <w:pPr>
              <w:pStyle w:val="Compact"/>
              <w:jc w:val="center"/>
            </w:pPr>
            <w:r>
              <w:t xml:space="preserve">0.444 (1,268)</w:t>
            </w:r>
          </w:p>
        </w:tc>
        <w:tc>
          <w:tcPr/>
          <w:p>
            <w:pPr>
              <w:pStyle w:val="Compact"/>
              <w:jc w:val="center"/>
            </w:pPr>
            <w:r>
              <w:t xml:space="preserve">22.4 (459)</w:t>
            </w:r>
          </w:p>
        </w:tc>
        <w:tc>
          <w:tcPr/>
          <w:p>
            <w:pPr>
              <w:pStyle w:val="Compact"/>
              <w:jc w:val="center"/>
            </w:pPr>
            <w:r>
              <w:t xml:space="preserve">0.576 (1,203)</w:t>
            </w:r>
          </w:p>
        </w:tc>
      </w:tr>
      <w:tr>
        <w:tc>
          <w:tcPr/>
          <w:p>
            <w:pPr>
              <w:pStyle w:val="Compact"/>
              <w:jc w:val="left"/>
            </w:pPr>
            <w:r>
              <w:t xml:space="preserve">14</w:t>
            </w:r>
          </w:p>
        </w:tc>
        <w:tc>
          <w:tcPr/>
          <w:p>
            <w:pPr>
              <w:pStyle w:val="Compact"/>
              <w:jc w:val="center"/>
            </w:pPr>
            <w:r>
              <w:t xml:space="preserve">3.8 (241)</w:t>
            </w:r>
          </w:p>
        </w:tc>
        <w:tc>
          <w:tcPr/>
          <w:p>
            <w:pPr>
              <w:pStyle w:val="Compact"/>
              <w:jc w:val="center"/>
            </w:pPr>
            <w:r>
              <w:t xml:space="preserve">0.360 (1,293)</w:t>
            </w:r>
          </w:p>
        </w:tc>
        <w:tc>
          <w:tcPr/>
          <w:p>
            <w:pPr>
              <w:pStyle w:val="Compact"/>
              <w:jc w:val="center"/>
            </w:pPr>
            <w:r>
              <w:t xml:space="preserve">0.0 (0)</w:t>
            </w:r>
          </w:p>
        </w:tc>
        <w:tc>
          <w:tcPr/>
          <w:p>
            <w:pPr>
              <w:pStyle w:val="Compact"/>
              <w:jc w:val="center"/>
            </w:pPr>
            <w:r>
              <w:t xml:space="preserve">0.372 (216)</w:t>
            </w:r>
          </w:p>
        </w:tc>
        <w:tc>
          <w:tcPr/>
          <w:p>
            <w:pPr>
              <w:pStyle w:val="Compact"/>
              <w:jc w:val="center"/>
            </w:pPr>
            <w:r>
              <w:t xml:space="preserve">4.5 (189)</w:t>
            </w:r>
          </w:p>
        </w:tc>
        <w:tc>
          <w:tcPr/>
          <w:p>
            <w:pPr>
              <w:pStyle w:val="Compact"/>
              <w:jc w:val="center"/>
            </w:pPr>
            <w:r>
              <w:t xml:space="preserve">0.354 (856)</w:t>
            </w:r>
          </w:p>
        </w:tc>
        <w:tc>
          <w:tcPr/>
          <w:p>
            <w:pPr>
              <w:pStyle w:val="Compact"/>
              <w:jc w:val="center"/>
            </w:pPr>
            <w:r>
              <w:t xml:space="preserve">2.5 (52)</w:t>
            </w:r>
          </w:p>
        </w:tc>
        <w:tc>
          <w:tcPr/>
          <w:p>
            <w:pPr>
              <w:pStyle w:val="Compact"/>
              <w:jc w:val="center"/>
            </w:pPr>
            <w:r>
              <w:t xml:space="preserve">0.487 (221)</w:t>
            </w:r>
          </w:p>
        </w:tc>
      </w:tr>
      <w:tr>
        <w:tc>
          <w:tcPr/>
          <w:p>
            <w:pPr>
              <w:pStyle w:val="Compact"/>
              <w:jc w:val="left"/>
            </w:pPr>
            <w:r>
              <w:t xml:space="preserve">15</w:t>
            </w:r>
          </w:p>
        </w:tc>
        <w:tc>
          <w:tcPr/>
          <w:p>
            <w:pPr>
              <w:pStyle w:val="Compact"/>
              <w:jc w:val="center"/>
            </w:pPr>
            <w:r>
              <w:t xml:space="preserve">4.2 (266)</w:t>
            </w:r>
          </w:p>
        </w:tc>
        <w:tc>
          <w:tcPr/>
          <w:p>
            <w:pPr>
              <w:pStyle w:val="Compact"/>
              <w:jc w:val="center"/>
            </w:pPr>
            <w:r>
              <w:t xml:space="preserve">0.238 (1,484)</w:t>
            </w:r>
          </w:p>
        </w:tc>
        <w:tc>
          <w:tcPr/>
          <w:p>
            <w:pPr>
              <w:pStyle w:val="Compact"/>
              <w:jc w:val="center"/>
            </w:pPr>
            <w:r>
              <w:t xml:space="preserve">0.0 (0)</w:t>
            </w:r>
          </w:p>
        </w:tc>
        <w:tc>
          <w:tcPr/>
          <w:p>
            <w:pPr>
              <w:pStyle w:val="Compact"/>
              <w:jc w:val="center"/>
            </w:pPr>
            <w:r>
              <w:t xml:space="preserve">0.289 (299)</w:t>
            </w:r>
          </w:p>
        </w:tc>
        <w:tc>
          <w:tcPr/>
          <w:p>
            <w:pPr>
              <w:pStyle w:val="Compact"/>
              <w:jc w:val="center"/>
            </w:pPr>
            <w:r>
              <w:t xml:space="preserve">5.7 (239)</w:t>
            </w:r>
          </w:p>
        </w:tc>
        <w:tc>
          <w:tcPr/>
          <w:p>
            <w:pPr>
              <w:pStyle w:val="Compact"/>
              <w:jc w:val="center"/>
            </w:pPr>
            <w:r>
              <w:t xml:space="preserve">0.237 (1,108)</w:t>
            </w:r>
          </w:p>
        </w:tc>
        <w:tc>
          <w:tcPr/>
          <w:p>
            <w:pPr>
              <w:pStyle w:val="Compact"/>
              <w:jc w:val="center"/>
            </w:pPr>
            <w:r>
              <w:t xml:space="preserve">1.3 (27)</w:t>
            </w:r>
          </w:p>
        </w:tc>
        <w:tc>
          <w:tcPr/>
          <w:p>
            <w:pPr>
              <w:pStyle w:val="Compact"/>
              <w:jc w:val="center"/>
            </w:pPr>
            <w:r>
              <w:t xml:space="preserve">0.409 (77)</w:t>
            </w:r>
          </w:p>
        </w:tc>
      </w:tr>
      <w:tr>
        <w:tc>
          <w:tcPr/>
          <w:p>
            <w:pPr>
              <w:pStyle w:val="Compact"/>
              <w:jc w:val="left"/>
            </w:pPr>
            <w:r>
              <w:t xml:space="preserve">16</w:t>
            </w:r>
          </w:p>
        </w:tc>
        <w:tc>
          <w:tcPr/>
          <w:p>
            <w:pPr>
              <w:pStyle w:val="Compact"/>
              <w:jc w:val="center"/>
            </w:pPr>
            <w:r>
              <w:t xml:space="preserve">17.3 (1,100)</w:t>
            </w:r>
          </w:p>
        </w:tc>
        <w:tc>
          <w:tcPr/>
          <w:p>
            <w:pPr>
              <w:pStyle w:val="Compact"/>
              <w:jc w:val="center"/>
            </w:pPr>
            <w:r>
              <w:t xml:space="preserve">0.329 (4,890)</w:t>
            </w:r>
          </w:p>
        </w:tc>
        <w:tc>
          <w:tcPr/>
          <w:p>
            <w:pPr>
              <w:pStyle w:val="Compact"/>
              <w:jc w:val="center"/>
            </w:pPr>
            <w:r>
              <w:t xml:space="preserve">12.8 (12)</w:t>
            </w:r>
          </w:p>
        </w:tc>
        <w:tc>
          <w:tcPr/>
          <w:p>
            <w:pPr>
              <w:pStyle w:val="Compact"/>
              <w:jc w:val="center"/>
            </w:pPr>
            <w:r>
              <w:t xml:space="preserve">0.195 (1,092)</w:t>
            </w:r>
          </w:p>
        </w:tc>
        <w:tc>
          <w:tcPr/>
          <w:p>
            <w:pPr>
              <w:pStyle w:val="Compact"/>
              <w:jc w:val="center"/>
            </w:pPr>
            <w:r>
              <w:t xml:space="preserve">5.9 (250)</w:t>
            </w:r>
          </w:p>
        </w:tc>
        <w:tc>
          <w:tcPr/>
          <w:p>
            <w:pPr>
              <w:pStyle w:val="Compact"/>
              <w:jc w:val="center"/>
            </w:pPr>
            <w:r>
              <w:t xml:space="preserve">0.377 (1,395)</w:t>
            </w:r>
          </w:p>
        </w:tc>
        <w:tc>
          <w:tcPr/>
          <w:p>
            <w:pPr>
              <w:pStyle w:val="Compact"/>
              <w:jc w:val="center"/>
            </w:pPr>
            <w:r>
              <w:t xml:space="preserve">40.9 (838)</w:t>
            </w:r>
          </w:p>
        </w:tc>
        <w:tc>
          <w:tcPr/>
          <w:p>
            <w:pPr>
              <w:pStyle w:val="Compact"/>
              <w:jc w:val="center"/>
            </w:pPr>
            <w:r>
              <w:t xml:space="preserve">0.506 (2,403)</w:t>
            </w:r>
          </w:p>
        </w:tc>
      </w:tr>
      <w:tr>
        <w:tc>
          <w:tcPr/>
          <w:p>
            <w:pPr>
              <w:pStyle w:val="Compact"/>
              <w:jc w:val="left"/>
            </w:pPr>
            <w:r>
              <w:t xml:space="preserve">17</w:t>
            </w:r>
          </w:p>
        </w:tc>
        <w:tc>
          <w:tcPr/>
          <w:p>
            <w:pPr>
              <w:pStyle w:val="Compact"/>
              <w:jc w:val="center"/>
            </w:pPr>
            <w:r>
              <w:t xml:space="preserve">11.7 (746)</w:t>
            </w:r>
          </w:p>
        </w:tc>
        <w:tc>
          <w:tcPr/>
          <w:p>
            <w:pPr>
              <w:pStyle w:val="Compact"/>
              <w:jc w:val="center"/>
            </w:pPr>
            <w:r>
              <w:t xml:space="preserve">0.177 (3,645)</w:t>
            </w:r>
          </w:p>
        </w:tc>
        <w:tc>
          <w:tcPr/>
          <w:p>
            <w:pPr>
              <w:pStyle w:val="Compact"/>
              <w:jc w:val="center"/>
            </w:pPr>
            <w:r>
              <w:t xml:space="preserve">21.3 (20)</w:t>
            </w:r>
          </w:p>
        </w:tc>
        <w:tc>
          <w:tcPr/>
          <w:p>
            <w:pPr>
              <w:pStyle w:val="Compact"/>
              <w:jc w:val="center"/>
            </w:pPr>
            <w:r>
              <w:t xml:space="preserve">0.181 (859)</w:t>
            </w:r>
          </w:p>
        </w:tc>
        <w:tc>
          <w:tcPr/>
          <w:p>
            <w:pPr>
              <w:pStyle w:val="Compact"/>
              <w:jc w:val="center"/>
            </w:pPr>
            <w:r>
              <w:t xml:space="preserve">5.6 (235)</w:t>
            </w:r>
          </w:p>
        </w:tc>
        <w:tc>
          <w:tcPr/>
          <w:p>
            <w:pPr>
              <w:pStyle w:val="Compact"/>
              <w:jc w:val="center"/>
            </w:pPr>
            <w:r>
              <w:t xml:space="preserve">0.165 (1,322)</w:t>
            </w:r>
          </w:p>
        </w:tc>
        <w:tc>
          <w:tcPr/>
          <w:p>
            <w:pPr>
              <w:pStyle w:val="Compact"/>
              <w:jc w:val="center"/>
            </w:pPr>
            <w:r>
              <w:t xml:space="preserve">24.0 (491)</w:t>
            </w:r>
          </w:p>
        </w:tc>
        <w:tc>
          <w:tcPr/>
          <w:p>
            <w:pPr>
              <w:pStyle w:val="Compact"/>
              <w:jc w:val="center"/>
            </w:pPr>
            <w:r>
              <w:t xml:space="preserve">0.260 (1,464)</w:t>
            </w:r>
          </w:p>
        </w:tc>
      </w:tr>
      <w:tr>
        <w:tc>
          <w:tcPr/>
          <w:p>
            <w:pPr>
              <w:pStyle w:val="Compact"/>
              <w:jc w:val="left"/>
            </w:pPr>
            <m:oMath>
              <m:r>
                <m:t>ρ</m:t>
              </m:r>
            </m:oMath>
          </w:p>
        </w:tc>
        <w:tc>
          <w:tcPr/>
          <w:p>
            <w:pPr>
              <w:pStyle w:val="Compact"/>
              <w:jc w:val="center"/>
            </w:pPr>
            <w:r>
              <w:t xml:space="preserve">1.000</w:t>
            </w:r>
          </w:p>
        </w:tc>
        <w:tc>
          <w:tcPr/>
          <w:p>
            <w:pPr>
              <w:pStyle w:val="Compact"/>
              <w:jc w:val="center"/>
            </w:pPr>
            <w:r>
              <w:t xml:space="preserve">1.000</w:t>
            </w:r>
          </w:p>
        </w:tc>
        <w:tc>
          <w:tcPr/>
          <w:p>
            <w:pPr>
              <w:pStyle w:val="Compact"/>
              <w:jc w:val="center"/>
            </w:pPr>
            <w:r>
              <w:t xml:space="preserve">0.355</w:t>
            </w:r>
          </w:p>
        </w:tc>
        <w:tc>
          <w:tcPr/>
          <w:p>
            <w:pPr>
              <w:pStyle w:val="Compact"/>
              <w:jc w:val="center"/>
            </w:pPr>
            <w:r>
              <w:t xml:space="preserve">0.733</w:t>
            </w:r>
          </w:p>
        </w:tc>
        <w:tc>
          <w:tcPr/>
          <w:p>
            <w:pPr>
              <w:pStyle w:val="Compact"/>
              <w:jc w:val="center"/>
            </w:pPr>
            <w:r>
              <w:t xml:space="preserve">0.613</w:t>
            </w:r>
          </w:p>
        </w:tc>
        <w:tc>
          <w:tcPr/>
          <w:p>
            <w:pPr>
              <w:pStyle w:val="Compact"/>
              <w:jc w:val="center"/>
            </w:pPr>
            <w:r>
              <w:t xml:space="preserve">0.914</w:t>
            </w:r>
          </w:p>
        </w:tc>
        <w:tc>
          <w:tcPr/>
          <w:p>
            <w:pPr>
              <w:pStyle w:val="Compact"/>
              <w:jc w:val="center"/>
            </w:pPr>
            <w:r>
              <w:t xml:space="preserve">0.453</w:t>
            </w:r>
          </w:p>
        </w:tc>
        <w:tc>
          <w:tcPr/>
          <w:p>
            <w:pPr>
              <w:pStyle w:val="Compact"/>
              <w:jc w:val="center"/>
            </w:pPr>
            <w:r>
              <w:t xml:space="preserve">0.966</w:t>
            </w:r>
          </w:p>
        </w:tc>
      </w:tr>
    </w:tbl>
    <w:bookmarkEnd w:id="143"/>
    <w:p>
      <w:pPr>
        <w:pStyle w:val="BodyText"/>
      </w:pPr>
      <w:r>
        <w:rPr>
          <w:iCs/>
          <w:i/>
        </w:rPr>
        <w:t xml:space="preserve">Notes:</w:t>
      </w:r>
      <w:r>
        <w:t xml:space="preserve"> </w:t>
      </w:r>
      <w:r>
        <w:t xml:space="preserve">For each policy source family,</w:t>
      </w:r>
      <w:r>
        <w:t xml:space="preserve"> </w:t>
      </w:r>
      <w:r>
        <w:rPr>
          <w:rStyle w:val="VerbatimChar"/>
        </w:rPr>
        <w:t xml:space="preserve">pol.% (n)</w:t>
      </w:r>
      <w:r>
        <w:t xml:space="preserve"> </w:t>
      </w:r>
      <w:r>
        <w:t xml:space="preserve">is the document-weighted policy share (%) with the document count in parentheses;</w:t>
      </w:r>
      <w:r>
        <w:t xml:space="preserve"> </w:t>
      </w:r>
      <w:r>
        <w:rPr>
          <w:rStyle w:val="VerbatimChar"/>
        </w:rPr>
        <w:t xml:space="preserve">sem. (n)</w:t>
      </w:r>
      <w:r>
        <w:t xml:space="preserve"> </w:t>
      </w:r>
      <w:r>
        <w:t xml:space="preserve">is the within-SDG research–policy semantic gap (naive, unadjusted) with the capped segment count in parentheses. Read across a row to see whether the gap is stable or driven by one family.</w:t>
      </w:r>
    </w:p>
    <w:p>
      <w:pPr>
        <w:pStyle w:val="BodyText"/>
      </w:pPr>
      <w:r>
        <w:t xml:space="preserve">Re-running the interaction tests within each policy source family (Table </w:t>
      </w:r>
      <w:hyperlink w:anchor="tab:policy-source-family-h25">
        <w:r>
          <w:rPr>
            <w:rStyle w:val="Hyperlink"/>
          </w:rPr>
          <w:t xml:space="preserve">33</w:t>
        </w:r>
      </w:hyperlink>
      <w:r>
        <w:t xml:space="preserve">; each family’s reliable SDGs only, UNGDC:</w:t>
      </w:r>
      <w:r>
        <w:t xml:space="preserve"> </w:t>
      </w:r>
      <m:oMath>
        <m:r>
          <m:t>n</m:t>
        </m:r>
        <m:r>
          <m:rPr>
            <m:sty m:val="p"/>
          </m:rPr>
          <m:t>=</m:t>
        </m:r>
        <m:r>
          <m:t>15</m:t>
        </m:r>
      </m:oMath>
      <w:r>
        <w:t xml:space="preserve">) confirms the null is not an artefact of comparing an AI-specific research intersection with a broader policy union: the curated AI/SDG construction reproduces the full-corpus pattern (Section </w:t>
      </w:r>
      <w:hyperlink w:anchor="sec:interaction">
        <w:r>
          <w:rPr>
            <w:rStyle w:val="Hyperlink"/>
          </w:rPr>
          <w:t xml:space="preserve">4.4</w:t>
        </w:r>
      </w:hyperlink>
      <w:r>
        <w:t xml:space="preserve">), while the SDGi and UNGDC families show positive research-share associations (</w:t>
      </w:r>
      <m:oMath>
        <m:r>
          <m:t>ρ</m:t>
        </m:r>
        <m:r>
          <m:rPr>
            <m:sty m:val="p"/>
          </m:rPr>
          <m:t>=</m:t>
        </m:r>
        <m:r>
          <m:t>0.600</m:t>
        </m:r>
      </m:oMath>
      <w:r>
        <w:t xml:space="preserve">,</w:t>
      </w:r>
      <w:r>
        <w:t xml:space="preserve"> </w:t>
      </w:r>
      <m:oMath>
        <m:r>
          <m:t>p</m:t>
        </m:r>
        <m:r>
          <m:rPr>
            <m:sty m:val="p"/>
          </m:rPr>
          <m:t>=</m:t>
        </m:r>
        <m:r>
          <m:t>0.014</m:t>
        </m:r>
      </m:oMath>
      <w:r>
        <w:t xml:space="preserve">;</w:t>
      </w:r>
      <w:r>
        <w:t xml:space="preserve"> </w:t>
      </w:r>
      <m:oMath>
        <m:r>
          <m:t>ρ</m:t>
        </m:r>
        <m:r>
          <m:rPr>
            <m:sty m:val="p"/>
          </m:rPr>
          <m:t>=</m:t>
        </m:r>
        <m:r>
          <m:t>0.420</m:t>
        </m:r>
      </m:oMath>
      <w:r>
        <w:t xml:space="preserve">,</w:t>
      </w:r>
      <w:r>
        <w:t xml:space="preserve"> </w:t>
      </w:r>
      <m:oMath>
        <m:r>
          <m:t>p</m:t>
        </m:r>
        <m:r>
          <m:rPr>
            <m:sty m:val="p"/>
          </m:rPr>
          <m:t>=</m:t>
        </m:r>
        <m:r>
          <m:t>0.115</m:t>
        </m:r>
      </m:oMath>
      <w:r>
        <w:t xml:space="preserve">). The full-corpus row of Table </w:t>
      </w:r>
      <w:hyperlink w:anchor="tab:policy-source-family-h25">
        <w:r>
          <w:rPr>
            <w:rStyle w:val="Hyperlink"/>
          </w:rPr>
          <w:t xml:space="preserve">33</w:t>
        </w:r>
      </w:hyperlink>
      <w:r>
        <w:t xml:space="preserve"> </w:t>
      </w:r>
      <w:r>
        <w:t xml:space="preserve">reproduces the canonical interaction estimates (Section </w:t>
      </w:r>
      <w:hyperlink w:anchor="sec:interaction">
        <w:r>
          <w:rPr>
            <w:rStyle w:val="Hyperlink"/>
          </w:rPr>
          <w:t xml:space="preserve">4.4</w:t>
        </w:r>
      </w:hyperlink>
      <w:r>
        <w:t xml:space="preserve">), confirming the replication is faithful.</w:t>
      </w:r>
    </w:p>
    <w:p>
      <w:pPr>
        <w:pStyle w:val="BodyText"/>
      </w:pPr>
      <w:r>
        <w:t xml:space="preserve">The Coverage gap adj. column of Table </w:t>
      </w:r>
      <w:hyperlink w:anchor="tab:policy-source-family-h25">
        <w:r>
          <w:rPr>
            <w:rStyle w:val="Hyperlink"/>
          </w:rPr>
          <w:t xml:space="preserve">33</w:t>
        </w:r>
      </w:hyperlink>
      <w:r>
        <w:t xml:space="preserve"> </w:t>
      </w:r>
      <w:r>
        <w:t xml:space="preserve">repeats the coverage-gap predictor against the register-adjusted semantic gap (Section </w:t>
      </w:r>
      <w:hyperlink w:anchor="sec:register-adjustment-inlp">
        <w:r>
          <w:rPr>
            <w:rStyle w:val="Hyperlink"/>
          </w:rPr>
          <w:t xml:space="preserve">3.8</w:t>
        </w:r>
      </w:hyperlink>
      <w:r>
        <w:t xml:space="preserve">). The full-corpus row reproduces the main-text decomposition estimate (</w:t>
      </w:r>
      <m:oMath>
        <m:r>
          <m:t>ρ</m:t>
        </m:r>
        <m:r>
          <m:rPr>
            <m:sty m:val="p"/>
          </m:rPr>
          <m:t>=</m:t>
        </m:r>
        <m:r>
          <m:t>0.544</m:t>
        </m:r>
      </m:oMath>
      <w:r>
        <w:t xml:space="preserve">,</w:t>
      </w:r>
      <w:r>
        <w:t xml:space="preserve"> </w:t>
      </w:r>
      <m:oMath>
        <m:r>
          <m:t>p</m:t>
        </m:r>
        <m:r>
          <m:rPr>
            <m:sty m:val="p"/>
          </m:rPr>
          <m:t>=</m:t>
        </m:r>
        <m:r>
          <m:t>0.025</m:t>
        </m:r>
      </m:oMath>
      <w:r>
        <w:t xml:space="preserve">), confirming that the projection is applied consistently here. The positive adjusted association appears in the SDGi family (</w:t>
      </w:r>
      <m:oMath>
        <m:r>
          <m:t>ρ</m:t>
        </m:r>
        <m:r>
          <m:rPr>
            <m:sty m:val="p"/>
          </m:rPr>
          <m:t>=</m:t>
        </m:r>
        <m:r>
          <m:t>0.498</m:t>
        </m:r>
      </m:oMath>
      <w:r>
        <w:t xml:space="preserve">,</w:t>
      </w:r>
      <w:r>
        <w:t xml:space="preserve"> </w:t>
      </w:r>
      <m:oMath>
        <m:r>
          <m:t>p</m:t>
        </m:r>
        <m:r>
          <m:rPr>
            <m:sty m:val="p"/>
          </m:rPr>
          <m:t>=</m:t>
        </m:r>
        <m:r>
          <m:t>0.044</m:t>
        </m:r>
      </m:oMath>
      <w:r>
        <w:t xml:space="preserve">) and the full corpus (</w:t>
      </w:r>
      <m:oMath>
        <m:r>
          <m:t>ρ</m:t>
        </m:r>
        <m:r>
          <m:rPr>
            <m:sty m:val="p"/>
          </m:rPr>
          <m:t>=</m:t>
        </m:r>
        <m:r>
          <m:t>0.544</m:t>
        </m:r>
      </m:oMath>
      <w:r>
        <w:t xml:space="preserve">,</w:t>
      </w:r>
      <w:r>
        <w:t xml:space="preserve"> </w:t>
      </w:r>
      <m:oMath>
        <m:r>
          <m:t>p</m:t>
        </m:r>
        <m:r>
          <m:rPr>
            <m:sty m:val="p"/>
          </m:rPr>
          <m:t>=</m:t>
        </m:r>
        <m:r>
          <m:t>0.025</m:t>
        </m:r>
      </m:oMath>
      <w:r>
        <w:t xml:space="preserve">), but not under symmetric scope: the curated AI/SDG family is null (</w:t>
      </w:r>
      <m:oMath>
        <m:r>
          <m:t>ρ</m:t>
        </m:r>
        <m:r>
          <m:rPr>
            <m:sty m:val="p"/>
          </m:rPr>
          <m:t>=</m:t>
        </m:r>
        <m:r>
          <m:rPr>
            <m:sty m:val="p"/>
          </m:rPr>
          <m:t>−</m:t>
        </m:r>
        <m:r>
          <m:t>0.061</m:t>
        </m:r>
      </m:oMath>
      <w:r>
        <w:t xml:space="preserve">,</w:t>
      </w:r>
      <w:r>
        <w:t xml:space="preserve"> </w:t>
      </w:r>
      <m:oMath>
        <m:r>
          <m:t>p</m:t>
        </m:r>
        <m:r>
          <m:rPr>
            <m:sty m:val="p"/>
          </m:rPr>
          <m:t>=</m:t>
        </m:r>
        <m:r>
          <m:t>0.807</m:t>
        </m:r>
      </m:oMath>
      <w:r>
        <w:t xml:space="preserve">), as is UNGDC (</w:t>
      </w:r>
      <m:oMath>
        <m:r>
          <m:t>ρ</m:t>
        </m:r>
        <m:r>
          <m:rPr>
            <m:sty m:val="p"/>
          </m:rPr>
          <m:t>=</m:t>
        </m:r>
        <m:r>
          <m:t>0.357</m:t>
        </m:r>
      </m:oMath>
      <w:r>
        <w:t xml:space="preserve">,</w:t>
      </w:r>
      <w:r>
        <w:t xml:space="preserve"> </w:t>
      </w:r>
      <m:oMath>
        <m:r>
          <m:t>p</m:t>
        </m:r>
        <m:r>
          <m:rPr>
            <m:sty m:val="p"/>
          </m:rPr>
          <m:t>=</m:t>
        </m:r>
        <m:r>
          <m:t>0.191</m:t>
        </m:r>
      </m:oMath>
      <w:r>
        <w:t xml:space="preserve">). Two qualifications bound this result. First, the curated family’s document-weighted profile spans only 94 documents, so its policy share varies over a narrower range than the full corpus at the same</w:t>
      </w:r>
      <w:r>
        <w:t xml:space="preserve"> </w:t>
      </w:r>
      <m:oMath>
        <m:r>
          <m:t>n</m:t>
        </m:r>
        <m:r>
          <m:rPr>
            <m:sty m:val="p"/>
          </m:rPr>
          <m:t>=</m:t>
        </m:r>
        <m:r>
          <m:t>17</m:t>
        </m:r>
      </m:oMath>
      <w:r>
        <w:t xml:space="preserve">, which attenuates rank correlations. Second, the adjusted gaps carry the register-removal caveat of Appendix </w:t>
      </w:r>
      <w:hyperlink w:anchor="app:register-validation">
        <w:r>
          <w:rPr>
            <w:rStyle w:val="Hyperlink"/>
          </w:rPr>
          <w:t xml:space="preserve">13.2</w:t>
        </w:r>
      </w:hyperlink>
      <w:r>
        <w:t xml:space="preserve">: what INLP removes is broader than measurable register. The symmetric-scope column therefore bounds the reach of the positive adjusted association rather than overturning its full-corpus estimate.</w:t>
      </w:r>
    </w:p>
    <w:bookmarkStart w:id="144" w:name="tab:policy-source-family-h25"/>
    <w:p>
      <w:pPr>
        <w:pStyle w:val="TableCaption"/>
      </w:pPr>
      <w:r>
        <w:t xml:space="preserve">Per-family interaction test: coverage predictors vs the within-SDG semantic gap, raw and register-adjusted.</w:t>
      </w:r>
    </w:p>
    <w:tbl>
      <w:tblPr>
        <w:tblStyle w:val="Table"/>
        <w:tblW w:type="auto" w:w="0"/>
        <w:tblLook w:firstRow="1" w:lastRow="0" w:firstColumn="0" w:lastColumn="0" w:noHBand="0" w:noVBand="0" w:val="0020"/>
        <w:jc w:val="start"/>
        <w:tblCaption w:val="Per-family interaction test: coverage predictors vs the within-SDG semantic gap, raw and register-adjusted."/>
      </w:tblPr>
      <w:tblGrid>
        <w:gridCol w:w="1320"/>
        <w:gridCol w:w="1320"/>
        <w:gridCol w:w="1320"/>
        <w:gridCol w:w="1320"/>
        <w:gridCol w:w="1320"/>
        <w:gridCol w:w="1320"/>
      </w:tblGrid>
      <w:tr>
        <w:trPr>
          <w:tblHeader w:val="true"/>
        </w:trPr>
        <w:tc>
          <w:tcPr/>
          <w:p>
            <w:pPr>
              <w:pStyle w:val="Compact"/>
              <w:jc w:val="left"/>
            </w:pPr>
            <w:r>
              <w:t xml:space="preserve">Family</w:t>
            </w:r>
          </w:p>
        </w:tc>
        <w:tc>
          <w:tcPr/>
          <w:p>
            <w:pPr>
              <w:pStyle w:val="Compact"/>
              <w:jc w:val="center"/>
            </w:pPr>
            <m:oMath>
              <m:r>
                <m:t>n</m:t>
              </m:r>
            </m:oMath>
          </w:p>
        </w:tc>
        <w:tc>
          <w:tcPr/>
          <w:p>
            <w:pPr>
              <w:pStyle w:val="Compact"/>
              <w:jc w:val="center"/>
            </w:pPr>
            <w:r>
              <w:t xml:space="preserve">Research share</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w:t>
            </w:r>
            <w:r>
              <w:t xml:space="preserve"> </w:t>
            </w:r>
            <m:oMath>
              <m:d>
                <m:dPr>
                  <m:begChr m:val="("/>
                  <m:endChr m:val=")"/>
                  <m:sepChr m:val=""/>
                  <m:grow/>
                </m:dPr>
                <m:e>
                  <m:r>
                    <m:t>ρ</m:t>
                  </m:r>
                  <m:r>
                    <m:rPr>
                      <m:sty m:val="p"/>
                    </m:rPr>
                    <m:t>,</m:t>
                  </m:r>
                  <m:r>
                    <m:t> </m:t>
                  </m:r>
                  <m:r>
                    <m:t>p</m:t>
                  </m:r>
                </m:e>
              </m:d>
            </m:oMath>
          </w:p>
        </w:tc>
        <w:tc>
          <w:tcPr/>
          <w:p>
            <w:pPr>
              <w:pStyle w:val="Compact"/>
              <w:jc w:val="center"/>
            </w:pPr>
            <w:r>
              <w:t xml:space="preserve">Coverage gap adj. </w:t>
            </w:r>
            <m:oMath>
              <m:d>
                <m:dPr>
                  <m:begChr m:val="("/>
                  <m:endChr m:val=")"/>
                  <m:sepChr m:val=""/>
                  <m:grow/>
                </m:dPr>
                <m:e>
                  <m:r>
                    <m:t>ρ</m:t>
                  </m:r>
                  <m:r>
                    <m:rPr>
                      <m:sty m:val="p"/>
                    </m:rPr>
                    <m:t>,</m:t>
                  </m:r>
                  <m:r>
                    <m:t> </m:t>
                  </m:r>
                  <m:r>
                    <m:t>p</m:t>
                  </m:r>
                </m:e>
              </m:d>
            </m:oMath>
          </w:p>
        </w:tc>
        <w:tc>
          <w:tcPr/>
          <w:p>
            <w:pPr>
              <w:pStyle w:val="Compact"/>
              <w:jc w:val="center"/>
            </w:pPr>
            <w:r>
              <w:t xml:space="preserve">Research share excl. SDG 4</w:t>
            </w:r>
            <w:r>
              <w:t xml:space="preserve"> </w:t>
            </w:r>
            <m:oMath>
              <m:d>
                <m:dPr>
                  <m:begChr m:val="("/>
                  <m:endChr m:val=")"/>
                  <m:sepChr m:val=""/>
                  <m:grow/>
                </m:dPr>
                <m:e>
                  <m:r>
                    <m:t>ρ</m:t>
                  </m:r>
                  <m:r>
                    <m:rPr>
                      <m:sty m:val="p"/>
                    </m:rPr>
                    <m:t>,</m:t>
                  </m:r>
                  <m:r>
                    <m:t> </m:t>
                  </m:r>
                  <m:r>
                    <m:t>p</m:t>
                  </m:r>
                </m:e>
              </m:d>
            </m:oMath>
          </w:p>
        </w:tc>
      </w:tr>
      <w:tr>
        <w:tc>
          <w:tcPr/>
          <w:p>
            <w:pPr>
              <w:pStyle w:val="Compact"/>
              <w:jc w:val="left"/>
            </w:pPr>
            <w:r>
              <w:t xml:space="preserve">Full corpus</w:t>
            </w:r>
          </w:p>
        </w:tc>
        <w:tc>
          <w:tcPr/>
          <w:p>
            <w:pPr>
              <w:pStyle w:val="Compact"/>
              <w:jc w:val="center"/>
            </w:pPr>
            <w:r>
              <w:t xml:space="preserve">17</w:t>
            </w:r>
          </w:p>
        </w:tc>
        <w:tc>
          <w:tcPr/>
          <w:p>
            <w:pPr>
              <w:pStyle w:val="Compact"/>
              <w:jc w:val="center"/>
            </w:pPr>
            <w:r>
              <w:t xml:space="preserve">0.449 (0.071)</w:t>
            </w:r>
          </w:p>
        </w:tc>
        <w:tc>
          <w:tcPr/>
          <w:p>
            <w:pPr>
              <w:pStyle w:val="Compact"/>
              <w:jc w:val="center"/>
            </w:pPr>
            <w:r>
              <w:t xml:space="preserve">-0.012 (0.959)</w:t>
            </w:r>
          </w:p>
        </w:tc>
        <w:tc>
          <w:tcPr/>
          <w:p>
            <w:pPr>
              <w:pStyle w:val="Compact"/>
              <w:jc w:val="center"/>
            </w:pPr>
            <w:r>
              <w:t xml:space="preserve">0.544 (0.025)</w:t>
            </w:r>
          </w:p>
        </w:tc>
        <w:tc>
          <w:tcPr/>
          <w:p>
            <w:pPr>
              <w:pStyle w:val="Compact"/>
              <w:jc w:val="center"/>
            </w:pPr>
            <w:r>
              <w:t xml:space="preserve">0.606 (0.015)</w:t>
            </w:r>
          </w:p>
        </w:tc>
      </w:tr>
      <w:tr>
        <w:tc>
          <w:tcPr/>
          <w:p>
            <w:pPr>
              <w:pStyle w:val="Compact"/>
              <w:jc w:val="left"/>
            </w:pPr>
            <w:r>
              <w:t xml:space="preserve">Curated AI/SDG</w:t>
            </w:r>
          </w:p>
        </w:tc>
        <w:tc>
          <w:tcPr/>
          <w:p>
            <w:pPr>
              <w:pStyle w:val="Compact"/>
              <w:jc w:val="center"/>
            </w:pPr>
            <w:r>
              <w:t xml:space="preserve">17</w:t>
            </w:r>
          </w:p>
        </w:tc>
        <w:tc>
          <w:tcPr/>
          <w:p>
            <w:pPr>
              <w:pStyle w:val="Compact"/>
              <w:jc w:val="center"/>
            </w:pPr>
            <w:r>
              <w:t xml:space="preserve">-0.056 (0.833)</w:t>
            </w:r>
          </w:p>
        </w:tc>
        <w:tc>
          <w:tcPr/>
          <w:p>
            <w:pPr>
              <w:pStyle w:val="Compact"/>
              <w:jc w:val="center"/>
            </w:pPr>
            <w:r>
              <w:t xml:space="preserve">-0.223 (0.386)</w:t>
            </w:r>
          </w:p>
        </w:tc>
        <w:tc>
          <w:tcPr/>
          <w:p>
            <w:pPr>
              <w:pStyle w:val="Compact"/>
              <w:jc w:val="center"/>
            </w:pPr>
            <w:r>
              <w:t xml:space="preserve">-0.061 (0.807)</w:t>
            </w:r>
          </w:p>
        </w:tc>
        <w:tc>
          <w:tcPr/>
          <w:p>
            <w:pPr>
              <w:pStyle w:val="Compact"/>
              <w:jc w:val="center"/>
            </w:pPr>
            <w:r>
              <w:t xml:space="preserve">0.053 (0.848)</w:t>
            </w:r>
          </w:p>
        </w:tc>
      </w:tr>
      <w:tr>
        <w:tc>
          <w:tcPr/>
          <w:p>
            <w:pPr>
              <w:pStyle w:val="Compact"/>
              <w:jc w:val="left"/>
            </w:pPr>
            <w:r>
              <w:t xml:space="preserve">SDGi VNR/VLR</w:t>
            </w:r>
          </w:p>
        </w:tc>
        <w:tc>
          <w:tcPr/>
          <w:p>
            <w:pPr>
              <w:pStyle w:val="Compact"/>
              <w:jc w:val="center"/>
            </w:pPr>
            <w:r>
              <w:t xml:space="preserve">17</w:t>
            </w:r>
          </w:p>
        </w:tc>
        <w:tc>
          <w:tcPr/>
          <w:p>
            <w:pPr>
              <w:pStyle w:val="Compact"/>
              <w:jc w:val="center"/>
            </w:pPr>
            <w:r>
              <w:t xml:space="preserve">0.596 (0.014)</w:t>
            </w:r>
          </w:p>
        </w:tc>
        <w:tc>
          <w:tcPr/>
          <w:p>
            <w:pPr>
              <w:pStyle w:val="Compact"/>
              <w:jc w:val="center"/>
            </w:pPr>
            <w:r>
              <w:t xml:space="preserve">0.042 (0.873)</w:t>
            </w:r>
          </w:p>
        </w:tc>
        <w:tc>
          <w:tcPr/>
          <w:p>
            <w:pPr>
              <w:pStyle w:val="Compact"/>
              <w:jc w:val="center"/>
            </w:pPr>
            <w:r>
              <w:t xml:space="preserve">0.498 (0.044)</w:t>
            </w:r>
          </w:p>
        </w:tc>
        <w:tc>
          <w:tcPr/>
          <w:p>
            <w:pPr>
              <w:pStyle w:val="Compact"/>
              <w:jc w:val="center"/>
            </w:pPr>
            <w:r>
              <w:t xml:space="preserve">0.703 (0.003)</w:t>
            </w:r>
          </w:p>
        </w:tc>
      </w:tr>
      <w:tr>
        <w:tc>
          <w:tcPr/>
          <w:p>
            <w:pPr>
              <w:pStyle w:val="Compact"/>
              <w:jc w:val="left"/>
            </w:pPr>
            <w:r>
              <w:t xml:space="preserve">UNGDC speeches</w:t>
            </w:r>
          </w:p>
        </w:tc>
        <w:tc>
          <w:tcPr/>
          <w:p>
            <w:pPr>
              <w:pStyle w:val="Compact"/>
              <w:jc w:val="center"/>
            </w:pPr>
            <w:r>
              <w:t xml:space="preserve">15</w:t>
            </w:r>
          </w:p>
        </w:tc>
        <w:tc>
          <w:tcPr/>
          <w:p>
            <w:pPr>
              <w:pStyle w:val="Compact"/>
              <w:jc w:val="center"/>
            </w:pPr>
            <w:r>
              <w:t xml:space="preserve">0.425 (0.115)</w:t>
            </w:r>
          </w:p>
        </w:tc>
        <w:tc>
          <w:tcPr/>
          <w:p>
            <w:pPr>
              <w:pStyle w:val="Compact"/>
              <w:jc w:val="center"/>
            </w:pPr>
            <w:r>
              <w:t xml:space="preserve">0.354 (0.195)</w:t>
            </w:r>
          </w:p>
        </w:tc>
        <w:tc>
          <w:tcPr/>
          <w:p>
            <w:pPr>
              <w:pStyle w:val="Compact"/>
              <w:jc w:val="center"/>
            </w:pPr>
            <w:r>
              <w:t xml:space="preserve">0.357 (0.191)</w:t>
            </w:r>
          </w:p>
        </w:tc>
        <w:tc>
          <w:tcPr/>
          <w:p>
            <w:pPr>
              <w:pStyle w:val="Compact"/>
              <w:jc w:val="center"/>
            </w:pPr>
            <w:r>
              <w:t xml:space="preserve">0.609 (0.024)</w:t>
            </w:r>
          </w:p>
        </w:tc>
      </w:tr>
    </w:tbl>
    <w:bookmarkEnd w:id="144"/>
    <w:p>
      <w:pPr>
        <w:pStyle w:val="BodyText"/>
      </w:pPr>
      <w:r>
        <w:rPr>
          <w:iCs/>
          <w:i/>
        </w:rPr>
        <w:t xml:space="preserve">Notes:</w:t>
      </w:r>
      <w:r>
        <w:t xml:space="preserve"> </w:t>
      </w:r>
      <w:r>
        <w:t xml:space="preserve">Spearman</w:t>
      </w:r>
      <w:r>
        <w:t xml:space="preserve"> </w:t>
      </w:r>
      <m:oMath>
        <m:r>
          <m:t>ρ</m:t>
        </m:r>
      </m:oMath>
      <w:r>
        <w:t xml:space="preserve"> </w:t>
      </w:r>
      <w:r>
        <w:t xml:space="preserve">(with two-sided Monte Carlo permutation</w:t>
      </w:r>
      <w:r>
        <w:t xml:space="preserve"> </w:t>
      </w:r>
      <m:oMath>
        <m:r>
          <m:t>p</m:t>
        </m:r>
      </m:oMath>
      <w:r>
        <w:t xml:space="preserve">, 100</w:t>
      </w:r>
      <w:r>
        <w:t xml:space="preserve">,</w:t>
      </w:r>
      <w:r>
        <w:t xml:space="preserve">000 resamples, fixed seed) between each coverage predictor and the within-SDG semantic gap across the reliable SDGs (</w:t>
      </w:r>
      <m:oMath>
        <m:r>
          <m:t>n</m:t>
        </m:r>
      </m:oMath>
      <w:r>
        <w:t xml:space="preserve">). Research share is the research-corpus proportion per SDG (family-independent); the coverage gap is</w:t>
      </w:r>
      <w:r>
        <w:t xml:space="preserve"> </w:t>
      </w:r>
      <m:oMath>
        <m:d>
          <m:dPr>
            <m:begChr m:val="|"/>
            <m:endChr m:val="|"/>
            <m:sepChr m:val=""/>
            <m:grow/>
          </m:dPr>
          <m:e>
            <m:r>
              <m:rPr>
                <m:nor/>
                <m:sty m:val="p"/>
              </m:rPr>
              <m:t>research</m:t>
            </m:r>
            <m:r>
              <m:rPr>
                <m:sty m:val="p"/>
              </m:rPr>
              <m:t>−</m:t>
            </m:r>
            <m:r>
              <m:rPr>
                <m:nor/>
                <m:sty m:val="p"/>
              </m:rPr>
              <m:t>policy</m:t>
            </m:r>
          </m:e>
        </m:d>
      </m:oMath>
      <w:r>
        <w:t xml:space="preserve"> </w:t>
      </w:r>
      <w:r>
        <w:t xml:space="preserve">(percentage points) using the family’s document-weighted policy share. The Coverage gap adj. column correlates that same coverage gap with the register-adjusted gap obtained by projecting both sides through the INLP matrix (Section </w:t>
      </w:r>
      <w:hyperlink w:anchor="sec:register-adjustment-inlp">
        <w:r>
          <w:rPr>
            <w:rStyle w:val="Hyperlink"/>
          </w:rPr>
          <w:t xml:space="preserve">3.8</w:t>
        </w:r>
      </w:hyperlink>
      <w:r>
        <w:t xml:space="preserve">); raw and adjusted rows use identical capped segment sets. The curated AI/SDG family is the symmetric AI/SDG-vs-AI/SDG control matching the research corpus’s AI</w:t>
      </w:r>
      <w:r>
        <w:t xml:space="preserve"> </w:t>
      </w:r>
      <m:oMath>
        <m:r>
          <m:rPr>
            <m:sty m:val="p"/>
          </m:rPr>
          <m:t>∩</m:t>
        </m:r>
      </m:oMath>
      <w:r>
        <w:t xml:space="preserve"> </w:t>
      </w:r>
      <w:r>
        <w:t xml:space="preserve">SDG scope.</w:t>
      </w:r>
    </w:p>
    <w:bookmarkEnd w:id="145"/>
    <w:bookmarkEnd w:id="146"/>
    <w:bookmarkStart w:id="148" w:name="app:regression"/>
    <w:p>
      <w:pPr>
        <w:pStyle w:val="Heading1"/>
      </w:pPr>
      <w:r>
        <w:t xml:space="preserve">Pooled Regression: Coverage Predictors and the Semantic Gap</w:t>
      </w:r>
    </w:p>
    <w:p>
      <w:pPr>
        <w:pStyle w:val="FirstParagraph"/>
      </w:pPr>
      <w:r>
        <w:t xml:space="preserve">This appendix pools all 24 encoder–retrieval–method–cap configurations into a single panel (</w:t>
      </w:r>
      <m:oMath>
        <m:r>
          <m:t>N</m:t>
        </m:r>
        <m:r>
          <m:rPr>
            <m:sty m:val="p"/>
          </m:rPr>
          <m:t>=</m:t>
        </m:r>
        <m:r>
          <m:t>408</m:t>
        </m:r>
      </m:oMath>
      <w:r>
        <w:t xml:space="preserve">) and regresses the within-SDG semantic gap on coverage predictors using OLS with cluster-robust standard errors by SDG (17 clusters). The dependent variable is the rank of the semantic gap within each configuration (1–17 per config, ties averaged); predictors are expressed in percentage points (0–100). Table </w:t>
      </w:r>
      <w:hyperlink w:anchor="tab:k1-specification-grid">
        <w:r>
          <w:rPr>
            <w:rStyle w:val="Hyperlink"/>
          </w:rPr>
          <w:t xml:space="preserve">34</w:t>
        </w:r>
      </w:hyperlink>
      <w:r>
        <w:t xml:space="preserve"> </w:t>
      </w:r>
      <w:r>
        <w:t xml:space="preserve">reports the full 23-specification grid across core regressions (Panel A), robustness checks (Panel B), interaction terms (Panel C), and alternative functional forms (Panel D).</w:t>
      </w:r>
    </w:p>
    <w:p>
      <w:pPr>
        <w:pStyle w:val="BodyText"/>
      </w:pPr>
      <w:r>
        <w:t xml:space="preserve">The adjusted semantic gap is positively associated with the coverage gap (</w:t>
      </w:r>
      <m:oMath>
        <m:r>
          <m:t>b</m:t>
        </m:r>
        <m:r>
          <m:rPr>
            <m:sty m:val="p"/>
          </m:rPr>
          <m:t>=</m:t>
        </m:r>
        <m:r>
          <m:rPr>
            <m:sty m:val="p"/>
          </m:rPr>
          <m:t>+</m:t>
        </m:r>
        <m:r>
          <m:t>0.18</m:t>
        </m:r>
      </m:oMath>
      <w:r>
        <w:t xml:space="preserve">,</w:t>
      </w:r>
      <w:r>
        <w:t xml:space="preserve"> </w:t>
      </w:r>
      <m:oMath>
        <m:r>
          <m:t>p</m:t>
        </m:r>
        <m:r>
          <m:rPr>
            <m:sty m:val="p"/>
          </m:rPr>
          <m:t>=</m:t>
        </m:r>
        <m:r>
          <m:t>0.069</m:t>
        </m:r>
      </m:oMath>
      <w:r>
        <w:t xml:space="preserve">; Panel A, column 1). The coefficient is marginally significant at conventional thresholds but is confirmed by the supervised-only subsample (</w:t>
      </w:r>
      <m:oMath>
        <m:r>
          <m:t>p</m:t>
        </m:r>
        <m:r>
          <m:rPr>
            <m:sty m:val="p"/>
          </m:rPr>
          <m:t>=</m:t>
        </m:r>
        <m:r>
          <m:t>0.040</m:t>
        </m:r>
      </m:oMath>
      <w:r>
        <w:t xml:space="preserve">), the MPNet-only subsample (</w:t>
      </w:r>
      <m:oMath>
        <m:r>
          <m:t>p</m:t>
        </m:r>
        <m:r>
          <m:rPr>
            <m:sty m:val="p"/>
          </m:rPr>
          <m:t>=</m:t>
        </m:r>
        <m:r>
          <m:t>0.003</m:t>
        </m:r>
      </m:oMath>
      <w:r>
        <w:t xml:space="preserve">), and the raw-DV specification in cosine units (</w:t>
      </w:r>
      <m:oMath>
        <m:r>
          <m:t>p</m:t>
        </m:r>
        <m:r>
          <m:rPr>
            <m:sty m:val="p"/>
          </m:rPr>
          <m:t>=</m:t>
        </m:r>
        <m:r>
          <m:t>0.007</m:t>
        </m:r>
      </m:oMath>
      <w:r>
        <w:t xml:space="preserve">). The raw gap and the register component show no detectable association with any coverage predictor, consistent with the raw-null pattern reported in Section </w:t>
      </w:r>
      <w:hyperlink w:anchor="sec:interaction">
        <w:r>
          <w:rPr>
            <w:rStyle w:val="Hyperlink"/>
          </w:rPr>
          <w:t xml:space="preserve">4.4</w:t>
        </w:r>
      </w:hyperlink>
      <w:r>
        <w:t xml:space="preserve">. Policy coverage (the share of policy documents assigned to a given SDG) is a stronger predictor of the adjusted gap (</w:t>
      </w:r>
      <m:oMath>
        <m:r>
          <m:t>b</m:t>
        </m:r>
        <m:r>
          <m:rPr>
            <m:sty m:val="p"/>
          </m:rPr>
          <m:t>=</m:t>
        </m:r>
        <m:r>
          <m:rPr>
            <m:sty m:val="p"/>
          </m:rPr>
          <m:t>+</m:t>
        </m:r>
        <m:r>
          <m:t>0.41</m:t>
        </m:r>
      </m:oMath>
      <w:r>
        <w:t xml:space="preserve">,</w:t>
      </w:r>
      <w:r>
        <w:t xml:space="preserve"> </w:t>
      </w:r>
      <m:oMath>
        <m:r>
          <m:t>p</m:t>
        </m:r>
        <m:r>
          <m:rPr>
            <m:sty m:val="p"/>
          </m:rPr>
          <m:t>=</m:t>
        </m:r>
        <m:r>
          <m:t>0.003</m:t>
        </m:r>
      </m:oMath>
      <w:r>
        <w:t xml:space="preserve">), capturing how concentrated policy attention is on each goal. The coverage-gap-by-encoder interaction (Panel C) shows that the effect is strongest for MPNet and reverses for SciBERT, suggesting that domain-specialised pretraining compresses the adjusted semantic gap regardless of coverage structure.</w:t>
      </w:r>
    </w:p>
    <w:bookmarkStart w:id="147" w:name="tab:k1-specification-grid"/>
    <w:p>
      <w:pPr>
        <w:pStyle w:val="TableCaption"/>
      </w:pPr>
      <w:r>
        <w:t xml:space="preserve">Pooled OLS: coverage predictors and the within-SDG semantic gap rank across 24 configurations.</w:t>
      </w:r>
    </w:p>
    <w:tbl>
      <w:tblPr>
        <w:tblStyle w:val="Table"/>
        <w:tblW w:type="auto" w:w="0"/>
        <w:tblLook w:firstRow="1" w:lastRow="0" w:firstColumn="0" w:lastColumn="0" w:noHBand="0" w:noVBand="0" w:val="0020"/>
        <w:jc w:val="start"/>
        <w:tblCaption w:val="Pooled OLS: coverage predictors and the within-SDG semantic gap rank across 24 configurations."/>
      </w:tblPr>
      <w:tblGrid>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gridCol w:w="330"/>
      </w:tblGrid>
      <w:tr>
        <w:trPr>
          <w:tblHeader w:val="true"/>
        </w:trPr>
        <w:tc>
          <w:tcPr>
            <w:gridSpan w:val="9"/>
          </w:tcPr>
          <w:p>
            <w:pPr>
              <w:pStyle w:val="Compact"/>
              <w:jc w:val="center"/>
            </w:pPr>
            <w:r>
              <w:rPr>
                <w:bCs/>
                <w:b/>
              </w:rPr>
              <w:t xml:space="preserve">Core</w:t>
            </w:r>
          </w:p>
        </w:tc>
        <w:tc>
          <w:tcPr>
            <w:gridSpan w:val="6"/>
          </w:tcPr>
          <w:p>
            <w:pPr>
              <w:pStyle w:val="Compact"/>
              <w:jc w:val="center"/>
            </w:pPr>
            <w:r>
              <w:rPr>
                <w:bCs/>
                <w:b/>
              </w:rPr>
              <w:t xml:space="preserve">Robustness</w:t>
            </w:r>
          </w:p>
        </w:tc>
        <w:tc>
          <w:tcPr>
            <w:gridSpan w:val="4"/>
          </w:tcPr>
          <w:p>
            <w:pPr>
              <w:pStyle w:val="Compact"/>
              <w:jc w:val="center"/>
            </w:pPr>
            <w:r>
              <w:rPr>
                <w:bCs/>
                <w:b/>
              </w:rPr>
              <w:t xml:space="preserve">Interactions</w:t>
            </w:r>
          </w:p>
        </w:tc>
        <w:tc>
          <w:tcPr>
            <w:gridSpan w:val="4"/>
          </w:tcPr>
          <w:p>
            <w:pPr>
              <w:pStyle w:val="Compact"/>
              <w:jc w:val="center"/>
            </w:pPr>
            <w:r>
              <w:rPr>
                <w:bCs/>
                <w:b/>
              </w:rPr>
              <w:t xml:space="preserve">Functional form</w:t>
            </w:r>
          </w:p>
        </w:tc>
        <w:tc>
          <w:tcPr/>
          <w:p>
            <w:pPr>
              <w:pStyle w:val="Compact"/>
            </w:pPr>
          </w:p>
        </w:tc>
      </w:tr>
      <w:tr>
        <w:tc>
          <w:tcPr/>
          <w:p>
            <w:pPr>
              <w:pStyle w:val="Compact"/>
              <w:jc w:val="left"/>
            </w:pPr>
            <w:r>
              <w:t xml:space="preserve">2-10</w:t>
            </w:r>
            <w:r>
              <w:t xml:space="preserve"> </w:t>
            </w:r>
            <w:r>
              <w:t xml:space="preserve">(lr)</w:t>
            </w:r>
            <w:r>
              <w:t xml:space="preserve">11-16</w:t>
            </w:r>
            <w:r>
              <w:t xml:space="preserve"> </w:t>
            </w:r>
            <w:r>
              <w:t xml:space="preserve">(lr)</w:t>
            </w:r>
            <w:r>
              <w:t xml:space="preserve">17-20</w:t>
            </w:r>
            <w:r>
              <w:t xml:space="preserve"> </w:t>
            </w:r>
            <w:r>
              <w:t xml:space="preserve">(lr)</w:t>
            </w:r>
            <w:r>
              <w:t xml:space="preserve">21-24</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c>
          <w:tcPr/>
          <w:p>
            <w:pPr>
              <w:pStyle w:val="Compact"/>
              <w:jc w:val="center"/>
            </w:pPr>
            <w:r>
              <w:t xml:space="preserve">(7)</w:t>
            </w:r>
          </w:p>
        </w:tc>
        <w:tc>
          <w:tcPr/>
          <w:p>
            <w:pPr>
              <w:pStyle w:val="Compact"/>
              <w:jc w:val="center"/>
            </w:pPr>
            <w:r>
              <w:t xml:space="preserve">(8)</w:t>
            </w:r>
          </w:p>
        </w:tc>
        <w:tc>
          <w:tcPr/>
          <w:p>
            <w:pPr>
              <w:pStyle w:val="Compact"/>
              <w:jc w:val="center"/>
            </w:pPr>
            <w:r>
              <w:t xml:space="preserve">(9)</w:t>
            </w:r>
          </w:p>
        </w:tc>
        <w:tc>
          <w:tcPr/>
          <w:p>
            <w:pPr>
              <w:pStyle w:val="Compact"/>
              <w:jc w:val="center"/>
            </w:pPr>
            <w:r>
              <w:t xml:space="preserve">(10)</w:t>
            </w:r>
          </w:p>
        </w:tc>
        <w:tc>
          <w:tcPr/>
          <w:p>
            <w:pPr>
              <w:pStyle w:val="Compact"/>
              <w:jc w:val="center"/>
            </w:pPr>
            <w:r>
              <w:t xml:space="preserve">(11)</w:t>
            </w:r>
          </w:p>
        </w:tc>
        <w:tc>
          <w:tcPr/>
          <w:p>
            <w:pPr>
              <w:pStyle w:val="Compact"/>
              <w:jc w:val="center"/>
            </w:pPr>
            <w:r>
              <w:t xml:space="preserve">(12)</w:t>
            </w:r>
          </w:p>
        </w:tc>
        <w:tc>
          <w:tcPr/>
          <w:p>
            <w:pPr>
              <w:pStyle w:val="Compact"/>
              <w:jc w:val="center"/>
            </w:pPr>
            <w:r>
              <w:t xml:space="preserve">(13)</w:t>
            </w:r>
          </w:p>
        </w:tc>
        <w:tc>
          <w:tcPr/>
          <w:p>
            <w:pPr>
              <w:pStyle w:val="Compact"/>
              <w:jc w:val="center"/>
            </w:pPr>
            <w:r>
              <w:t xml:space="preserve">(14)</w:t>
            </w:r>
          </w:p>
        </w:tc>
        <w:tc>
          <w:tcPr/>
          <w:p>
            <w:pPr>
              <w:pStyle w:val="Compact"/>
              <w:jc w:val="center"/>
            </w:pPr>
            <w:r>
              <w:t xml:space="preserve">(15)</w:t>
            </w:r>
          </w:p>
        </w:tc>
        <w:tc>
          <w:tcPr/>
          <w:p>
            <w:pPr>
              <w:pStyle w:val="Compact"/>
              <w:jc w:val="center"/>
            </w:pPr>
            <w:r>
              <w:t xml:space="preserve">(16)</w:t>
            </w:r>
          </w:p>
        </w:tc>
        <w:tc>
          <w:tcPr/>
          <w:p>
            <w:pPr>
              <w:pStyle w:val="Compact"/>
              <w:jc w:val="center"/>
            </w:pPr>
            <w:r>
              <w:t xml:space="preserve">(17)</w:t>
            </w:r>
          </w:p>
        </w:tc>
        <w:tc>
          <w:tcPr/>
          <w:p>
            <w:pPr>
              <w:pStyle w:val="Compact"/>
              <w:jc w:val="center"/>
            </w:pPr>
            <w:r>
              <w:t xml:space="preserve">(18)</w:t>
            </w:r>
          </w:p>
        </w:tc>
        <w:tc>
          <w:tcPr/>
          <w:p>
            <w:pPr>
              <w:pStyle w:val="Compact"/>
              <w:jc w:val="center"/>
            </w:pPr>
            <w:r>
              <w:t xml:space="preserve">(19)</w:t>
            </w:r>
          </w:p>
        </w:tc>
        <w:tc>
          <w:tcPr/>
          <w:p>
            <w:pPr>
              <w:pStyle w:val="Compact"/>
              <w:jc w:val="center"/>
            </w:pPr>
            <w:r>
              <w:t xml:space="preserve">(20)</w:t>
            </w:r>
          </w:p>
        </w:tc>
        <w:tc>
          <w:tcPr/>
          <w:p>
            <w:pPr>
              <w:pStyle w:val="Compact"/>
              <w:jc w:val="center"/>
            </w:pPr>
            <w:r>
              <w:t xml:space="preserve">(21)</w:t>
            </w:r>
          </w:p>
        </w:tc>
        <w:tc>
          <w:tcPr/>
          <w:p>
            <w:pPr>
              <w:pStyle w:val="Compact"/>
              <w:jc w:val="center"/>
            </w:pPr>
            <w:r>
              <w:t xml:space="preserve">(22)</w:t>
            </w:r>
          </w:p>
        </w:tc>
        <w:tc>
          <w:tcPr/>
          <w:p>
            <w:pPr>
              <w:pStyle w:val="Compact"/>
              <w:jc w:val="center"/>
            </w:pPr>
            <w:r>
              <w:t xml:space="preserve">(23)</w:t>
            </w:r>
          </w:p>
        </w:tc>
      </w:tr>
      <w:tr>
        <w:tc>
          <w:tcPr/>
          <w:p>
            <w:pPr>
              <w:pStyle w:val="Compact"/>
            </w:pPr>
          </w:p>
        </w:tc>
        <w:tc>
          <w:tcPr/>
          <w:p>
            <w:pPr>
              <w:pStyle w:val="Compact"/>
              <w:jc w:val="center"/>
            </w:pPr>
            <w:r>
              <w:t xml:space="preserve">Adj. gap   covgap</w:t>
            </w:r>
          </w:p>
        </w:tc>
        <w:tc>
          <w:tcPr/>
          <w:p>
            <w:pPr>
              <w:pStyle w:val="Compact"/>
              <w:jc w:val="center"/>
            </w:pPr>
            <w:r>
              <w:t xml:space="preserve">Adj. gap   dominance</w:t>
            </w:r>
          </w:p>
        </w:tc>
        <w:tc>
          <w:tcPr/>
          <w:p>
            <w:pPr>
              <w:pStyle w:val="Compact"/>
              <w:jc w:val="center"/>
            </w:pPr>
            <w:r>
              <w:t xml:space="preserve">Raw gap   covgap</w:t>
            </w:r>
          </w:p>
        </w:tc>
        <w:tc>
          <w:tcPr/>
          <w:p>
            <w:pPr>
              <w:pStyle w:val="Compact"/>
              <w:jc w:val="center"/>
            </w:pPr>
            <w:r>
              <w:t xml:space="preserve">Raw gap   dominance</w:t>
            </w:r>
          </w:p>
        </w:tc>
        <w:tc>
          <w:tcPr/>
          <w:p>
            <w:pPr>
              <w:pStyle w:val="Compact"/>
              <w:jc w:val="center"/>
            </w:pPr>
            <w:r>
              <w:t xml:space="preserve">Reg. gap   covgap</w:t>
            </w:r>
          </w:p>
        </w:tc>
        <w:tc>
          <w:tcPr/>
          <w:p>
            <w:pPr>
              <w:pStyle w:val="Compact"/>
              <w:jc w:val="center"/>
            </w:pPr>
            <w:r>
              <w:t xml:space="preserve">Reg. gap   dominance</w:t>
            </w:r>
          </w:p>
        </w:tc>
        <w:tc>
          <w:tcPr/>
          <w:p>
            <w:pPr>
              <w:pStyle w:val="Compact"/>
              <w:jc w:val="center"/>
            </w:pPr>
            <w:r>
              <w:t xml:space="preserve">Adj. gap   rescov</w:t>
            </w:r>
          </w:p>
        </w:tc>
        <w:tc>
          <w:tcPr/>
          <w:p>
            <w:pPr>
              <w:pStyle w:val="Compact"/>
              <w:jc w:val="center"/>
            </w:pPr>
            <w:r>
              <w:t xml:space="preserve">Raw gap   rescov</w:t>
            </w:r>
          </w:p>
        </w:tc>
        <w:tc>
          <w:tcPr/>
          <w:p>
            <w:pPr>
              <w:pStyle w:val="Compact"/>
              <w:jc w:val="center"/>
            </w:pPr>
            <w:r>
              <w:t xml:space="preserve">Reg. gap   rescov</w:t>
            </w:r>
          </w:p>
        </w:tc>
        <w:tc>
          <w:tcPr/>
          <w:p>
            <w:pPr>
              <w:pStyle w:val="Compact"/>
              <w:jc w:val="center"/>
            </w:pPr>
            <w:r>
              <w:t xml:space="preserve">No classifier ind.</w:t>
            </w:r>
          </w:p>
        </w:tc>
        <w:tc>
          <w:tcPr/>
          <w:p>
            <w:pPr>
              <w:pStyle w:val="Compact"/>
              <w:jc w:val="center"/>
            </w:pPr>
            <w:r>
              <w:t xml:space="preserve">+ SDG FE</w:t>
            </w:r>
          </w:p>
        </w:tc>
        <w:tc>
          <w:tcPr/>
          <w:p>
            <w:pPr>
              <w:pStyle w:val="Compact"/>
              <w:jc w:val="center"/>
            </w:pPr>
            <w:r>
              <w:t xml:space="preserve">Supervised only</w:t>
            </w:r>
          </w:p>
        </w:tc>
        <w:tc>
          <w:tcPr/>
          <w:p>
            <w:pPr>
              <w:pStyle w:val="Compact"/>
              <w:jc w:val="center"/>
            </w:pPr>
            <w:r>
              <w:t xml:space="preserve">Keyword only</w:t>
            </w:r>
          </w:p>
        </w:tc>
        <w:tc>
          <w:tcPr/>
          <w:p>
            <w:pPr>
              <w:pStyle w:val="Compact"/>
              <w:jc w:val="center"/>
            </w:pPr>
            <w:r>
              <w:t xml:space="preserve">MPNet only</w:t>
            </w:r>
          </w:p>
        </w:tc>
        <w:tc>
          <w:tcPr/>
          <w:p>
            <w:pPr>
              <w:pStyle w:val="Compact"/>
              <w:jc w:val="center"/>
            </w:pPr>
            <w:r>
              <w:t xml:space="preserve">No clf + SDG FE</w:t>
            </w:r>
          </w:p>
        </w:tc>
        <w:tc>
          <w:tcPr/>
          <w:p>
            <w:pPr>
              <w:pStyle w:val="Compact"/>
              <w:jc w:val="center"/>
            </w:pPr>
            <w:r>
              <w:t xml:space="preserve">+ covgap</w:t>
            </w:r>
            <m:oMath>
              <m:r>
                <m:rPr>
                  <m:sty m:val="p"/>
                </m:rPr>
                <m:t>×</m:t>
              </m:r>
            </m:oMath>
            <w:r>
              <w:t xml:space="preserve">enc</w:t>
            </w:r>
          </w:p>
        </w:tc>
        <w:tc>
          <w:tcPr/>
          <w:p>
            <w:pPr>
              <w:pStyle w:val="Compact"/>
              <w:jc w:val="center"/>
            </w:pPr>
            <w:r>
              <w:t xml:space="preserve">+ covgap</w:t>
            </w:r>
            <m:oMath>
              <m:r>
                <m:rPr>
                  <m:sty m:val="p"/>
                </m:rPr>
                <m:t>×</m:t>
              </m:r>
            </m:oMath>
            <w:r>
              <w:t xml:space="preserve">ret</w:t>
            </w:r>
          </w:p>
        </w:tc>
        <w:tc>
          <w:tcPr/>
          <w:p>
            <w:pPr>
              <w:pStyle w:val="Compact"/>
              <w:jc w:val="center"/>
            </w:pPr>
            <w:r>
              <w:t xml:space="preserve">+ covgap</w:t>
            </w:r>
            <m:oMath>
              <m:r>
                <m:rPr>
                  <m:sty m:val="p"/>
                </m:rPr>
                <m:t>×</m:t>
              </m:r>
            </m:oMath>
            <w:r>
              <w:t xml:space="preserve">mth</w:t>
            </w:r>
          </w:p>
        </w:tc>
        <w:tc>
          <w:tcPr/>
          <w:p>
            <w:pPr>
              <w:pStyle w:val="Compact"/>
              <w:jc w:val="center"/>
            </w:pPr>
            <w:r>
              <w:t xml:space="preserve">+ all interactions</w:t>
            </w:r>
          </w:p>
        </w:tc>
        <w:tc>
          <w:tcPr/>
          <w:p>
            <w:pPr>
              <w:pStyle w:val="Compact"/>
              <w:jc w:val="center"/>
            </w:pPr>
            <w:r>
              <w:t xml:space="preserve">Raw DV (not ranked)</w:t>
            </w:r>
          </w:p>
        </w:tc>
        <w:tc>
          <w:tcPr/>
          <w:p>
            <w:pPr>
              <w:pStyle w:val="Compact"/>
              <w:jc w:val="center"/>
            </w:pPr>
            <w:r>
              <w:t xml:space="preserve">Log DV</w:t>
            </w:r>
          </w:p>
        </w:tc>
        <w:tc>
          <w:tcPr/>
          <w:p>
            <w:pPr>
              <w:pStyle w:val="Compact"/>
              <w:jc w:val="center"/>
            </w:pPr>
            <w:r>
              <w:t xml:space="preserve">WLS</w:t>
            </w:r>
          </w:p>
        </w:tc>
        <w:tc>
          <w:tcPr/>
          <w:p>
            <w:pPr>
              <w:pStyle w:val="Compact"/>
              <w:jc w:val="center"/>
            </w:pPr>
            <w:r>
              <w:t xml:space="preserve">Rank + bootstrap</w:t>
            </w:r>
          </w:p>
        </w:tc>
      </w:tr>
      <w:tr>
        <w:tc>
          <w:tcPr/>
          <w:p>
            <w:pPr>
              <w:pStyle w:val="Compact"/>
              <w:jc w:val="left"/>
            </w:pPr>
            <w:r>
              <w:t xml:space="preserve">Coverage gap (</w:t>
            </w:r>
            <m:oMath>
              <m:d>
                <m:dPr>
                  <m:begChr m:val="|"/>
                  <m:endChr m:val="|"/>
                  <m:sepChr m:val=""/>
                  <m:grow/>
                </m:dPr>
                <m:e>
                  <m:r>
                    <m:rPr>
                      <m:nor/>
                      <m:sty m:val="p"/>
                    </m:rPr>
                    <m:t>research</m:t>
                  </m:r>
                  <m:r>
                    <m:rPr>
                      <m:sty m:val="p"/>
                    </m:rPr>
                    <m:t>%</m:t>
                  </m:r>
                  <m:r>
                    <m:rPr>
                      <m:sty m:val="p"/>
                    </m:rPr>
                    <m:t>−</m:t>
                  </m:r>
                  <m:r>
                    <m:rPr>
                      <m:nor/>
                      <m:sty m:val="p"/>
                    </m:rPr>
                    <m:t>policy</m:t>
                  </m:r>
                  <m:r>
                    <m:rPr>
                      <m:sty m:val="p"/>
                    </m:rPr>
                    <m:t>%</m:t>
                  </m:r>
                </m:e>
              </m:d>
              <m:r>
                <m:rPr>
                  <m:sty m:val="p"/>
                </m:rPr>
                <m:t>)</m:t>
              </m:r>
            </m:oMath>
          </w:p>
        </w:tc>
        <w:tc>
          <w:tcPr/>
          <w:p>
            <w:pPr>
              <w:pStyle w:val="Compact"/>
              <w:jc w:val="center"/>
            </w:pPr>
            <w:r>
              <w:t xml:space="preserve">+0.185</w:t>
            </w:r>
            <m:oMath>
              <m:sSup>
                <m:e>
                  <m:r>
                    <m:t>​</m:t>
                  </m:r>
                </m:e>
                <m:sup>
                  <m:r>
                    <m:rPr>
                      <m:sty m:val="p"/>
                    </m:rPr>
                    <m:t>†</m:t>
                  </m:r>
                </m:sup>
              </m:sSup>
            </m:oMath>
          </w:p>
        </w:tc>
        <w:tc>
          <w:tcPr/>
          <w:p>
            <w:pPr>
              <w:pStyle w:val="Compact"/>
              <w:jc w:val="center"/>
            </w:pPr>
            <w:r>
              <w:t xml:space="preserve">–</w:t>
            </w:r>
          </w:p>
        </w:tc>
        <w:tc>
          <w:tcPr/>
          <w:p>
            <w:pPr>
              <w:pStyle w:val="Compact"/>
              <w:jc w:val="center"/>
            </w:pPr>
            <w:r>
              <w:t xml:space="preserve">+0.093</w:t>
            </w:r>
          </w:p>
        </w:tc>
        <w:tc>
          <w:tcPr/>
          <w:p>
            <w:pPr>
              <w:pStyle w:val="Compact"/>
              <w:jc w:val="center"/>
            </w:pPr>
            <w:r>
              <w:t xml:space="preserve">–</w:t>
            </w:r>
          </w:p>
        </w:tc>
        <w:tc>
          <w:tcPr/>
          <w:p>
            <w:pPr>
              <w:pStyle w:val="Compact"/>
              <w:jc w:val="center"/>
            </w:pPr>
            <w:r>
              <w:t xml:space="preserve">-0.044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+0.185</w:t>
            </w:r>
            <m:oMath>
              <m:sSup>
                <m:e>
                  <m:r>
                    <m:t>​</m:t>
                  </m:r>
                </m:e>
                <m:sup>
                  <m:r>
                    <m:rPr>
                      <m:sty m:val="p"/>
                    </m:rPr>
                    <m:t>†</m:t>
                  </m:r>
                </m:sup>
              </m:sSup>
            </m:oMath>
          </w:p>
        </w:tc>
        <w:tc>
          <w:tcPr/>
          <w:p>
            <w:pPr>
              <w:pStyle w:val="Compact"/>
              <w:jc w:val="center"/>
            </w:pPr>
            <w:r>
              <w:t xml:space="preserve">-0.010</w:t>
            </w:r>
          </w:p>
        </w:tc>
        <w:tc>
          <w:tcPr/>
          <w:p>
            <w:pPr>
              <w:pStyle w:val="Compact"/>
              <w:jc w:val="center"/>
            </w:pPr>
            <w:r>
              <w:t xml:space="preserve">+0.199</w:t>
            </w:r>
            <m:oMath>
              <m:sSup>
                <m:e>
                  <m:r>
                    <m:t>​</m:t>
                  </m:r>
                </m:e>
                <m:sup>
                  <m:r>
                    <m:rPr>
                      <m:sty m:val="p"/>
                    </m:rPr>
                    <m:t>*</m:t>
                  </m:r>
                </m:sup>
              </m:sSup>
            </m:oMath>
          </w:p>
        </w:tc>
        <w:tc>
          <w:tcPr/>
          <w:p>
            <w:pPr>
              <w:pStyle w:val="Compact"/>
              <w:jc w:val="center"/>
            </w:pPr>
            <w:r>
              <w:t xml:space="preserve">+0.167</w:t>
            </w:r>
          </w:p>
        </w:tc>
        <w:tc>
          <w:tcPr/>
          <w:p>
            <w:pPr>
              <w:pStyle w:val="Compact"/>
              <w:jc w:val="center"/>
            </w:pPr>
            <w:r>
              <w:t xml:space="preserve">+0.329</w:t>
            </w:r>
            <m:oMath>
              <m:sSup>
                <m:e>
                  <m:r>
                    <m:t>​</m:t>
                  </m:r>
                </m:e>
                <m:sup>
                  <m:r>
                    <m:rPr>
                      <m:sty m:val="p"/>
                    </m:rPr>
                    <m:t>*</m:t>
                  </m:r>
                  <m:r>
                    <m:rPr>
                      <m:sty m:val="p"/>
                    </m:rPr>
                    <m:t>*</m:t>
                  </m:r>
                </m:sup>
              </m:sSup>
            </m:oMath>
          </w:p>
        </w:tc>
        <w:tc>
          <w:tcPr/>
          <w:p>
            <w:pPr>
              <w:pStyle w:val="Compact"/>
              <w:jc w:val="center"/>
            </w:pPr>
            <w:r>
              <w:t xml:space="preserve">-0.010</w:t>
            </w:r>
          </w:p>
        </w:tc>
        <w:tc>
          <w:tcPr/>
          <w:p>
            <w:pPr>
              <w:pStyle w:val="Compact"/>
              <w:jc w:val="center"/>
            </w:pPr>
            <w:r>
              <w:t xml:space="preserve">+0.333</w:t>
            </w:r>
            <m:oMath>
              <m:sSup>
                <m:e>
                  <m:r>
                    <m:t>​</m:t>
                  </m:r>
                </m:e>
                <m:sup>
                  <m:r>
                    <m:rPr>
                      <m:sty m:val="p"/>
                    </m:rPr>
                    <m:t>*</m:t>
                  </m:r>
                  <m:r>
                    <m:rPr>
                      <m:sty m:val="p"/>
                    </m:rPr>
                    <m:t>*</m:t>
                  </m:r>
                </m:sup>
              </m:sSup>
            </m:oMath>
          </w:p>
        </w:tc>
        <w:tc>
          <w:tcPr/>
          <w:p>
            <w:pPr>
              <w:pStyle w:val="Compact"/>
              <w:jc w:val="center"/>
            </w:pPr>
            <w:r>
              <w:t xml:space="preserve">+0.170</w:t>
            </w:r>
          </w:p>
        </w:tc>
        <w:tc>
          <w:tcPr/>
          <w:p>
            <w:pPr>
              <w:pStyle w:val="Compact"/>
              <w:jc w:val="center"/>
            </w:pPr>
            <w:r>
              <w:t xml:space="preserve">+0.239</w:t>
            </w:r>
            <m:oMath>
              <m:sSup>
                <m:e>
                  <m:r>
                    <m:t>​</m:t>
                  </m:r>
                </m:e>
                <m:sup>
                  <m:r>
                    <m:rPr>
                      <m:sty m:val="p"/>
                    </m:rPr>
                    <m:t>*</m:t>
                  </m:r>
                  <m:r>
                    <m:rPr>
                      <m:sty m:val="p"/>
                    </m:rPr>
                    <m:t>*</m:t>
                  </m:r>
                </m:sup>
              </m:sSup>
            </m:oMath>
          </w:p>
        </w:tc>
        <w:tc>
          <w:tcPr/>
          <w:p>
            <w:pPr>
              <w:pStyle w:val="Compact"/>
              <w:jc w:val="center"/>
            </w:pPr>
            <w:r>
              <w:t xml:space="preserve">+0.419</w:t>
            </w:r>
            <m:oMath>
              <m:sSup>
                <m:e>
                  <m:r>
                    <m:t>​</m:t>
                  </m:r>
                </m:e>
                <m:sup>
                  <m:r>
                    <m:rPr>
                      <m:sty m:val="p"/>
                    </m:rPr>
                    <m:t>*</m:t>
                  </m:r>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+0.003</w:t>
            </w:r>
            <m:oMath>
              <m:sSup>
                <m:e>
                  <m:r>
                    <m:t>​</m:t>
                  </m:r>
                </m:e>
                <m:sup>
                  <m:r>
                    <m:rPr>
                      <m:sty m:val="p"/>
                    </m:rPr>
                    <m:t>*</m:t>
                  </m:r>
                  <m:r>
                    <m:rPr>
                      <m:sty m:val="p"/>
                    </m:rPr>
                    <m:t>*</m:t>
                  </m:r>
                </m:sup>
              </m:sSup>
            </m:oMath>
          </w:p>
        </w:tc>
        <w:tc>
          <w:tcPr/>
          <w:p>
            <w:pPr>
              <w:pStyle w:val="Compact"/>
              <w:jc w:val="center"/>
            </w:pPr>
            <w:r>
              <w:t xml:space="preserve">+0.389</w:t>
            </w:r>
            <m:oMath>
              <m:sSup>
                <m:e>
                  <m:r>
                    <m:t>​</m:t>
                  </m:r>
                </m:e>
                <m:sup>
                  <m:r>
                    <m:rPr>
                      <m:sty m:val="p"/>
                    </m:rPr>
                    <m:t>*</m:t>
                  </m:r>
                  <m:r>
                    <m:rPr>
                      <m:sty m:val="p"/>
                    </m:rPr>
                    <m:t>*</m:t>
                  </m:r>
                  <m:r>
                    <m:rPr>
                      <m:sty m:val="p"/>
                    </m:rPr>
                    <m:t>*</m:t>
                  </m:r>
                </m:sup>
              </m:sSup>
            </m:oMath>
          </w:p>
        </w:tc>
        <w:tc>
          <w:tcPr/>
          <w:p>
            <w:pPr>
              <w:pStyle w:val="Compact"/>
              <w:jc w:val="center"/>
            </w:pPr>
            <w:r>
              <w:t xml:space="preserve">+0.185</w:t>
            </w:r>
            <m:oMath>
              <m:sSup>
                <m:e>
                  <m:r>
                    <m:t>​</m:t>
                  </m:r>
                </m:e>
                <m:sup>
                  <m:r>
                    <m:rPr>
                      <m:sty m:val="p"/>
                    </m:rPr>
                    <m:t>†</m:t>
                  </m:r>
                </m:sup>
              </m:sSup>
            </m:oMath>
          </w:p>
        </w:tc>
      </w:tr>
      <w:tr>
        <w:tc>
          <w:tcPr/>
          <w:p>
            <w:pPr>
              <w:pStyle w:val="Compact"/>
            </w:pPr>
          </w:p>
        </w:tc>
        <w:tc>
          <w:tcPr/>
          <w:p>
            <w:pPr>
              <w:pStyle w:val="Compact"/>
              <w:jc w:val="center"/>
            </w:pPr>
            <w:r>
              <w:t xml:space="preserve">(0.095)</w:t>
            </w:r>
          </w:p>
        </w:tc>
        <w:tc>
          <w:tcPr/>
          <w:p>
            <w:pPr>
              <w:pStyle w:val="Compact"/>
            </w:pPr>
          </w:p>
        </w:tc>
        <w:tc>
          <w:tcPr/>
          <w:p>
            <w:pPr>
              <w:pStyle w:val="Compact"/>
              <w:jc w:val="center"/>
            </w:pPr>
            <w:r>
              <w:t xml:space="preserve">(0.169)</w:t>
            </w:r>
          </w:p>
        </w:tc>
        <w:tc>
          <w:tcPr/>
          <w:p>
            <w:pPr>
              <w:pStyle w:val="Compact"/>
            </w:pPr>
          </w:p>
        </w:tc>
        <w:tc>
          <w:tcPr/>
          <w:p>
            <w:pPr>
              <w:pStyle w:val="Compact"/>
              <w:jc w:val="center"/>
            </w:pPr>
            <w:r>
              <w:t xml:space="preserve">(0.112)</w:t>
            </w: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jc w:val="center"/>
            </w:pPr>
            <w:r>
              <w:t xml:space="preserve">(0.188)</w:t>
            </w:r>
          </w:p>
        </w:tc>
        <w:tc>
          <w:tcPr/>
          <w:p>
            <w:pPr>
              <w:pStyle w:val="Compact"/>
              <w:jc w:val="center"/>
            </w:pPr>
            <w:r>
              <w:t xml:space="preserve">(0.089)</w:t>
            </w:r>
          </w:p>
        </w:tc>
        <w:tc>
          <w:tcPr/>
          <w:p>
            <w:pPr>
              <w:pStyle w:val="Compact"/>
              <w:jc w:val="center"/>
            </w:pPr>
            <w:r>
              <w:t xml:space="preserve">(0.102)</w:t>
            </w:r>
          </w:p>
        </w:tc>
        <w:tc>
          <w:tcPr/>
          <w:p>
            <w:pPr>
              <w:pStyle w:val="Compact"/>
              <w:jc w:val="center"/>
            </w:pPr>
            <w:r>
              <w:t xml:space="preserve">(0.096)</w:t>
            </w:r>
          </w:p>
        </w:tc>
        <w:tc>
          <w:tcPr/>
          <w:p>
            <w:pPr>
              <w:pStyle w:val="Compact"/>
              <w:jc w:val="center"/>
            </w:pPr>
            <w:r>
              <w:t xml:space="preserve">(0.188)</w:t>
            </w:r>
          </w:p>
        </w:tc>
        <w:tc>
          <w:tcPr/>
          <w:p>
            <w:pPr>
              <w:pStyle w:val="Compact"/>
              <w:jc w:val="center"/>
            </w:pPr>
            <w:r>
              <w:t xml:space="preserve">(0.099)</w:t>
            </w:r>
          </w:p>
        </w:tc>
        <w:tc>
          <w:tcPr/>
          <w:p>
            <w:pPr>
              <w:pStyle w:val="Compact"/>
              <w:jc w:val="center"/>
            </w:pPr>
            <w:r>
              <w:t xml:space="preserve">(0.101)</w:t>
            </w:r>
          </w:p>
        </w:tc>
        <w:tc>
          <w:tcPr/>
          <w:p>
            <w:pPr>
              <w:pStyle w:val="Compact"/>
              <w:jc w:val="center"/>
            </w:pPr>
            <w:r>
              <w:t xml:space="preserve">(0.081)</w:t>
            </w:r>
          </w:p>
        </w:tc>
        <w:tc>
          <w:tcPr/>
          <w:p>
            <w:pPr>
              <w:pStyle w:val="Compact"/>
              <w:jc w:val="center"/>
            </w:pPr>
            <w:r>
              <w:t xml:space="preserve">(0.092)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(0.081)</w:t>
            </w:r>
          </w:p>
        </w:tc>
        <w:tc>
          <w:tcPr/>
          <w:p>
            <w:pPr>
              <w:pStyle w:val="Compact"/>
              <w:jc w:val="center"/>
            </w:pPr>
            <w:r>
              <w:t xml:space="preserve">(0.095)</w:t>
            </w:r>
          </w:p>
        </w:tc>
      </w:tr>
      <w:tr>
        <w:tc>
          <w:tcPr/>
          <w:p>
            <w:pPr>
              <w:pStyle w:val="Compact"/>
              <w:jc w:val="left"/>
            </w:pPr>
            <w:r>
              <w:t xml:space="preserve">Policy coverage</w:t>
            </w:r>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+0.544</w:t>
            </w:r>
            <m:oMath>
              <m:sSup>
                <m:e>
                  <m:r>
                    <m:t>​</m:t>
                  </m:r>
                </m:e>
                <m:sup>
                  <m:r>
                    <m:rPr>
                      <m:sty m:val="p"/>
                    </m:rPr>
                    <m:t>*</m:t>
                  </m:r>
                  <m:r>
                    <m:rPr>
                      <m:sty m:val="p"/>
                    </m:rPr>
                    <m:t>*</m:t>
                  </m:r>
                </m:sup>
              </m:sSup>
            </m:oMath>
          </w:p>
        </w:tc>
        <w:tc>
          <w:tcPr/>
          <w:p>
            <w:pPr>
              <w:pStyle w:val="Compact"/>
              <w:jc w:val="center"/>
            </w:pPr>
            <w:r>
              <w:t xml:space="preserve">-0.090</w:t>
            </w:r>
          </w:p>
        </w:tc>
        <w:tc>
          <w:tcPr/>
          <w:p>
            <w:pPr>
              <w:pStyle w:val="Compact"/>
              <w:jc w:val="center"/>
            </w:pPr>
            <w:r>
              <w:t xml:space="preserve">+0.065</w:t>
            </w:r>
          </w:p>
        </w:tc>
        <w:tc>
          <w:tcPr/>
          <w:p>
            <w:pPr>
              <w:pStyle w:val="Compact"/>
              <w:jc w:val="center"/>
            </w:pPr>
            <w:r>
              <w:t xml:space="preserve">-0.313</w:t>
            </w:r>
            <m:oMath>
              <m:sSup>
                <m:e>
                  <m:r>
                    <m:t>​</m:t>
                  </m:r>
                </m:e>
                <m:sup>
                  <m:r>
                    <m:rPr>
                      <m:sty m:val="p"/>
                    </m:rPr>
                    <m:t>†</m:t>
                  </m:r>
                </m:sup>
              </m:sSup>
            </m:oMath>
          </w:p>
        </w:tc>
        <w:tc>
          <w:tcPr/>
          <w:p>
            <w:pPr>
              <w:pStyle w:val="Compact"/>
              <w:jc w:val="center"/>
            </w:pPr>
            <w:r>
              <w:t xml:space="preserve">-0.295</w:t>
            </w:r>
          </w:p>
        </w:tc>
        <w:tc>
          <w:tcPr/>
          <w:p>
            <w:pPr>
              <w:pStyle w:val="Compact"/>
              <w:jc w:val="center"/>
            </w:pPr>
            <w:r>
              <w:t xml:space="preserve">+0.464</w:t>
            </w:r>
            <m:oMath>
              <m:sSup>
                <m:e>
                  <m:r>
                    <m:t>​</m:t>
                  </m:r>
                </m:e>
                <m:sup>
                  <m:r>
                    <m:rPr>
                      <m:sty m:val="p"/>
                    </m:rPr>
                    <m:t>*</m:t>
                  </m:r>
                  <m:r>
                    <m:rPr>
                      <m:sty m:val="p"/>
                    </m:rPr>
                    <m:t>*</m:t>
                  </m:r>
                </m:sup>
              </m:sSup>
            </m:oMath>
          </w:p>
        </w:tc>
        <w:tc>
          <w:tcPr/>
          <w:p>
            <w:pPr>
              <w:pStyle w:val="Compact"/>
              <w:jc w:val="center"/>
            </w:pPr>
            <w:r>
              <w:t xml:space="preserve">-0.076</w:t>
            </w:r>
          </w:p>
        </w:tc>
        <w:tc>
          <w:tcPr/>
          <w:p>
            <w:pPr>
              <w:pStyle w:val="Compact"/>
              <w:jc w:val="center"/>
            </w:pPr>
            <w:r>
              <w:t xml:space="preserve">-0.336</w:t>
            </w:r>
            <m:oMath>
              <m:sSup>
                <m:e>
                  <m:r>
                    <m:t>​</m:t>
                  </m:r>
                </m:e>
                <m:sup>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+0.393</w:t>
            </w:r>
            <m:oMath>
              <m:sSup>
                <m:e>
                  <m:r>
                    <m:t>​</m:t>
                  </m:r>
                </m:e>
                <m:sup>
                  <m:r>
                    <m:rPr>
                      <m:sty m:val="p"/>
                    </m:rPr>
                    <m:t>*</m:t>
                  </m:r>
                  <m:r>
                    <m:rPr>
                      <m:sty m:val="p"/>
                    </m:rPr>
                    <m:t>*</m:t>
                  </m:r>
                </m:sup>
              </m:sSup>
            </m:oMath>
          </w:p>
        </w:tc>
        <w:tc>
          <w:tcPr/>
          <w:p>
            <w:pPr>
              <w:pStyle w:val="Compact"/>
              <w:jc w:val="center"/>
            </w:pPr>
            <w:r>
              <w:t xml:space="preserve">+0.427</w:t>
            </w:r>
            <m:oMath>
              <m:sSup>
                <m:e>
                  <m:r>
                    <m:t>​</m:t>
                  </m:r>
                </m:e>
                <m:sup>
                  <m:r>
                    <m:rPr>
                      <m:sty m:val="p"/>
                    </m:rPr>
                    <m:t>*</m:t>
                  </m:r>
                  <m:r>
                    <m:rPr>
                      <m:sty m:val="p"/>
                    </m:rPr>
                    <m:t>*</m:t>
                  </m:r>
                </m:sup>
              </m:sSup>
            </m:oMath>
          </w:p>
        </w:tc>
        <w:tc>
          <w:tcPr/>
          <w:p>
            <w:pPr>
              <w:pStyle w:val="Compact"/>
              <w:jc w:val="center"/>
            </w:pPr>
            <w:r>
              <w:t xml:space="preserve">+0.428</w:t>
            </w:r>
            <m:oMath>
              <m:sSup>
                <m:e>
                  <m:r>
                    <m:t>​</m:t>
                  </m:r>
                </m:e>
                <m:sup>
                  <m:r>
                    <m:rPr>
                      <m:sty m:val="p"/>
                    </m:rPr>
                    <m:t>*</m:t>
                  </m:r>
                </m:sup>
              </m:sSup>
            </m:oMath>
          </w:p>
        </w:tc>
        <w:tc>
          <w:tcPr/>
          <w:p>
            <w:pPr>
              <w:pStyle w:val="Compact"/>
              <w:jc w:val="center"/>
            </w:pPr>
            <w:r>
              <w:t xml:space="preserve">+1.210</w:t>
            </w:r>
            <m:oMath>
              <m:sSup>
                <m:e>
                  <m:r>
                    <m:t>​</m:t>
                  </m:r>
                </m:e>
                <m:sup>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c>
          <w:tcPr/>
          <w:p>
            <w:pPr>
              <w:pStyle w:val="Compact"/>
              <w:jc w:val="center"/>
            </w:pPr>
            <w:r>
              <w:t xml:space="preserve">+0.399</w:t>
            </w:r>
            <m:oMath>
              <m:sSup>
                <m:e>
                  <m:r>
                    <m:t>​</m:t>
                  </m:r>
                </m:e>
                <m:sup>
                  <m:r>
                    <m:rPr>
                      <m:sty m:val="p"/>
                    </m:rPr>
                    <m:t>*</m:t>
                  </m:r>
                  <m:r>
                    <m:rPr>
                      <m:sty m:val="p"/>
                    </m:rPr>
                    <m:t>*</m:t>
                  </m:r>
                </m:sup>
              </m:sSup>
            </m:oMath>
          </w:p>
        </w:tc>
        <w:tc>
          <w:tcPr/>
          <w:p>
            <w:pPr>
              <w:pStyle w:val="Compact"/>
              <w:jc w:val="center"/>
            </w:pPr>
            <w:r>
              <w:t xml:space="preserve">+0.004</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+0.478</w:t>
            </w:r>
            <m:oMath>
              <m:sSup>
                <m:e>
                  <m:r>
                    <m:t>​</m:t>
                  </m:r>
                </m:e>
                <m:sup>
                  <m:r>
                    <m:rPr>
                      <m:sty m:val="p"/>
                    </m:rPr>
                    <m:t>*</m:t>
                  </m:r>
                  <m:r>
                    <m:rPr>
                      <m:sty m:val="p"/>
                    </m:rPr>
                    <m:t>*</m:t>
                  </m:r>
                  <m:r>
                    <m:rPr>
                      <m:sty m:val="p"/>
                    </m:rPr>
                    <m:t>*</m:t>
                  </m:r>
                </m:sup>
              </m:sSup>
            </m:oMath>
          </w:p>
        </w:tc>
        <w:tc>
          <w:tcPr/>
          <w:p>
            <w:pPr>
              <w:pStyle w:val="Compact"/>
              <w:jc w:val="center"/>
            </w:pPr>
            <w:r>
              <w:t xml:space="preserve">+0.406</w:t>
            </w:r>
            <m:oMath>
              <m:sSup>
                <m:e>
                  <m:r>
                    <m:t>​</m:t>
                  </m:r>
                </m:e>
                <m:sup>
                  <m:r>
                    <m:rPr>
                      <m:sty m:val="p"/>
                    </m:rPr>
                    <m:t>*</m:t>
                  </m:r>
                  <m:r>
                    <m:rPr>
                      <m:sty m:val="p"/>
                    </m:rPr>
                    <m:t>*</m:t>
                  </m:r>
                </m:sup>
              </m:sSup>
            </m:oMath>
          </w:p>
        </w:tc>
      </w:tr>
      <w:tr>
        <w:tc>
          <w:tcPr/>
          <w:p>
            <w:pPr>
              <w:pStyle w:val="Compact"/>
            </w:pPr>
          </w:p>
        </w:tc>
        <w:tc>
          <w:tcPr/>
          <w:p>
            <w:pPr>
              <w:pStyle w:val="Compact"/>
              <w:jc w:val="center"/>
            </w:pPr>
            <w:r>
              <w:t xml:space="preserve">(0.116)</w:t>
            </w:r>
          </w:p>
        </w:tc>
        <w:tc>
          <w:tcPr/>
          <w:p>
            <w:pPr>
              <w:pStyle w:val="Compact"/>
              <w:jc w:val="center"/>
            </w:pPr>
            <w:r>
              <w:t xml:space="preserve">(0.177)</w:t>
            </w:r>
          </w:p>
        </w:tc>
        <w:tc>
          <w:tcPr/>
          <w:p>
            <w:pPr>
              <w:pStyle w:val="Compact"/>
              <w:jc w:val="center"/>
            </w:pPr>
            <w:r>
              <w:t xml:space="preserve">(0.182)</w:t>
            </w:r>
          </w:p>
        </w:tc>
        <w:tc>
          <w:tcPr/>
          <w:p>
            <w:pPr>
              <w:pStyle w:val="Compact"/>
              <w:jc w:val="center"/>
            </w:pPr>
            <w:r>
              <w:t xml:space="preserve">(0.163)</w:t>
            </w:r>
          </w:p>
        </w:tc>
        <w:tc>
          <w:tcPr/>
          <w:p>
            <w:pPr>
              <w:pStyle w:val="Compact"/>
              <w:jc w:val="center"/>
            </w:pPr>
            <w:r>
              <w:t xml:space="preserve">(0.179)</w:t>
            </w:r>
          </w:p>
        </w:tc>
        <w:tc>
          <w:tcPr/>
          <w:p>
            <w:pPr>
              <w:pStyle w:val="Compact"/>
              <w:jc w:val="center"/>
            </w:pPr>
            <w:r>
              <w:t xml:space="preserve">(0.182)</w:t>
            </w:r>
          </w:p>
        </w:tc>
        <w:tc>
          <w:tcPr/>
          <w:p>
            <w:pPr>
              <w:pStyle w:val="Compact"/>
              <w:jc w:val="center"/>
            </w:pPr>
            <w:r>
              <w:t xml:space="preserve">(0.138)</w:t>
            </w:r>
          </w:p>
        </w:tc>
        <w:tc>
          <w:tcPr/>
          <w:p>
            <w:pPr>
              <w:pStyle w:val="Compact"/>
              <w:jc w:val="center"/>
            </w:pPr>
            <w:r>
              <w:t xml:space="preserve">(0.173)</w:t>
            </w:r>
          </w:p>
        </w:tc>
        <w:tc>
          <w:tcPr/>
          <w:p>
            <w:pPr>
              <w:pStyle w:val="Compact"/>
              <w:jc w:val="center"/>
            </w:pPr>
            <w:r>
              <w:t xml:space="preserve">(0.179)</w:t>
            </w:r>
          </w:p>
        </w:tc>
        <w:tc>
          <w:tcPr/>
          <w:p>
            <w:pPr>
              <w:pStyle w:val="Compact"/>
              <w:jc w:val="center"/>
            </w:pPr>
            <w:r>
              <w:t xml:space="preserve">(0.116)</w:t>
            </w:r>
          </w:p>
        </w:tc>
        <w:tc>
          <w:tcPr/>
          <w:p>
            <w:pPr>
              <w:pStyle w:val="Compact"/>
              <w:jc w:val="center"/>
            </w:pPr>
            <w:r>
              <w:t xml:space="preserve">(0.656)</w:t>
            </w:r>
          </w:p>
        </w:tc>
        <w:tc>
          <w:tcPr/>
          <w:p>
            <w:pPr>
              <w:pStyle w:val="Compact"/>
              <w:jc w:val="center"/>
            </w:pPr>
            <w:r>
              <w:t xml:space="preserve">(0.114)</w:t>
            </w:r>
          </w:p>
        </w:tc>
        <w:tc>
          <w:tcPr/>
          <w:p>
            <w:pPr>
              <w:pStyle w:val="Compact"/>
              <w:jc w:val="center"/>
            </w:pPr>
            <w:r>
              <w:t xml:space="preserve">(0.118)</w:t>
            </w:r>
          </w:p>
        </w:tc>
        <w:tc>
          <w:tcPr/>
          <w:p>
            <w:pPr>
              <w:pStyle w:val="Compact"/>
              <w:jc w:val="center"/>
            </w:pPr>
            <w:r>
              <w:t xml:space="preserve">(0.150)</w:t>
            </w:r>
          </w:p>
        </w:tc>
        <w:tc>
          <w:tcPr/>
          <w:p>
            <w:pPr>
              <w:pStyle w:val="Compact"/>
              <w:jc w:val="center"/>
            </w:pPr>
            <w:r>
              <w:t xml:space="preserve">(0.656)</w:t>
            </w:r>
          </w:p>
        </w:tc>
        <w:tc>
          <w:tcPr/>
          <w:p>
            <w:pPr>
              <w:pStyle w:val="Compact"/>
              <w:jc w:val="center"/>
            </w:pPr>
            <w:r>
              <w:t xml:space="preserve">(0.109)</w:t>
            </w:r>
          </w:p>
        </w:tc>
        <w:tc>
          <w:tcPr/>
          <w:p>
            <w:pPr>
              <w:pStyle w:val="Compact"/>
              <w:jc w:val="center"/>
            </w:pPr>
            <w:r>
              <w:t xml:space="preserve">(0.116)</w:t>
            </w:r>
          </w:p>
        </w:tc>
        <w:tc>
          <w:tcPr/>
          <w:p>
            <w:pPr>
              <w:pStyle w:val="Compact"/>
              <w:jc w:val="center"/>
            </w:pPr>
            <w:r>
              <w:t xml:space="preserve">(0.116)</w:t>
            </w:r>
          </w:p>
        </w:tc>
        <w:tc>
          <w:tcPr/>
          <w:p>
            <w:pPr>
              <w:pStyle w:val="Compact"/>
              <w:jc w:val="center"/>
            </w:pPr>
            <w:r>
              <w:t xml:space="preserve">(0.108)</w:t>
            </w:r>
          </w:p>
        </w:tc>
        <w:tc>
          <w:tcPr/>
          <w:p>
            <w:pPr>
              <w:pStyle w:val="Compact"/>
              <w:jc w:val="center"/>
            </w:pPr>
            <w:r>
              <w:t xml:space="preserve">(0.002)</w:t>
            </w:r>
          </w:p>
        </w:tc>
        <w:tc>
          <w:tcPr/>
          <w:p>
            <w:pPr>
              <w:pStyle w:val="Compact"/>
              <w:jc w:val="center"/>
            </w:pPr>
            <w:r>
              <w:t xml:space="preserve">(0.001)</w:t>
            </w:r>
          </w:p>
        </w:tc>
        <w:tc>
          <w:tcPr/>
          <w:p>
            <w:pPr>
              <w:pStyle w:val="Compact"/>
              <w:jc w:val="center"/>
            </w:pPr>
            <w:r>
              <w:t xml:space="preserve">(0.087)</w:t>
            </w:r>
          </w:p>
        </w:tc>
        <w:tc>
          <w:tcPr/>
          <w:p>
            <w:pPr>
              <w:pStyle w:val="Compact"/>
              <w:jc w:val="center"/>
            </w:pPr>
            <w:r>
              <w:t xml:space="preserve">(0.116)</w:t>
            </w:r>
          </w:p>
        </w:tc>
      </w:tr>
      <w:tr>
        <w:tc>
          <w:tcPr/>
          <w:p>
            <w:pPr>
              <w:pStyle w:val="Compact"/>
              <w:jc w:val="left"/>
            </w:pPr>
            <w:r>
              <w:t xml:space="preserve">MiniLM (vs. MPNet)</w:t>
            </w:r>
          </w:p>
        </w:tc>
        <w:tc>
          <w:tcPr/>
          <w:p>
            <w:pPr>
              <w:pStyle w:val="Compact"/>
              <w:jc w:val="center"/>
            </w:pPr>
            <w:r>
              <w:t xml:space="preserve">+0.070</w:t>
            </w:r>
          </w:p>
        </w:tc>
        <w:tc>
          <w:tcPr/>
          <w:p>
            <w:pPr>
              <w:pStyle w:val="Compact"/>
              <w:jc w:val="center"/>
            </w:pPr>
            <w:r>
              <w:t xml:space="preserve">-0.000</w:t>
            </w:r>
          </w:p>
        </w:tc>
        <w:tc>
          <w:tcPr/>
          <w:p>
            <w:pPr>
              <w:pStyle w:val="Compact"/>
              <w:jc w:val="center"/>
            </w:pPr>
            <w:r>
              <w:t xml:space="preserve">+0.035</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+0.070</w:t>
            </w:r>
          </w:p>
        </w:tc>
        <w:tc>
          <w:tcPr/>
          <w:p>
            <w:pPr>
              <w:pStyle w:val="Compact"/>
              <w:jc w:val="center"/>
            </w:pPr>
            <w:r>
              <w:t xml:space="preserve">-0.004</w:t>
            </w:r>
          </w:p>
        </w:tc>
        <w:tc>
          <w:tcPr/>
          <w:p>
            <w:pPr>
              <w:pStyle w:val="Compact"/>
              <w:jc w:val="center"/>
            </w:pPr>
            <w:r>
              <w:t xml:space="preserve">+0.075</w:t>
            </w:r>
          </w:p>
        </w:tc>
        <w:tc>
          <w:tcPr/>
          <w:p>
            <w:pPr>
              <w:pStyle w:val="Compact"/>
              <w:jc w:val="center"/>
            </w:pPr>
            <w:r>
              <w:t xml:space="preserve">+0.063</w:t>
            </w:r>
          </w:p>
        </w:tc>
        <w:tc>
          <w:tcPr/>
          <w:p>
            <w:pPr>
              <w:pStyle w:val="Compact"/>
              <w:jc w:val="center"/>
            </w:pPr>
            <w:r>
              <w:t xml:space="preserve">–</w:t>
            </w:r>
          </w:p>
        </w:tc>
        <w:tc>
          <w:tcPr/>
          <w:p>
            <w:pPr>
              <w:pStyle w:val="Compact"/>
              <w:jc w:val="center"/>
            </w:pPr>
            <w:r>
              <w:t xml:space="preserve">-0.004</w:t>
            </w:r>
          </w:p>
        </w:tc>
        <w:tc>
          <w:tcPr/>
          <w:p>
            <w:pPr>
              <w:pStyle w:val="Compact"/>
              <w:jc w:val="center"/>
            </w:pPr>
            <w:r>
              <w:t xml:space="preserve">+0.361</w:t>
            </w:r>
          </w:p>
        </w:tc>
        <w:tc>
          <w:tcPr/>
          <w:p>
            <w:pPr>
              <w:pStyle w:val="Compact"/>
              <w:jc w:val="center"/>
            </w:pPr>
            <w:r>
              <w:t xml:space="preserve">+0.064</w:t>
            </w:r>
          </w:p>
        </w:tc>
        <w:tc>
          <w:tcPr/>
          <w:p>
            <w:pPr>
              <w:pStyle w:val="Compact"/>
              <w:jc w:val="center"/>
            </w:pPr>
            <w:r>
              <w:t xml:space="preserve">+0.067</w:t>
            </w:r>
          </w:p>
        </w:tc>
        <w:tc>
          <w:tcPr/>
          <w:p>
            <w:pPr>
              <w:pStyle w:val="Compact"/>
              <w:jc w:val="center"/>
            </w:pPr>
            <w:r>
              <w:t xml:space="preserve">+0.531</w:t>
            </w:r>
          </w:p>
        </w:tc>
        <w:tc>
          <w:tcPr/>
          <w:p>
            <w:pPr>
              <w:pStyle w:val="Compact"/>
              <w:jc w:val="center"/>
            </w:pPr>
            <w:r>
              <w:t xml:space="preserve">-0.035</w:t>
            </w:r>
            <m:oMath>
              <m:sSup>
                <m:e>
                  <m:r>
                    <m:t>​</m:t>
                  </m:r>
                </m:e>
                <m:sup>
                  <m:r>
                    <m:rPr>
                      <m:sty m:val="p"/>
                    </m:rPr>
                    <m:t>*</m:t>
                  </m:r>
                  <m:r>
                    <m:rPr>
                      <m:sty m:val="p"/>
                    </m:rPr>
                    <m:t>*</m:t>
                  </m:r>
                </m:sup>
              </m:sSup>
            </m:oMath>
          </w:p>
        </w:tc>
        <w:tc>
          <w:tcPr/>
          <w:p>
            <w:pPr>
              <w:pStyle w:val="Compact"/>
              <w:jc w:val="center"/>
            </w:pPr>
            <w:r>
              <w:t xml:space="preserve">-0.029</w:t>
            </w:r>
            <m:oMath>
              <m:sSup>
                <m:e>
                  <m:r>
                    <m:t>​</m:t>
                  </m:r>
                </m:e>
                <m:sup>
                  <m:r>
                    <m:rPr>
                      <m:sty m:val="p"/>
                    </m:rPr>
                    <m:t>*</m:t>
                  </m:r>
                  <m:r>
                    <m:rPr>
                      <m:sty m:val="p"/>
                    </m:rPr>
                    <m:t>*</m:t>
                  </m:r>
                </m:sup>
              </m:sSup>
            </m:oMath>
          </w:p>
        </w:tc>
        <w:tc>
          <w:tcPr/>
          <w:p>
            <w:pPr>
              <w:pStyle w:val="Compact"/>
              <w:jc w:val="center"/>
            </w:pPr>
            <w:r>
              <w:t xml:space="preserve">+0.237</w:t>
            </w:r>
          </w:p>
        </w:tc>
        <w:tc>
          <w:tcPr/>
          <w:p>
            <w:pPr>
              <w:pStyle w:val="Compact"/>
              <w:jc w:val="center"/>
            </w:pPr>
            <w:r>
              <w:t xml:space="preserve">+0.070</w:t>
            </w:r>
          </w:p>
        </w:tc>
      </w:tr>
      <w:tr>
        <w:tc>
          <w:tcPr/>
          <w:p>
            <w:pPr>
              <w:pStyle w:val="Compact"/>
            </w:pPr>
          </w:p>
        </w:tc>
        <w:tc>
          <w:tcPr/>
          <w:p>
            <w:pPr>
              <w:pStyle w:val="Compact"/>
              <w:jc w:val="center"/>
            </w:pPr>
            <w:r>
              <w:t xml:space="preserve">(0.798)</w:t>
            </w:r>
          </w:p>
        </w:tc>
        <w:tc>
          <w:tcPr/>
          <w:p>
            <w:pPr>
              <w:pStyle w:val="Compact"/>
              <w:jc w:val="center"/>
            </w:pPr>
            <w:r>
              <w:t xml:space="preserve">(0.777)</w:t>
            </w:r>
          </w:p>
        </w:tc>
        <w:tc>
          <w:tcPr/>
          <w:p>
            <w:pPr>
              <w:pStyle w:val="Compact"/>
              <w:jc w:val="center"/>
            </w:pPr>
            <w:r>
              <w:t xml:space="preserve">(1.155)</w:t>
            </w:r>
          </w:p>
        </w:tc>
        <w:tc>
          <w:tcPr/>
          <w:p>
            <w:pPr>
              <w:pStyle w:val="Compact"/>
              <w:jc w:val="center"/>
            </w:pPr>
            <w:r>
              <w:t xml:space="preserve">(1.133)</w:t>
            </w:r>
          </w:p>
        </w:tc>
        <w:tc>
          <w:tcPr/>
          <w:p>
            <w:pPr>
              <w:pStyle w:val="Compact"/>
              <w:jc w:val="center"/>
            </w:pPr>
            <w:r>
              <w:t xml:space="preserve">(0.922)</w:t>
            </w:r>
          </w:p>
        </w:tc>
        <w:tc>
          <w:tcPr/>
          <w:p>
            <w:pPr>
              <w:pStyle w:val="Compact"/>
              <w:jc w:val="center"/>
            </w:pPr>
            <w:r>
              <w:t xml:space="preserve">(0.917)</w:t>
            </w:r>
          </w:p>
        </w:tc>
        <w:tc>
          <w:tcPr/>
          <w:p>
            <w:pPr>
              <w:pStyle w:val="Compact"/>
              <w:jc w:val="center"/>
            </w:pPr>
            <w:r>
              <w:t xml:space="preserve">(0.777)</w:t>
            </w:r>
          </w:p>
        </w:tc>
        <w:tc>
          <w:tcPr/>
          <w:p>
            <w:pPr>
              <w:pStyle w:val="Compact"/>
              <w:jc w:val="center"/>
            </w:pPr>
            <w:r>
              <w:t xml:space="preserve">(1.133)</w:t>
            </w:r>
          </w:p>
        </w:tc>
        <w:tc>
          <w:tcPr/>
          <w:p>
            <w:pPr>
              <w:pStyle w:val="Compact"/>
              <w:jc w:val="center"/>
            </w:pPr>
            <w:r>
              <w:t xml:space="preserve">(0.917)</w:t>
            </w:r>
          </w:p>
        </w:tc>
        <w:tc>
          <w:tcPr/>
          <w:p>
            <w:pPr>
              <w:pStyle w:val="Compact"/>
              <w:jc w:val="center"/>
            </w:pPr>
            <w:r>
              <w:t xml:space="preserve">(0.798)</w:t>
            </w:r>
          </w:p>
        </w:tc>
        <w:tc>
          <w:tcPr/>
          <w:p>
            <w:pPr>
              <w:pStyle w:val="Compact"/>
              <w:jc w:val="center"/>
            </w:pPr>
            <w:r>
              <w:t xml:space="preserve">(0.781)</w:t>
            </w:r>
          </w:p>
        </w:tc>
        <w:tc>
          <w:tcPr/>
          <w:p>
            <w:pPr>
              <w:pStyle w:val="Compact"/>
              <w:jc w:val="center"/>
            </w:pPr>
            <w:r>
              <w:t xml:space="preserve">(0.896)</w:t>
            </w:r>
          </w:p>
        </w:tc>
        <w:tc>
          <w:tcPr/>
          <w:p>
            <w:pPr>
              <w:pStyle w:val="Compact"/>
              <w:jc w:val="center"/>
            </w:pPr>
            <w:r>
              <w:t xml:space="preserve">(0.794)</w:t>
            </w:r>
          </w:p>
        </w:tc>
        <w:tc>
          <w:tcPr/>
          <w:p>
            <w:pPr>
              <w:pStyle w:val="Compact"/>
            </w:pPr>
          </w:p>
        </w:tc>
        <w:tc>
          <w:tcPr/>
          <w:p>
            <w:pPr>
              <w:pStyle w:val="Compact"/>
              <w:jc w:val="center"/>
            </w:pPr>
            <w:r>
              <w:t xml:space="preserve">(0.781)</w:t>
            </w:r>
          </w:p>
        </w:tc>
        <w:tc>
          <w:tcPr/>
          <w:p>
            <w:pPr>
              <w:pStyle w:val="Compact"/>
              <w:jc w:val="center"/>
            </w:pPr>
            <w:r>
              <w:t xml:space="preserve">(1.118)</w:t>
            </w:r>
          </w:p>
        </w:tc>
        <w:tc>
          <w:tcPr/>
          <w:p>
            <w:pPr>
              <w:pStyle w:val="Compact"/>
              <w:jc w:val="center"/>
            </w:pPr>
            <w:r>
              <w:t xml:space="preserve">(0.795)</w:t>
            </w:r>
          </w:p>
        </w:tc>
        <w:tc>
          <w:tcPr/>
          <w:p>
            <w:pPr>
              <w:pStyle w:val="Compact"/>
              <w:jc w:val="center"/>
            </w:pPr>
            <w:r>
              <w:t xml:space="preserve">(0.798)</w:t>
            </w:r>
          </w:p>
        </w:tc>
        <w:tc>
          <w:tcPr/>
          <w:p>
            <w:pPr>
              <w:pStyle w:val="Compact"/>
              <w:jc w:val="center"/>
            </w:pPr>
            <w:r>
              <w:t xml:space="preserve">(1.086)</w:t>
            </w:r>
          </w:p>
        </w:tc>
        <w:tc>
          <w:tcPr/>
          <w:p>
            <w:pPr>
              <w:pStyle w:val="Compact"/>
              <w:jc w:val="center"/>
            </w:pPr>
            <w:r>
              <w:t xml:space="preserve">(0.011)</w:t>
            </w:r>
          </w:p>
        </w:tc>
        <w:tc>
          <w:tcPr/>
          <w:p>
            <w:pPr>
              <w:pStyle w:val="Compact"/>
              <w:jc w:val="center"/>
            </w:pPr>
            <w:r>
              <w:t xml:space="preserve">(0.009)</w:t>
            </w:r>
          </w:p>
        </w:tc>
        <w:tc>
          <w:tcPr/>
          <w:p>
            <w:pPr>
              <w:pStyle w:val="Compact"/>
              <w:jc w:val="center"/>
            </w:pPr>
            <w:r>
              <w:t xml:space="preserve">(0.904)</w:t>
            </w:r>
          </w:p>
        </w:tc>
        <w:tc>
          <w:tcPr/>
          <w:p>
            <w:pPr>
              <w:pStyle w:val="Compact"/>
              <w:jc w:val="center"/>
            </w:pPr>
            <w:r>
              <w:t xml:space="preserve">(0.798)</w:t>
            </w:r>
          </w:p>
        </w:tc>
      </w:tr>
      <w:tr>
        <w:tc>
          <w:tcPr/>
          <w:p>
            <w:pPr>
              <w:pStyle w:val="Compact"/>
              <w:jc w:val="left"/>
            </w:pPr>
            <w:r>
              <w:t xml:space="preserve">SciBERT (vs. MPNet)</w:t>
            </w:r>
          </w:p>
        </w:tc>
        <w:tc>
          <w:tcPr/>
          <w:p>
            <w:pPr>
              <w:pStyle w:val="Compact"/>
              <w:jc w:val="center"/>
            </w:pPr>
            <w:r>
              <w:t xml:space="preserve">-0.097</w:t>
            </w:r>
          </w:p>
        </w:tc>
        <w:tc>
          <w:tcPr/>
          <w:p>
            <w:pPr>
              <w:pStyle w:val="Compact"/>
              <w:jc w:val="center"/>
            </w:pPr>
            <w:r>
              <w:t xml:space="preserve">-0.000</w:t>
            </w:r>
          </w:p>
        </w:tc>
        <w:tc>
          <w:tcPr/>
          <w:p>
            <w:pPr>
              <w:pStyle w:val="Compact"/>
              <w:jc w:val="center"/>
            </w:pPr>
            <w:r>
              <w:t xml:space="preserve">-0.049</w:t>
            </w:r>
          </w:p>
        </w:tc>
        <w:tc>
          <w:tcPr/>
          <w:p>
            <w:pPr>
              <w:pStyle w:val="Compact"/>
              <w:jc w:val="center"/>
            </w:pPr>
            <w:r>
              <w:t xml:space="preserve">-0.000</w:t>
            </w:r>
          </w:p>
        </w:tc>
        <w:tc>
          <w:tcPr/>
          <w:p>
            <w:pPr>
              <w:pStyle w:val="Compact"/>
              <w:jc w:val="center"/>
            </w:pPr>
            <w:r>
              <w:t xml:space="preserve">+0.023</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-0.097</w:t>
            </w:r>
          </w:p>
        </w:tc>
        <w:tc>
          <w:tcPr/>
          <w:p>
            <w:pPr>
              <w:pStyle w:val="Compact"/>
              <w:jc w:val="center"/>
            </w:pPr>
            <w:r>
              <w:t xml:space="preserve">+0.005</w:t>
            </w:r>
          </w:p>
        </w:tc>
        <w:tc>
          <w:tcPr/>
          <w:p>
            <w:pPr>
              <w:pStyle w:val="Compact"/>
              <w:jc w:val="center"/>
            </w:pPr>
            <w:r>
              <w:t xml:space="preserve">-0.104</w:t>
            </w:r>
          </w:p>
        </w:tc>
        <w:tc>
          <w:tcPr/>
          <w:p>
            <w:pPr>
              <w:pStyle w:val="Compact"/>
              <w:jc w:val="center"/>
            </w:pPr>
            <w:r>
              <w:t xml:space="preserve">-0.087</w:t>
            </w:r>
          </w:p>
        </w:tc>
        <w:tc>
          <w:tcPr/>
          <w:p>
            <w:pPr>
              <w:pStyle w:val="Compact"/>
              <w:jc w:val="center"/>
            </w:pPr>
            <w:r>
              <w:t xml:space="preserve">–</w:t>
            </w:r>
          </w:p>
        </w:tc>
        <w:tc>
          <w:tcPr/>
          <w:p>
            <w:pPr>
              <w:pStyle w:val="Compact"/>
              <w:jc w:val="center"/>
            </w:pPr>
            <w:r>
              <w:t xml:space="preserve">+0.005</w:t>
            </w:r>
          </w:p>
        </w:tc>
        <w:tc>
          <w:tcPr/>
          <w:p>
            <w:pPr>
              <w:pStyle w:val="Compact"/>
              <w:jc w:val="center"/>
            </w:pPr>
            <w:r>
              <w:t xml:space="preserve">+2.596</w:t>
            </w:r>
            <m:oMath>
              <m:sSup>
                <m:e>
                  <m:r>
                    <m:t>​</m:t>
                  </m:r>
                </m:e>
                <m:sup>
                  <m:r>
                    <m:rPr>
                      <m:sty m:val="p"/>
                    </m:rPr>
                    <m:t>*</m:t>
                  </m:r>
                </m:sup>
              </m:sSup>
            </m:oMath>
          </w:p>
        </w:tc>
        <w:tc>
          <w:tcPr/>
          <w:p>
            <w:pPr>
              <w:pStyle w:val="Compact"/>
              <w:jc w:val="center"/>
            </w:pPr>
            <w:r>
              <w:t xml:space="preserve">-0.089</w:t>
            </w:r>
          </w:p>
        </w:tc>
        <w:tc>
          <w:tcPr/>
          <w:p>
            <w:pPr>
              <w:pStyle w:val="Compact"/>
              <w:jc w:val="center"/>
            </w:pPr>
            <w:r>
              <w:t xml:space="preserve">-0.092</w:t>
            </w:r>
          </w:p>
        </w:tc>
        <w:tc>
          <w:tcPr/>
          <w:p>
            <w:pPr>
              <w:pStyle w:val="Compact"/>
              <w:jc w:val="center"/>
            </w:pPr>
            <w:r>
              <w:t xml:space="preserve">+2.766</w:t>
            </w:r>
            <m:oMath>
              <m:sSup>
                <m:e>
                  <m:r>
                    <m:t>​</m:t>
                  </m:r>
                </m:e>
                <m:sup>
                  <m:r>
                    <m:rPr>
                      <m:sty m:val="p"/>
                    </m:rPr>
                    <m:t>*</m:t>
                  </m:r>
                </m:sup>
              </m:sSup>
            </m:oMath>
          </w:p>
        </w:tc>
        <w:tc>
          <w:tcPr/>
          <w:p>
            <w:pPr>
              <w:pStyle w:val="Compact"/>
              <w:jc w:val="center"/>
            </w:pPr>
            <w:r>
              <w:t xml:space="preserve">-0.146</w:t>
            </w:r>
            <m:oMath>
              <m:sSup>
                <m:e>
                  <m:r>
                    <m:t>​</m:t>
                  </m:r>
                </m:e>
                <m:sup>
                  <m:r>
                    <m:rPr>
                      <m:sty m:val="p"/>
                    </m:rPr>
                    <m:t>*</m:t>
                  </m:r>
                  <m:r>
                    <m:rPr>
                      <m:sty m:val="p"/>
                    </m:rPr>
                    <m:t>*</m:t>
                  </m:r>
                  <m:r>
                    <m:rPr>
                      <m:sty m:val="p"/>
                    </m:rPr>
                    <m:t>*</m:t>
                  </m:r>
                </m:sup>
              </m:sSup>
            </m:oMath>
          </w:p>
        </w:tc>
        <w:tc>
          <w:tcPr/>
          <w:p>
            <w:pPr>
              <w:pStyle w:val="Compact"/>
              <w:jc w:val="center"/>
            </w:pPr>
            <w:r>
              <w:t xml:space="preserve">-0.128</w:t>
            </w:r>
            <m:oMath>
              <m:sSup>
                <m:e>
                  <m:r>
                    <m:t>​</m:t>
                  </m:r>
                </m:e>
                <m:sup>
                  <m:r>
                    <m:rPr>
                      <m:sty m:val="p"/>
                    </m:rPr>
                    <m:t>*</m:t>
                  </m:r>
                  <m:r>
                    <m:rPr>
                      <m:sty m:val="p"/>
                    </m:rPr>
                    <m:t>*</m:t>
                  </m:r>
                  <m:r>
                    <m:rPr>
                      <m:sty m:val="p"/>
                    </m:rPr>
                    <m:t>*</m:t>
                  </m:r>
                </m:sup>
              </m:sSup>
            </m:oMath>
          </w:p>
        </w:tc>
        <w:tc>
          <w:tcPr/>
          <w:p>
            <w:pPr>
              <w:pStyle w:val="Compact"/>
              <w:jc w:val="center"/>
            </w:pPr>
            <w:r>
              <w:t xml:space="preserve">-3.409</w:t>
            </w:r>
          </w:p>
        </w:tc>
        <w:tc>
          <w:tcPr/>
          <w:p>
            <w:pPr>
              <w:pStyle w:val="Compact"/>
              <w:jc w:val="center"/>
            </w:pPr>
            <w:r>
              <w:t xml:space="preserve">-0.097</w:t>
            </w:r>
          </w:p>
        </w:tc>
      </w:tr>
      <w:tr>
        <w:tc>
          <w:tcPr/>
          <w:p>
            <w:pPr>
              <w:pStyle w:val="Compact"/>
            </w:pPr>
          </w:p>
        </w:tc>
        <w:tc>
          <w:tcPr/>
          <w:p>
            <w:pPr>
              <w:pStyle w:val="Compact"/>
              <w:jc w:val="center"/>
            </w:pPr>
            <w:r>
              <w:t xml:space="preserve">(1.146)</w:t>
            </w:r>
          </w:p>
        </w:tc>
        <w:tc>
          <w:tcPr/>
          <w:p>
            <w:pPr>
              <w:pStyle w:val="Compact"/>
              <w:jc w:val="center"/>
            </w:pPr>
            <w:r>
              <w:t xml:space="preserve">(1.139)</w:t>
            </w:r>
          </w:p>
        </w:tc>
        <w:tc>
          <w:tcPr/>
          <w:p>
            <w:pPr>
              <w:pStyle w:val="Compact"/>
              <w:jc w:val="center"/>
            </w:pPr>
            <w:r>
              <w:t xml:space="preserve">(0.999)</w:t>
            </w:r>
          </w:p>
        </w:tc>
        <w:tc>
          <w:tcPr/>
          <w:p>
            <w:pPr>
              <w:pStyle w:val="Compact"/>
              <w:jc w:val="center"/>
            </w:pPr>
            <w:r>
              <w:t xml:space="preserve">(0.979)</w:t>
            </w:r>
          </w:p>
        </w:tc>
        <w:tc>
          <w:tcPr/>
          <w:p>
            <w:pPr>
              <w:pStyle w:val="Compact"/>
              <w:jc w:val="center"/>
            </w:pPr>
            <w:r>
              <w:t xml:space="preserve">(1.288)</w:t>
            </w:r>
          </w:p>
        </w:tc>
        <w:tc>
          <w:tcPr/>
          <w:p>
            <w:pPr>
              <w:pStyle w:val="Compact"/>
              <w:jc w:val="center"/>
            </w:pPr>
            <w:r>
              <w:t xml:space="preserve">(1.294)</w:t>
            </w:r>
          </w:p>
        </w:tc>
        <w:tc>
          <w:tcPr/>
          <w:p>
            <w:pPr>
              <w:pStyle w:val="Compact"/>
              <w:jc w:val="center"/>
            </w:pPr>
            <w:r>
              <w:t xml:space="preserve">(1.139)</w:t>
            </w:r>
          </w:p>
        </w:tc>
        <w:tc>
          <w:tcPr/>
          <w:p>
            <w:pPr>
              <w:pStyle w:val="Compact"/>
              <w:jc w:val="center"/>
            </w:pPr>
            <w:r>
              <w:t xml:space="preserve">(0.979)</w:t>
            </w:r>
          </w:p>
        </w:tc>
        <w:tc>
          <w:tcPr/>
          <w:p>
            <w:pPr>
              <w:pStyle w:val="Compact"/>
              <w:jc w:val="center"/>
            </w:pPr>
            <w:r>
              <w:t xml:space="preserve">(1.294)</w:t>
            </w:r>
          </w:p>
        </w:tc>
        <w:tc>
          <w:tcPr/>
          <w:p>
            <w:pPr>
              <w:pStyle w:val="Compact"/>
              <w:jc w:val="center"/>
            </w:pPr>
            <w:r>
              <w:t xml:space="preserve">(1.146)</w:t>
            </w:r>
          </w:p>
        </w:tc>
        <w:tc>
          <w:tcPr/>
          <w:p>
            <w:pPr>
              <w:pStyle w:val="Compact"/>
              <w:jc w:val="center"/>
            </w:pPr>
            <w:r>
              <w:t xml:space="preserve">(1.131)</w:t>
            </w:r>
          </w:p>
        </w:tc>
        <w:tc>
          <w:tcPr/>
          <w:p>
            <w:pPr>
              <w:pStyle w:val="Compact"/>
              <w:jc w:val="center"/>
            </w:pPr>
            <w:r>
              <w:t xml:space="preserve">(1.261)</w:t>
            </w:r>
          </w:p>
        </w:tc>
        <w:tc>
          <w:tcPr/>
          <w:p>
            <w:pPr>
              <w:pStyle w:val="Compact"/>
              <w:jc w:val="center"/>
            </w:pPr>
            <w:r>
              <w:t xml:space="preserve">(1.147)</w:t>
            </w:r>
          </w:p>
        </w:tc>
        <w:tc>
          <w:tcPr/>
          <w:p>
            <w:pPr>
              <w:pStyle w:val="Compact"/>
            </w:pPr>
          </w:p>
        </w:tc>
        <w:tc>
          <w:tcPr/>
          <w:p>
            <w:pPr>
              <w:pStyle w:val="Compact"/>
              <w:jc w:val="center"/>
            </w:pPr>
            <w:r>
              <w:t xml:space="preserve">(1.131)</w:t>
            </w:r>
          </w:p>
        </w:tc>
        <w:tc>
          <w:tcPr/>
          <w:p>
            <w:pPr>
              <w:pStyle w:val="Compact"/>
              <w:jc w:val="center"/>
            </w:pPr>
            <w:r>
              <w:t xml:space="preserve">(1.196)</w:t>
            </w:r>
          </w:p>
        </w:tc>
        <w:tc>
          <w:tcPr/>
          <w:p>
            <w:pPr>
              <w:pStyle w:val="Compact"/>
              <w:jc w:val="center"/>
            </w:pPr>
            <w:r>
              <w:t xml:space="preserve">(1.147)</w:t>
            </w:r>
          </w:p>
        </w:tc>
        <w:tc>
          <w:tcPr/>
          <w:p>
            <w:pPr>
              <w:pStyle w:val="Compact"/>
              <w:jc w:val="center"/>
            </w:pPr>
            <w:r>
              <w:t xml:space="preserve">(1.146)</w:t>
            </w:r>
          </w:p>
        </w:tc>
        <w:tc>
          <w:tcPr/>
          <w:p>
            <w:pPr>
              <w:pStyle w:val="Compact"/>
              <w:jc w:val="center"/>
            </w:pPr>
            <w:r>
              <w:t xml:space="preserve">(1.188)</w:t>
            </w:r>
          </w:p>
        </w:tc>
        <w:tc>
          <w:tcPr/>
          <w:p>
            <w:pPr>
              <w:pStyle w:val="Compact"/>
              <w:jc w:val="center"/>
            </w:pPr>
            <w:r>
              <w:t xml:space="preserve">(0.016)</w:t>
            </w:r>
          </w:p>
        </w:tc>
        <w:tc>
          <w:tcPr/>
          <w:p>
            <w:pPr>
              <w:pStyle w:val="Compact"/>
              <w:jc w:val="center"/>
            </w:pPr>
            <w:r>
              <w:t xml:space="preserve">(0.013)</w:t>
            </w:r>
          </w:p>
        </w:tc>
        <w:tc>
          <w:tcPr/>
          <w:p>
            <w:pPr>
              <w:pStyle w:val="Compact"/>
              <w:jc w:val="center"/>
            </w:pPr>
            <w:r>
              <w:t xml:space="preserve">(2.083)</w:t>
            </w:r>
          </w:p>
        </w:tc>
        <w:tc>
          <w:tcPr/>
          <w:p>
            <w:pPr>
              <w:pStyle w:val="Compact"/>
              <w:jc w:val="center"/>
            </w:pPr>
            <w:r>
              <w:t xml:space="preserve">(1.146)</w:t>
            </w:r>
          </w:p>
        </w:tc>
      </w:tr>
      <w:tr>
        <w:tc>
          <w:tcPr/>
          <w:p>
            <w:pPr>
              <w:pStyle w:val="Compact"/>
              <w:jc w:val="left"/>
            </w:pPr>
            <w:r>
              <w:t xml:space="preserve">Concept (vs. keyword)</w:t>
            </w:r>
          </w:p>
        </w:tc>
        <w:tc>
          <w:tcPr/>
          <w:p>
            <w:pPr>
              <w:pStyle w:val="Compact"/>
              <w:jc w:val="center"/>
            </w:pPr>
            <w:r>
              <w:t xml:space="preserve">-0.034</w:t>
            </w:r>
          </w:p>
        </w:tc>
        <w:tc>
          <w:tcPr/>
          <w:p>
            <w:pPr>
              <w:pStyle w:val="Compact"/>
              <w:jc w:val="center"/>
            </w:pPr>
            <w:r>
              <w:t xml:space="preserve">+0.000</w:t>
            </w:r>
          </w:p>
        </w:tc>
        <w:tc>
          <w:tcPr/>
          <w:p>
            <w:pPr>
              <w:pStyle w:val="Compact"/>
              <w:jc w:val="center"/>
            </w:pPr>
            <w:r>
              <w:t xml:space="preserve">-0.017</w:t>
            </w:r>
          </w:p>
        </w:tc>
        <w:tc>
          <w:tcPr/>
          <w:p>
            <w:pPr>
              <w:pStyle w:val="Compact"/>
              <w:jc w:val="center"/>
            </w:pPr>
            <w:r>
              <w:t xml:space="preserve">-0.000</w:t>
            </w:r>
          </w:p>
        </w:tc>
        <w:tc>
          <w:tcPr/>
          <w:p>
            <w:pPr>
              <w:pStyle w:val="Compact"/>
              <w:jc w:val="center"/>
            </w:pPr>
            <w:r>
              <w:t xml:space="preserve">+0.008</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-0.034</w:t>
            </w:r>
          </w:p>
        </w:tc>
        <w:tc>
          <w:tcPr/>
          <w:p>
            <w:pPr>
              <w:pStyle w:val="Compact"/>
              <w:jc w:val="center"/>
            </w:pPr>
            <w:r>
              <w:t xml:space="preserve">+0.002</w:t>
            </w:r>
          </w:p>
        </w:tc>
        <w:tc>
          <w:tcPr/>
          <w:p>
            <w:pPr>
              <w:pStyle w:val="Compact"/>
              <w:jc w:val="center"/>
            </w:pPr>
            <w:r>
              <w:t xml:space="preserve">-0.036</w:t>
            </w:r>
          </w:p>
        </w:tc>
        <w:tc>
          <w:tcPr/>
          <w:p>
            <w:pPr>
              <w:pStyle w:val="Compact"/>
              <w:jc w:val="center"/>
            </w:pPr>
            <w:r>
              <w:t xml:space="preserve">–</w:t>
            </w:r>
          </w:p>
        </w:tc>
        <w:tc>
          <w:tcPr/>
          <w:p>
            <w:pPr>
              <w:pStyle w:val="Compact"/>
              <w:jc w:val="center"/>
            </w:pPr>
            <w:r>
              <w:t xml:space="preserve">-0.060</w:t>
            </w:r>
          </w:p>
        </w:tc>
        <w:tc>
          <w:tcPr/>
          <w:p>
            <w:pPr>
              <w:pStyle w:val="Compact"/>
              <w:jc w:val="center"/>
            </w:pPr>
            <w:r>
              <w:t xml:space="preserve">+0.002</w:t>
            </w:r>
          </w:p>
        </w:tc>
        <w:tc>
          <w:tcPr/>
          <w:p>
            <w:pPr>
              <w:pStyle w:val="Compact"/>
              <w:jc w:val="center"/>
            </w:pPr>
            <w:r>
              <w:t xml:space="preserve">-0.061</w:t>
            </w:r>
          </w:p>
        </w:tc>
        <w:tc>
          <w:tcPr/>
          <w:p>
            <w:pPr>
              <w:pStyle w:val="Compact"/>
              <w:jc w:val="center"/>
            </w:pPr>
            <w:r>
              <w:t xml:space="preserve">-0.627</w:t>
            </w:r>
          </w:p>
        </w:tc>
        <w:tc>
          <w:tcPr/>
          <w:p>
            <w:pPr>
              <w:pStyle w:val="Compact"/>
              <w:jc w:val="center"/>
            </w:pPr>
            <w:r>
              <w:t xml:space="preserve">-0.040</w:t>
            </w:r>
          </w:p>
        </w:tc>
        <w:tc>
          <w:tcPr/>
          <w:p>
            <w:pPr>
              <w:pStyle w:val="Compact"/>
              <w:jc w:val="center"/>
            </w:pPr>
            <w:r>
              <w:t xml:space="preserve">+0.764</w:t>
            </w:r>
          </w:p>
        </w:tc>
        <w:tc>
          <w:tcPr/>
          <w:p>
            <w:pPr>
              <w:pStyle w:val="Compact"/>
              <w:jc w:val="center"/>
            </w:pPr>
            <w:r>
              <w:t xml:space="preserve">+0.107</w:t>
            </w:r>
            <m:oMath>
              <m:sSup>
                <m:e>
                  <m:r>
                    <m:t>​</m:t>
                  </m:r>
                </m:e>
                <m:sup>
                  <m:r>
                    <m:rPr>
                      <m:sty m:val="p"/>
                    </m:rPr>
                    <m:t>*</m:t>
                  </m:r>
                  <m:r>
                    <m:rPr>
                      <m:sty m:val="p"/>
                    </m:rPr>
                    <m:t>*</m:t>
                  </m:r>
                  <m:r>
                    <m:rPr>
                      <m:sty m:val="p"/>
                    </m:rPr>
                    <m:t>*</m:t>
                  </m:r>
                </m:sup>
              </m:sSup>
            </m:oMath>
          </w:p>
        </w:tc>
        <w:tc>
          <w:tcPr/>
          <w:p>
            <w:pPr>
              <w:pStyle w:val="Compact"/>
              <w:jc w:val="center"/>
            </w:pPr>
            <w:r>
              <w:t xml:space="preserve">+0.085</w:t>
            </w:r>
            <m:oMath>
              <m:sSup>
                <m:e>
                  <m:r>
                    <m:t>​</m:t>
                  </m:r>
                </m:e>
                <m:sup>
                  <m:r>
                    <m:rPr>
                      <m:sty m:val="p"/>
                    </m:rPr>
                    <m:t>*</m:t>
                  </m:r>
                  <m:r>
                    <m:rPr>
                      <m:sty m:val="p"/>
                    </m:rPr>
                    <m:t>*</m:t>
                  </m:r>
                  <m:r>
                    <m:rPr>
                      <m:sty m:val="p"/>
                    </m:rPr>
                    <m:t>*</m:t>
                  </m:r>
                </m:sup>
              </m:sSup>
            </m:oMath>
          </w:p>
        </w:tc>
        <w:tc>
          <w:tcPr/>
          <w:p>
            <w:pPr>
              <w:pStyle w:val="Compact"/>
              <w:jc w:val="center"/>
            </w:pPr>
            <w:r>
              <w:t xml:space="preserve">-1.020</w:t>
            </w:r>
          </w:p>
        </w:tc>
        <w:tc>
          <w:tcPr/>
          <w:p>
            <w:pPr>
              <w:pStyle w:val="Compact"/>
              <w:jc w:val="center"/>
            </w:pPr>
            <w:r>
              <w:t xml:space="preserve">-0.034</w:t>
            </w:r>
          </w:p>
        </w:tc>
      </w:tr>
      <w:tr>
        <w:tc>
          <w:tcPr/>
          <w:p>
            <w:pPr>
              <w:pStyle w:val="Compact"/>
            </w:pPr>
          </w:p>
        </w:tc>
        <w:tc>
          <w:tcPr/>
          <w:p>
            <w:pPr>
              <w:pStyle w:val="Compact"/>
              <w:jc w:val="center"/>
            </w:pPr>
            <w:r>
              <w:t xml:space="preserve">(0.669)</w:t>
            </w:r>
          </w:p>
        </w:tc>
        <w:tc>
          <w:tcPr/>
          <w:p>
            <w:pPr>
              <w:pStyle w:val="Compact"/>
              <w:jc w:val="center"/>
            </w:pPr>
            <w:r>
              <w:t xml:space="preserve">(0.662)</w:t>
            </w:r>
          </w:p>
        </w:tc>
        <w:tc>
          <w:tcPr/>
          <w:p>
            <w:pPr>
              <w:pStyle w:val="Compact"/>
              <w:jc w:val="center"/>
            </w:pPr>
            <w:r>
              <w:t xml:space="preserve">(0.777)</w:t>
            </w:r>
          </w:p>
        </w:tc>
        <w:tc>
          <w:tcPr/>
          <w:p>
            <w:pPr>
              <w:pStyle w:val="Compact"/>
              <w:jc w:val="center"/>
            </w:pPr>
            <w:r>
              <w:t xml:space="preserve">(0.800)</w:t>
            </w:r>
          </w:p>
        </w:tc>
        <w:tc>
          <w:tcPr/>
          <w:p>
            <w:pPr>
              <w:pStyle w:val="Compact"/>
              <w:jc w:val="center"/>
            </w:pPr>
            <w:r>
              <w:t xml:space="preserve">(0.952)</w:t>
            </w:r>
          </w:p>
        </w:tc>
        <w:tc>
          <w:tcPr/>
          <w:p>
            <w:pPr>
              <w:pStyle w:val="Compact"/>
              <w:jc w:val="center"/>
            </w:pPr>
            <w:r>
              <w:t xml:space="preserve">(0.960)</w:t>
            </w:r>
          </w:p>
        </w:tc>
        <w:tc>
          <w:tcPr/>
          <w:p>
            <w:pPr>
              <w:pStyle w:val="Compact"/>
              <w:jc w:val="center"/>
            </w:pPr>
            <w:r>
              <w:t xml:space="preserve">(0.662)</w:t>
            </w:r>
          </w:p>
        </w:tc>
        <w:tc>
          <w:tcPr/>
          <w:p>
            <w:pPr>
              <w:pStyle w:val="Compact"/>
              <w:jc w:val="center"/>
            </w:pPr>
            <w:r>
              <w:t xml:space="preserve">(0.800)</w:t>
            </w:r>
          </w:p>
        </w:tc>
        <w:tc>
          <w:tcPr/>
          <w:p>
            <w:pPr>
              <w:pStyle w:val="Compact"/>
              <w:jc w:val="center"/>
            </w:pPr>
            <w:r>
              <w:t xml:space="preserve">(0.960)</w:t>
            </w:r>
          </w:p>
        </w:tc>
        <w:tc>
          <w:tcPr/>
          <w:p>
            <w:pPr>
              <w:pStyle w:val="Compact"/>
              <w:jc w:val="center"/>
            </w:pPr>
            <w:r>
              <w:t xml:space="preserve">(0.632)</w:t>
            </w:r>
          </w:p>
        </w:tc>
        <w:tc>
          <w:tcPr/>
          <w:p>
            <w:pPr>
              <w:pStyle w:val="Compact"/>
              <w:jc w:val="center"/>
            </w:pPr>
            <w:r>
              <w:t xml:space="preserve">(0.688)</w:t>
            </w:r>
          </w:p>
        </w:tc>
        <w:tc>
          <w:tcPr/>
          <w:p>
            <w:pPr>
              <w:pStyle w:val="Compact"/>
              <w:jc w:val="center"/>
            </w:pPr>
            <w:r>
              <w:t xml:space="preserve">(0.678)</w:t>
            </w:r>
          </w:p>
        </w:tc>
        <w:tc>
          <w:tcPr/>
          <w:p>
            <w:pPr>
              <w:pStyle w:val="Compact"/>
            </w:pPr>
          </w:p>
        </w:tc>
        <w:tc>
          <w:tcPr/>
          <w:p>
            <w:pPr>
              <w:pStyle w:val="Compact"/>
              <w:jc w:val="center"/>
            </w:pPr>
            <w:r>
              <w:t xml:space="preserve">(0.755)</w:t>
            </w:r>
          </w:p>
        </w:tc>
        <w:tc>
          <w:tcPr/>
          <w:p>
            <w:pPr>
              <w:pStyle w:val="Compact"/>
              <w:jc w:val="center"/>
            </w:pPr>
            <w:r>
              <w:t xml:space="preserve">(0.660)</w:t>
            </w:r>
          </w:p>
        </w:tc>
        <w:tc>
          <w:tcPr/>
          <w:p>
            <w:pPr>
              <w:pStyle w:val="Compact"/>
              <w:jc w:val="center"/>
            </w:pPr>
            <w:r>
              <w:t xml:space="preserve">(0.681)</w:t>
            </w:r>
          </w:p>
        </w:tc>
        <w:tc>
          <w:tcPr/>
          <w:p>
            <w:pPr>
              <w:pStyle w:val="Compact"/>
              <w:jc w:val="center"/>
            </w:pPr>
            <w:r>
              <w:t xml:space="preserve">(1.019)</w:t>
            </w:r>
          </w:p>
        </w:tc>
        <w:tc>
          <w:tcPr/>
          <w:p>
            <w:pPr>
              <w:pStyle w:val="Compact"/>
              <w:jc w:val="center"/>
            </w:pPr>
            <w:r>
              <w:t xml:space="preserve">(0.674)</w:t>
            </w:r>
          </w:p>
        </w:tc>
        <w:tc>
          <w:tcPr/>
          <w:p>
            <w:pPr>
              <w:pStyle w:val="Compact"/>
              <w:jc w:val="center"/>
            </w:pPr>
            <w:r>
              <w:t xml:space="preserve">(0.802)</w:t>
            </w:r>
          </w:p>
        </w:tc>
        <w:tc>
          <w:tcPr/>
          <w:p>
            <w:pPr>
              <w:pStyle w:val="Compact"/>
              <w:jc w:val="center"/>
            </w:pPr>
            <w:r>
              <w:t xml:space="preserve">(0.014)</w:t>
            </w:r>
          </w:p>
        </w:tc>
        <w:tc>
          <w:tcPr/>
          <w:p>
            <w:pPr>
              <w:pStyle w:val="Compact"/>
              <w:jc w:val="center"/>
            </w:pPr>
            <w:r>
              <w:t xml:space="preserve">(0.010)</w:t>
            </w:r>
          </w:p>
        </w:tc>
        <w:tc>
          <w:tcPr/>
          <w:p>
            <w:pPr>
              <w:pStyle w:val="Compact"/>
              <w:jc w:val="center"/>
            </w:pPr>
            <w:r>
              <w:t xml:space="preserve">(1.217)</w:t>
            </w:r>
          </w:p>
        </w:tc>
        <w:tc>
          <w:tcPr/>
          <w:p>
            <w:pPr>
              <w:pStyle w:val="Compact"/>
              <w:jc w:val="center"/>
            </w:pPr>
            <w:r>
              <w:t xml:space="preserve">(0.669)</w:t>
            </w:r>
          </w:p>
        </w:tc>
      </w:tr>
      <w:tr>
        <w:tc>
          <w:tcPr/>
          <w:p>
            <w:pPr>
              <w:pStyle w:val="Compact"/>
              <w:jc w:val="left"/>
            </w:pPr>
            <w:r>
              <w:t xml:space="preserve">Cap 20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+0.003</w:t>
            </w:r>
            <m:oMath>
              <m:sSup>
                <m:e>
                  <m:r>
                    <m:t>​</m:t>
                  </m:r>
                </m:e>
                <m:sup>
                  <m:r>
                    <m:rPr>
                      <m:sty m:val="p"/>
                    </m:rPr>
                    <m:t>*</m:t>
                  </m:r>
                </m:sup>
              </m:sSup>
            </m:oMath>
          </w:p>
        </w:tc>
        <w:tc>
          <w:tcPr/>
          <w:p>
            <w:pPr>
              <w:pStyle w:val="Compact"/>
              <w:jc w:val="center"/>
            </w:pPr>
            <w:r>
              <w:t xml:space="preserve">+0.003</w:t>
            </w:r>
            <m:oMath>
              <m:sSup>
                <m:e>
                  <m:r>
                    <m:t>​</m:t>
                  </m:r>
                </m:e>
                <m:sup>
                  <m:r>
                    <m:rPr>
                      <m:sty m:val="p"/>
                    </m:rPr>
                    <m:t>*</m:t>
                  </m:r>
                </m:sup>
              </m:sSup>
            </m:oMath>
          </w:p>
        </w:tc>
        <w:tc>
          <w:tcPr/>
          <w:p>
            <w:pPr>
              <w:pStyle w:val="Compact"/>
              <w:jc w:val="center"/>
            </w:pPr>
            <w:r>
              <w:t xml:space="preserve">-0.055</w:t>
            </w:r>
          </w:p>
        </w:tc>
        <w:tc>
          <w:tcPr/>
          <w:p>
            <w:pPr>
              <w:pStyle w:val="Compact"/>
              <w:jc w:val="center"/>
            </w:pPr>
            <w:r>
              <w:t xml:space="preserve">-0.000</w:t>
            </w:r>
          </w:p>
        </w:tc>
      </w:tr>
      <w:tr>
        <w:tc>
          <w:tcPr/>
          <w:p>
            <w:pPr>
              <w:pStyle w:val="Compact"/>
            </w:pP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(0.160)</w:t>
            </w:r>
          </w:p>
        </w:tc>
        <w:tc>
          <w:tcPr/>
          <w:p>
            <w:pPr>
              <w:pStyle w:val="Compact"/>
              <w:jc w:val="center"/>
            </w:pPr>
            <w:r>
              <w:t xml:space="preserve">(0.102)</w:t>
            </w:r>
          </w:p>
        </w:tc>
        <w:tc>
          <w:tcPr/>
          <w:p>
            <w:pPr>
              <w:pStyle w:val="Compact"/>
              <w:jc w:val="center"/>
            </w:pPr>
            <w:r>
              <w:t xml:space="preserve">(0.100)</w:t>
            </w:r>
          </w:p>
        </w:tc>
        <w:tc>
          <w:tcPr/>
          <w:p>
            <w:pPr>
              <w:pStyle w:val="Compact"/>
              <w:jc w:val="center"/>
            </w:pPr>
            <w:r>
              <w:t xml:space="preserve">(0.160)</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(0.109)</w:t>
            </w:r>
          </w:p>
        </w:tc>
        <w:tc>
          <w:tcPr/>
          <w:p>
            <w:pPr>
              <w:pStyle w:val="Compact"/>
              <w:jc w:val="center"/>
            </w:pPr>
            <w:r>
              <w:t xml:space="preserve">(0.137)</w:t>
            </w:r>
          </w:p>
        </w:tc>
        <w:tc>
          <w:tcPr/>
          <w:p>
            <w:pPr>
              <w:pStyle w:val="Compact"/>
              <w:jc w:val="center"/>
            </w:pPr>
            <w:r>
              <w:t xml:space="preserve">(0.184)</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(0.102)</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(0.332)</w:t>
            </w:r>
          </w:p>
        </w:tc>
        <w:tc>
          <w:tcPr/>
          <w:p>
            <w:pPr>
              <w:pStyle w:val="Compact"/>
              <w:jc w:val="center"/>
            </w:pPr>
            <w:r>
              <w:t xml:space="preserve">(0.102)</w:t>
            </w:r>
          </w:p>
        </w:tc>
      </w:tr>
      <w:tr>
        <w:tc>
          <w:tcPr/>
          <w:p>
            <w:pPr>
              <w:pStyle w:val="Compact"/>
              <w:jc w:val="left"/>
            </w:pPr>
            <w:r>
              <w:t xml:space="preserve">No cap (vs. 50)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+0.001</w:t>
            </w:r>
          </w:p>
        </w:tc>
        <w:tc>
          <w:tcPr/>
          <w:p>
            <w:pPr>
              <w:pStyle w:val="Compact"/>
              <w:jc w:val="center"/>
            </w:pPr>
            <w:r>
              <w:t xml:space="preserve">+0.001</w:t>
            </w:r>
          </w:p>
        </w:tc>
        <w:tc>
          <w:tcPr/>
          <w:p>
            <w:pPr>
              <w:pStyle w:val="Compact"/>
              <w:jc w:val="center"/>
            </w:pPr>
            <w:r>
              <w:t xml:space="preserve">-0.157</w:t>
            </w:r>
          </w:p>
        </w:tc>
        <w:tc>
          <w:tcPr/>
          <w:p>
            <w:pPr>
              <w:pStyle w:val="Compact"/>
              <w:jc w:val="center"/>
            </w:pPr>
            <w:r>
              <w:t xml:space="preserve">-0.000</w:t>
            </w:r>
          </w:p>
        </w:tc>
      </w:tr>
      <w:tr>
        <w:tc>
          <w:tcPr/>
          <w:p>
            <w:pPr>
              <w:pStyle w:val="Compact"/>
            </w:pP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(0.151)</w:t>
            </w:r>
          </w:p>
        </w:tc>
        <w:tc>
          <w:tcPr/>
          <w:p>
            <w:pPr>
              <w:pStyle w:val="Compact"/>
              <w:jc w:val="center"/>
            </w:pPr>
            <w:r>
              <w:t xml:space="preserve">(0.248)</w:t>
            </w:r>
          </w:p>
        </w:tc>
        <w:tc>
          <w:tcPr/>
          <w:p>
            <w:pPr>
              <w:pStyle w:val="Compact"/>
              <w:jc w:val="center"/>
            </w:pPr>
            <w:r>
              <w:t xml:space="preserve">(0.193)</w:t>
            </w:r>
          </w:p>
        </w:tc>
        <w:tc>
          <w:tcPr/>
          <w:p>
            <w:pPr>
              <w:pStyle w:val="Compact"/>
              <w:jc w:val="center"/>
            </w:pPr>
            <w:r>
              <w:t xml:space="preserve">(0.151)</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(0.277)</w:t>
            </w:r>
          </w:p>
        </w:tc>
        <w:tc>
          <w:tcPr/>
          <w:p>
            <w:pPr>
              <w:pStyle w:val="Compact"/>
              <w:jc w:val="center"/>
            </w:pPr>
            <w:r>
              <w:t xml:space="preserve">(0.232)</w:t>
            </w:r>
          </w:p>
        </w:tc>
        <w:tc>
          <w:tcPr/>
          <w:p>
            <w:pPr>
              <w:pStyle w:val="Compact"/>
              <w:jc w:val="center"/>
            </w:pPr>
            <w:r>
              <w:t xml:space="preserve">(0.279)</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(0.248)</w:t>
            </w:r>
          </w:p>
        </w:tc>
        <w:tc>
          <w:tcPr/>
          <w:p>
            <w:pPr>
              <w:pStyle w:val="Compact"/>
              <w:jc w:val="center"/>
            </w:pPr>
            <w:r>
              <w:t xml:space="preserve">(0.003)</w:t>
            </w:r>
          </w:p>
        </w:tc>
        <w:tc>
          <w:tcPr/>
          <w:p>
            <w:pPr>
              <w:pStyle w:val="Compact"/>
              <w:jc w:val="center"/>
            </w:pPr>
            <w:r>
              <w:t xml:space="preserve">(0.002)</w:t>
            </w:r>
          </w:p>
        </w:tc>
        <w:tc>
          <w:tcPr/>
          <w:p>
            <w:pPr>
              <w:pStyle w:val="Compact"/>
              <w:jc w:val="center"/>
            </w:pPr>
            <w:r>
              <w:t xml:space="preserve">(0.406)</w:t>
            </w:r>
          </w:p>
        </w:tc>
        <w:tc>
          <w:tcPr/>
          <w:p>
            <w:pPr>
              <w:pStyle w:val="Compact"/>
              <w:jc w:val="center"/>
            </w:pPr>
            <w:r>
              <w:t xml:space="preserve">(0.248)</w:t>
            </w:r>
          </w:p>
        </w:tc>
      </w:tr>
      <w:tr>
        <w:tc>
          <w:tcPr/>
          <w:p>
            <w:pPr>
              <w:pStyle w:val="Compact"/>
              <w:jc w:val="left"/>
            </w:pPr>
            <w:r>
              <w:t xml:space="preserve">MLP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+0.569</w:t>
            </w:r>
          </w:p>
        </w:tc>
        <w:tc>
          <w:tcPr/>
          <w:p>
            <w:pPr>
              <w:pStyle w:val="Compact"/>
              <w:jc w:val="center"/>
            </w:pPr>
            <w:r>
              <w:t xml:space="preserve">+0.494</w:t>
            </w:r>
          </w:p>
        </w:tc>
        <w:tc>
          <w:tcPr/>
          <w:p>
            <w:pPr>
              <w:pStyle w:val="Compact"/>
              <w:jc w:val="center"/>
            </w:pPr>
            <w:r>
              <w:t xml:space="preserve">+0.012</w:t>
            </w:r>
            <m:oMath>
              <m:sSup>
                <m:e>
                  <m:r>
                    <m:t>​</m:t>
                  </m:r>
                </m:e>
                <m:sup>
                  <m:r>
                    <m:rPr>
                      <m:sty m:val="p"/>
                    </m:rPr>
                    <m:t>*</m:t>
                  </m:r>
                </m:sup>
              </m:sSup>
            </m:oMath>
          </w:p>
        </w:tc>
        <w:tc>
          <w:tcPr/>
          <w:p>
            <w:pPr>
              <w:pStyle w:val="Compact"/>
              <w:jc w:val="center"/>
            </w:pPr>
            <w:r>
              <w:t xml:space="preserve">+0.010</w:t>
            </w:r>
            <m:oMath>
              <m:sSup>
                <m:e>
                  <m:r>
                    <m:t>​</m:t>
                  </m:r>
                </m:e>
                <m:sup>
                  <m:r>
                    <m:rPr>
                      <m:sty m:val="p"/>
                    </m:rPr>
                    <m:t>*</m:t>
                  </m:r>
                </m:sup>
              </m:sSup>
            </m:oMath>
          </w:p>
        </w:tc>
        <w:tc>
          <w:tcPr/>
          <w:p>
            <w:pPr>
              <w:pStyle w:val="Compact"/>
              <w:jc w:val="center"/>
            </w:pPr>
            <w:r>
              <w:t xml:space="preserve">-0.821</w:t>
            </w:r>
          </w:p>
        </w:tc>
        <w:tc>
          <w:tcPr/>
          <w:p>
            <w:pPr>
              <w:pStyle w:val="Compact"/>
              <w:jc w:val="center"/>
            </w:pPr>
            <w:r>
              <w:t xml:space="preserve">-0.000</w:t>
            </w:r>
          </w:p>
        </w:tc>
      </w:tr>
      <w:tr>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(0.479)</w:t>
            </w:r>
          </w:p>
        </w:tc>
        <w:tc>
          <w:tcPr/>
          <w:p>
            <w:pPr>
              <w:pStyle w:val="Compact"/>
              <w:jc w:val="center"/>
            </w:pPr>
            <w:r>
              <w:t xml:space="preserve">(0.309)</w:t>
            </w:r>
          </w:p>
        </w:tc>
        <w:tc>
          <w:tcPr/>
          <w:p>
            <w:pPr>
              <w:pStyle w:val="Compact"/>
              <w:jc w:val="center"/>
            </w:pPr>
            <w:r>
              <w:t xml:space="preserve">(0.309)</w:t>
            </w:r>
          </w:p>
        </w:tc>
        <w:tc>
          <w:tcPr/>
          <w:p>
            <w:pPr>
              <w:pStyle w:val="Compact"/>
              <w:jc w:val="center"/>
            </w:pPr>
            <w:r>
              <w:t xml:space="preserve">(0.395)</w:t>
            </w:r>
          </w:p>
        </w:tc>
        <w:tc>
          <w:tcPr/>
          <w:p>
            <w:pPr>
              <w:pStyle w:val="Compact"/>
              <w:jc w:val="center"/>
            </w:pPr>
            <w:r>
              <w:t xml:space="preserve">(0.479)</w:t>
            </w:r>
          </w:p>
        </w:tc>
        <w:tc>
          <w:tcPr/>
          <w:p>
            <w:pPr>
              <w:pStyle w:val="Compact"/>
              <w:jc w:val="center"/>
            </w:pPr>
            <w:r>
              <w:t xml:space="preserve">(0.309)</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(0.564)</w:t>
            </w:r>
          </w:p>
        </w:tc>
        <w:tc>
          <w:tcPr/>
          <w:p>
            <w:pPr>
              <w:pStyle w:val="Compact"/>
            </w:pPr>
          </w:p>
        </w:tc>
        <w:tc>
          <w:tcPr/>
          <w:p>
            <w:pPr>
              <w:pStyle w:val="Compact"/>
              <w:jc w:val="center"/>
            </w:pPr>
            <w:r>
              <w:t xml:space="preserve">(0.395)</w:t>
            </w:r>
          </w:p>
        </w:tc>
        <w:tc>
          <w:tcPr/>
          <w:p>
            <w:pPr>
              <w:pStyle w:val="Compact"/>
              <w:jc w:val="center"/>
            </w:pPr>
            <w:r>
              <w:t xml:space="preserve">(0.395)</w:t>
            </w:r>
          </w:p>
        </w:tc>
        <w:tc>
          <w:tcPr/>
          <w:p>
            <w:pPr>
              <w:pStyle w:val="Compact"/>
              <w:jc w:val="center"/>
            </w:pPr>
            <w:r>
              <w:t xml:space="preserve">(0.512)</w:t>
            </w:r>
          </w:p>
        </w:tc>
        <w:tc>
          <w:tcPr/>
          <w:p>
            <w:pPr>
              <w:pStyle w:val="Compact"/>
              <w:jc w:val="center"/>
            </w:pPr>
            <w:r>
              <w:t xml:space="preserve">(0.537)</w:t>
            </w:r>
          </w:p>
        </w:tc>
        <w:tc>
          <w:tcPr/>
          <w:p>
            <w:pPr>
              <w:pStyle w:val="Compact"/>
              <w:jc w:val="center"/>
            </w:pPr>
            <w:r>
              <w:t xml:space="preserve">(0.004)</w:t>
            </w:r>
          </w:p>
        </w:tc>
        <w:tc>
          <w:tcPr/>
          <w:p>
            <w:pPr>
              <w:pStyle w:val="Compact"/>
              <w:jc w:val="center"/>
            </w:pPr>
            <w:r>
              <w:t xml:space="preserve">(0.004)</w:t>
            </w:r>
          </w:p>
        </w:tc>
        <w:tc>
          <w:tcPr/>
          <w:p>
            <w:pPr>
              <w:pStyle w:val="Compact"/>
              <w:jc w:val="center"/>
            </w:pPr>
            <w:r>
              <w:t xml:space="preserve">(0.878)</w:t>
            </w:r>
          </w:p>
        </w:tc>
        <w:tc>
          <w:tcPr/>
          <w:p>
            <w:pPr>
              <w:pStyle w:val="Compact"/>
              <w:jc w:val="center"/>
            </w:pPr>
            <w:r>
              <w:t xml:space="preserve">(0.395)</w:t>
            </w:r>
          </w:p>
        </w:tc>
      </w:tr>
      <w:tr>
        <w:tc>
          <w:tcPr/>
          <w:p>
            <w:pPr>
              <w:pStyle w:val="Compact"/>
              <w:jc w:val="left"/>
            </w:pPr>
            <w:r>
              <w:t xml:space="preserve">ZS (vs. LR)</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+0.778</w:t>
            </w:r>
          </w:p>
        </w:tc>
        <w:tc>
          <w:tcPr/>
          <w:p>
            <w:pPr>
              <w:pStyle w:val="Compact"/>
              <w:jc w:val="center"/>
            </w:pPr>
            <w:r>
              <w:t xml:space="preserve">+0.703</w:t>
            </w:r>
          </w:p>
        </w:tc>
        <w:tc>
          <w:tcPr/>
          <w:p>
            <w:pPr>
              <w:pStyle w:val="Compact"/>
              <w:jc w:val="center"/>
            </w:pPr>
            <w:r>
              <w:t xml:space="preserve">+0.003</w:t>
            </w:r>
          </w:p>
        </w:tc>
        <w:tc>
          <w:tcPr/>
          <w:p>
            <w:pPr>
              <w:pStyle w:val="Compact"/>
              <w:jc w:val="center"/>
            </w:pPr>
            <w:r>
              <w:t xml:space="preserve">+0.003</w:t>
            </w:r>
          </w:p>
        </w:tc>
        <w:tc>
          <w:tcPr/>
          <w:p>
            <w:pPr>
              <w:pStyle w:val="Compact"/>
              <w:jc w:val="center"/>
            </w:pPr>
            <w:r>
              <w:t xml:space="preserve">-0.787</w:t>
            </w:r>
          </w:p>
        </w:tc>
        <w:tc>
          <w:tcPr/>
          <w:p>
            <w:pPr>
              <w:pStyle w:val="Compact"/>
              <w:jc w:val="center"/>
            </w:pPr>
            <w:r>
              <w:t xml:space="preserve">+0.000</w:t>
            </w:r>
          </w:p>
        </w:tc>
      </w:tr>
      <w:tr>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(1.302)</w:t>
            </w:r>
          </w:p>
        </w:tc>
        <w:tc>
          <w:tcPr/>
          <w:p>
            <w:pPr>
              <w:pStyle w:val="Compact"/>
              <w:jc w:val="center"/>
            </w:pPr>
            <w:r>
              <w:t xml:space="preserve">(0.823)</w:t>
            </w:r>
          </w:p>
        </w:tc>
        <w:tc>
          <w:tcPr/>
          <w:p>
            <w:pPr>
              <w:pStyle w:val="Compact"/>
              <w:jc w:val="center"/>
            </w:pPr>
            <w:r>
              <w:t xml:space="preserve">(0.823)</w:t>
            </w:r>
          </w:p>
        </w:tc>
        <w:tc>
          <w:tcPr/>
          <w:p>
            <w:pPr>
              <w:pStyle w:val="Compact"/>
              <w:jc w:val="center"/>
            </w:pPr>
            <w:r>
              <w:t xml:space="preserve">(0.723)</w:t>
            </w:r>
          </w:p>
        </w:tc>
        <w:tc>
          <w:tcPr/>
          <w:p>
            <w:pPr>
              <w:pStyle w:val="Compact"/>
              <w:jc w:val="center"/>
            </w:pPr>
            <w:r>
              <w:t xml:space="preserve">(1.302)</w:t>
            </w:r>
          </w:p>
        </w:tc>
        <w:tc>
          <w:tcPr/>
          <w:p>
            <w:pPr>
              <w:pStyle w:val="Compact"/>
              <w:jc w:val="center"/>
            </w:pPr>
            <w:r>
              <w:t xml:space="preserve">(0.823)</w:t>
            </w:r>
          </w:p>
        </w:tc>
        <w:tc>
          <w:tcPr/>
          <w:p>
            <w:pPr>
              <w:pStyle w:val="Compact"/>
            </w:pPr>
          </w:p>
        </w:tc>
        <w:tc>
          <w:tcPr/>
          <w:p>
            <w:pPr>
              <w:pStyle w:val="Compact"/>
              <w:jc w:val="center"/>
            </w:pPr>
            <w:r>
              <w:t xml:space="preserve">(0.723)</w:t>
            </w:r>
          </w:p>
        </w:tc>
        <w:tc>
          <w:tcPr/>
          <w:p>
            <w:pPr>
              <w:pStyle w:val="Compact"/>
            </w:pPr>
          </w:p>
        </w:tc>
        <w:tc>
          <w:tcPr/>
          <w:p>
            <w:pPr>
              <w:pStyle w:val="Compact"/>
              <w:jc w:val="center"/>
            </w:pPr>
            <w:r>
              <w:t xml:space="preserve">(0.729)</w:t>
            </w:r>
          </w:p>
        </w:tc>
        <w:tc>
          <w:tcPr/>
          <w:p>
            <w:pPr>
              <w:pStyle w:val="Compact"/>
              <w:jc w:val="center"/>
            </w:pPr>
            <w:r>
              <w:t xml:space="preserve">(0.980)</w:t>
            </w:r>
          </w:p>
        </w:tc>
        <w:tc>
          <w:tcPr/>
          <w:p>
            <w:pPr>
              <w:pStyle w:val="Compact"/>
            </w:pPr>
          </w:p>
        </w:tc>
        <w:tc>
          <w:tcPr/>
          <w:p>
            <w:pPr>
              <w:pStyle w:val="Compact"/>
              <w:jc w:val="center"/>
            </w:pPr>
            <w:r>
              <w:t xml:space="preserve">(0.723)</w:t>
            </w:r>
          </w:p>
        </w:tc>
        <w:tc>
          <w:tcPr/>
          <w:p>
            <w:pPr>
              <w:pStyle w:val="Compact"/>
              <w:jc w:val="center"/>
            </w:pPr>
            <w:r>
              <w:t xml:space="preserve">(0.723)</w:t>
            </w:r>
          </w:p>
        </w:tc>
        <w:tc>
          <w:tcPr/>
          <w:p>
            <w:pPr>
              <w:pStyle w:val="Compact"/>
              <w:jc w:val="center"/>
            </w:pPr>
            <w:r>
              <w:t xml:space="preserve">(0.896)</w:t>
            </w:r>
          </w:p>
        </w:tc>
        <w:tc>
          <w:tcPr/>
          <w:p>
            <w:pPr>
              <w:pStyle w:val="Compact"/>
              <w:jc w:val="center"/>
            </w:pPr>
            <w:r>
              <w:t xml:space="preserve">(0.910)</w:t>
            </w:r>
          </w:p>
        </w:tc>
        <w:tc>
          <w:tcPr/>
          <w:p>
            <w:pPr>
              <w:pStyle w:val="Compact"/>
              <w:jc w:val="center"/>
            </w:pPr>
            <w:r>
              <w:t xml:space="preserve">(0.008)</w:t>
            </w:r>
          </w:p>
        </w:tc>
        <w:tc>
          <w:tcPr/>
          <w:p>
            <w:pPr>
              <w:pStyle w:val="Compact"/>
              <w:jc w:val="center"/>
            </w:pPr>
            <w:r>
              <w:t xml:space="preserve">(0.006)</w:t>
            </w:r>
          </w:p>
        </w:tc>
        <w:tc>
          <w:tcPr/>
          <w:p>
            <w:pPr>
              <w:pStyle w:val="Compact"/>
              <w:jc w:val="center"/>
            </w:pPr>
            <w:r>
              <w:t xml:space="preserve">(1.283)</w:t>
            </w:r>
          </w:p>
        </w:tc>
        <w:tc>
          <w:tcPr/>
          <w:p>
            <w:pPr>
              <w:pStyle w:val="Compact"/>
              <w:jc w:val="center"/>
            </w:pPr>
            <w:r>
              <w:t xml:space="preserve">(0.723)</w:t>
            </w:r>
          </w:p>
        </w:tc>
      </w:tr>
      <w:tr>
        <w:tc>
          <w:tcPr/>
          <w:p>
            <w:pPr>
              <w:pStyle w:val="Compact"/>
              <w:jc w:val="left"/>
            </w:pPr>
            <w:r>
              <w:t xml:space="preserve">Domination (research%</w:t>
            </w:r>
            <w:r>
              <w:t xml:space="preserve"> </w:t>
            </w:r>
            <m:oMath>
              <m:r>
                <m:rPr>
                  <m:sty m:val="p"/>
                </m:rPr>
                <m:t>−</m:t>
              </m:r>
            </m:oMath>
            <w:r>
              <w:t xml:space="preserve"> </w:t>
            </w:r>
            <w:r>
              <w:t xml:space="preserve">policy%)</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w:t>
            </w:r>
          </w:p>
        </w:tc>
        <w:tc>
          <w:tcPr/>
          <w:p>
            <w:pPr>
              <w:pStyle w:val="Compact"/>
              <w:jc w:val="center"/>
            </w:pPr>
            <w:r>
              <w:t xml:space="preserve">+0.141</w:t>
            </w:r>
          </w:p>
        </w:tc>
        <w:tc>
          <w:tcPr/>
          <w:p>
            <w:pPr>
              <w:pStyle w:val="Compact"/>
              <w:jc w:val="center"/>
            </w:pPr>
            <w:r>
              <w:t xml:space="preserve">–</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jc w:val="center"/>
            </w:pPr>
            <w:r>
              <w:t xml:space="preserve">(0.097)</w:t>
            </w:r>
          </w:p>
        </w:tc>
        <w:tc>
          <w:tcPr/>
          <w:p>
            <w:pPr>
              <w:pStyle w:val="Compact"/>
            </w:pPr>
          </w:p>
        </w:tc>
        <w:tc>
          <w:tcPr/>
          <w:p>
            <w:pPr>
              <w:pStyle w:val="Compact"/>
              <w:jc w:val="center"/>
            </w:pPr>
            <w:r>
              <w:t xml:space="preserve">(0.104)</w:t>
            </w:r>
          </w:p>
        </w:tc>
        <w:tc>
          <w:tcPr/>
          <w:p>
            <w:pPr>
              <w:pStyle w:val="Compact"/>
            </w:pP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Research coverage (%)</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+0.080</w:t>
            </w:r>
          </w:p>
        </w:tc>
        <w:tc>
          <w:tcPr/>
          <w:p>
            <w:pPr>
              <w:pStyle w:val="Compact"/>
              <w:jc w:val="center"/>
            </w:pPr>
            <w:r>
              <w:t xml:space="preserve">+0.141</w:t>
            </w:r>
          </w:p>
        </w:tc>
        <w:tc>
          <w:tcPr/>
          <w:p>
            <w:pPr>
              <w:pStyle w:val="Compact"/>
              <w:jc w:val="center"/>
            </w:pPr>
            <w:r>
              <w:t xml:space="preserve">+0.041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(0.097)</w:t>
            </w:r>
          </w:p>
        </w:tc>
        <w:tc>
          <w:tcPr/>
          <w:p>
            <w:pPr>
              <w:pStyle w:val="Compact"/>
              <w:jc w:val="center"/>
            </w:pPr>
            <w:r>
              <w:t xml:space="preserve">(0.104)</w:t>
            </w:r>
          </w:p>
        </w:tc>
        <w:tc>
          <w:tcPr/>
          <w:p>
            <w:pPr>
              <w:pStyle w:val="Compact"/>
              <w:jc w:val="center"/>
            </w:pPr>
            <w:r>
              <w:t xml:space="preserve">(0.063)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+7.546</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jc w:val="center"/>
            </w:pPr>
            <w:r>
              <w:t xml:space="preserve">(3.860)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-2.821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jc w:val="center"/>
            </w:pPr>
            <w:r>
              <w:t xml:space="preserve">(4.283)</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+7.301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jc w:val="center"/>
            </w:pPr>
            <w:r>
              <w:t xml:space="preserve">(4.472)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jc w:val="center"/>
            </w:pPr>
            <w:r>
              <w:t xml:space="preserve">(3.615)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+4.778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jc w:val="center"/>
            </w:pPr>
            <w:r>
              <w:t xml:space="preserve">(3.667)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-0.994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jc w:val="center"/>
            </w:pPr>
            <w:r>
              <w:t xml:space="preserve">(4.599)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sdg7</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+1.634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jc w:val="center"/>
            </w:pPr>
            <w:r>
              <w:t xml:space="preserve">(4.377)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sdg8</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jc w:val="center"/>
            </w:pPr>
            <w:r>
              <w:t xml:space="preserve">(4.178)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+1.453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jc w:val="center"/>
            </w:pPr>
            <w:r>
              <w:t xml:space="preserve">(4.148)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+10.103</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jc w:val="center"/>
            </w:pPr>
            <w:r>
              <w:t xml:space="preserve">(5.245)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sdg11</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+1.950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jc w:val="center"/>
            </w:pPr>
            <w:r>
              <w:t xml:space="preserve">(3.570)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jc w:val="center"/>
            </w:pPr>
            <w:r>
              <w:t xml:space="preserve">(4.729)</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sdg13</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-1.594</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jc w:val="center"/>
            </w:pPr>
            <w:r>
              <w:t xml:space="preserve">(0.760)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+0.809</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jc w:val="center"/>
            </w:pPr>
            <w:r>
              <w:t xml:space="preserve">(4.588)</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-2.840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jc w:val="center"/>
            </w:pPr>
            <w:r>
              <w:t xml:space="preserve">(4.395)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sdg16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-9.426</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jc w:val="center"/>
            </w:pPr>
            <w:r>
              <w:t xml:space="preserve">(5.690)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minilm</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-0.045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-0.075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(0.091)</w:t>
            </w:r>
          </w:p>
        </w:tc>
        <w:tc>
          <w:tcPr/>
          <w:p>
            <w:pPr>
              <w:pStyle w:val="Compact"/>
            </w:pPr>
          </w:p>
        </w:tc>
        <w:tc>
          <w:tcPr/>
          <w:p>
            <w:pPr>
              <w:pStyle w:val="Compact"/>
            </w:pPr>
          </w:p>
        </w:tc>
        <w:tc>
          <w:tcPr/>
          <w:p>
            <w:pPr>
              <w:pStyle w:val="Compact"/>
              <w:jc w:val="center"/>
            </w:pPr>
            <w:r>
              <w:t xml:space="preserve">(0.096)</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scibert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-0.452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-0.482</w:t>
            </w:r>
            <m:oMath>
              <m:sSup>
                <m:e>
                  <m:r>
                    <m:t>​</m:t>
                  </m:r>
                </m:e>
                <m:sup>
                  <m:r>
                    <m:rPr>
                      <m:sty m:val="p"/>
                    </m:rPr>
                    <m:t>*</m:t>
                  </m:r>
                  <m:r>
                    <m:rPr>
                      <m:sty m:val="p"/>
                    </m:rPr>
                    <m:t>*</m:t>
                  </m:r>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(0.095)</w:t>
            </w:r>
          </w:p>
        </w:tc>
        <w:tc>
          <w:tcPr/>
          <w:p>
            <w:pPr>
              <w:pStyle w:val="Compact"/>
            </w:pPr>
          </w:p>
        </w:tc>
        <w:tc>
          <w:tcPr/>
          <w:p>
            <w:pPr>
              <w:pStyle w:val="Compact"/>
            </w:pPr>
          </w:p>
        </w:tc>
        <w:tc>
          <w:tcPr/>
          <w:p>
            <w:pPr>
              <w:pStyle w:val="Compact"/>
              <w:jc w:val="center"/>
            </w:pPr>
            <w:r>
              <w:t xml:space="preserve">(0.102)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concept</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+0.103</w:t>
            </w:r>
          </w:p>
        </w:tc>
        <w:tc>
          <w:tcPr/>
          <w:p>
            <w:pPr>
              <w:pStyle w:val="Compact"/>
              <w:jc w:val="center"/>
            </w:pPr>
            <w:r>
              <w:t xml:space="preserve">–</w:t>
            </w:r>
          </w:p>
        </w:tc>
        <w:tc>
          <w:tcPr/>
          <w:p>
            <w:pPr>
              <w:pStyle w:val="Compact"/>
              <w:jc w:val="center"/>
            </w:pPr>
            <w:r>
              <w:t xml:space="preserve">-0.145</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(0.076)</w:t>
            </w:r>
          </w:p>
        </w:tc>
        <w:tc>
          <w:tcPr/>
          <w:p>
            <w:pPr>
              <w:pStyle w:val="Compact"/>
            </w:pPr>
          </w:p>
        </w:tc>
        <w:tc>
          <w:tcPr/>
          <w:p>
            <w:pPr>
              <w:pStyle w:val="Compact"/>
              <w:jc w:val="center"/>
            </w:pPr>
            <w:r>
              <w:t xml:space="preserve">(0.075)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mlp</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-0.101</w:t>
            </w:r>
            <m:oMath>
              <m:sSup>
                <m:e>
                  <m:r>
                    <m:t>​</m:t>
                  </m:r>
                </m:e>
                <m:sup>
                  <m:r>
                    <m:rPr>
                      <m:sty m:val="p"/>
                    </m:rPr>
                    <m:t>†</m:t>
                  </m:r>
                </m:sup>
              </m:sSup>
            </m:oMath>
          </w:p>
        </w:tc>
        <w:tc>
          <w:tcPr/>
          <w:p>
            <w:pPr>
              <w:pStyle w:val="Compact"/>
              <w:jc w:val="center"/>
            </w:pPr>
            <w:r>
              <w:t xml:space="preserve">-0.087</w:t>
            </w:r>
            <m:oMath>
              <m:sSup>
                <m:e>
                  <m:r>
                    <m:t>​</m:t>
                  </m:r>
                </m:e>
                <m:sup>
                  <m:r>
                    <m:rPr>
                      <m:sty m:val="p"/>
                    </m:rPr>
                    <m:t>†</m:t>
                  </m:r>
                </m:sup>
              </m:sSup>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(0.048)</w:t>
            </w:r>
          </w:p>
        </w:tc>
        <w:tc>
          <w:tcPr/>
          <w:p>
            <w:pPr>
              <w:pStyle w:val="Compact"/>
              <w:jc w:val="center"/>
            </w:pPr>
            <w:r>
              <w:t xml:space="preserve">(0.047)</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covgap</w:t>
            </w:r>
            <m:oMath>
              <m:r>
                <m:rPr>
                  <m:sty m:val="p"/>
                </m:rPr>
                <m:t>×</m:t>
              </m:r>
              <m:sSub>
                <m:e>
                  <m:r>
                    <m:t>i</m:t>
                  </m:r>
                </m:e>
                <m:sub>
                  <m:r>
                    <m:rPr>
                      <m:nor/>
                      <m:sty m:val="p"/>
                    </m:rPr>
                    <m:t>zs</m:t>
                  </m:r>
                </m:sub>
              </m:sSub>
            </m:oMath>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-0.138</w:t>
            </w:r>
          </w:p>
        </w:tc>
        <w:tc>
          <w:tcPr/>
          <w:p>
            <w:pPr>
              <w:pStyle w:val="Compact"/>
              <w:jc w:val="center"/>
            </w:pPr>
            <w:r>
              <w:t xml:space="preserve">-0.124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center"/>
            </w:pPr>
            <w:r>
              <w:t xml:space="preserve">(0.104)</w:t>
            </w:r>
          </w:p>
        </w:tc>
        <w:tc>
          <w:tcPr/>
          <w:p>
            <w:pPr>
              <w:pStyle w:val="Compact"/>
              <w:jc w:val="center"/>
            </w:pPr>
            <w:r>
              <w:t xml:space="preserve">(0.103)</w:t>
            </w:r>
          </w:p>
        </w:tc>
        <w:tc>
          <w:tcPr/>
          <w:p>
            <w:pPr>
              <w:pStyle w:val="Compact"/>
            </w:pPr>
          </w:p>
        </w:tc>
        <w:tc>
          <w:tcPr/>
          <w:p>
            <w:pPr>
              <w:pStyle w:val="Compact"/>
            </w:pPr>
          </w:p>
        </w:tc>
        <w:tc>
          <w:tcPr/>
          <w:p>
            <w:pPr>
              <w:pStyle w:val="Compact"/>
            </w:pPr>
          </w:p>
        </w:tc>
        <w:tc>
          <w:tcPr/>
          <w:p>
            <w:pPr>
              <w:pStyle w:val="Compact"/>
            </w:pPr>
          </w:p>
        </w:tc>
      </w:tr>
      <w:tr>
        <w:tc>
          <w:tcPr/>
          <w:p>
            <w:pPr>
              <w:pStyle w:val="Compact"/>
              <w:jc w:val="left"/>
            </w:pPr>
            <m:oMath>
              <m:r>
                <m:t>N</m:t>
              </m:r>
            </m:oMath>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357</w:t>
            </w:r>
          </w:p>
        </w:tc>
        <w:tc>
          <w:tcPr/>
          <w:p>
            <w:pPr>
              <w:pStyle w:val="Compact"/>
              <w:jc w:val="center"/>
            </w:pPr>
            <w:r>
              <w:t xml:space="preserve">357</w:t>
            </w:r>
          </w:p>
        </w:tc>
        <w:tc>
          <w:tcPr/>
          <w:p>
            <w:pPr>
              <w:pStyle w:val="Compact"/>
              <w:jc w:val="center"/>
            </w:pPr>
            <w:r>
              <w:t xml:space="preserve">170</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c>
          <w:tcPr/>
          <w:p>
            <w:pPr>
              <w:pStyle w:val="Compact"/>
              <w:jc w:val="center"/>
            </w:pPr>
            <w:r>
              <w:t xml:space="preserve">408</w:t>
            </w:r>
          </w:p>
        </w:tc>
      </w:tr>
      <w:tr>
        <w:tc>
          <w:tcPr/>
          <w:p>
            <w:pPr>
              <w:pStyle w:val="Compact"/>
              <w:jc w:val="left"/>
            </w:pPr>
            <m:oMath>
              <m:sSup>
                <m:e>
                  <m:r>
                    <m:t>R</m:t>
                  </m:r>
                </m:e>
                <m:sup>
                  <m:r>
                    <m:t>2</m:t>
                  </m:r>
                </m:sup>
              </m:sSup>
            </m:oMath>
          </w:p>
        </w:tc>
        <w:tc>
          <w:tcPr/>
          <w:p>
            <w:pPr>
              <w:pStyle w:val="Compact"/>
              <w:jc w:val="center"/>
            </w:pPr>
            <w:r>
              <w:t xml:space="preserve">0.195</w:t>
            </w:r>
          </w:p>
        </w:tc>
        <w:tc>
          <w:tcPr/>
          <w:p>
            <w:pPr>
              <w:pStyle w:val="Compact"/>
              <w:jc w:val="center"/>
            </w:pPr>
            <w:r>
              <w:t xml:space="preserve">0.162</w:t>
            </w:r>
          </w:p>
        </w:tc>
        <w:tc>
          <w:tcPr/>
          <w:p>
            <w:pPr>
              <w:pStyle w:val="Compact"/>
              <w:jc w:val="center"/>
            </w:pPr>
            <w:r>
              <w:t xml:space="preserve">0.014</w:t>
            </w:r>
          </w:p>
        </w:tc>
        <w:tc>
          <w:tcPr/>
          <w:p>
            <w:pPr>
              <w:pStyle w:val="Compact"/>
              <w:jc w:val="center"/>
            </w:pPr>
            <w:r>
              <w:t xml:space="preserve">0.049</w:t>
            </w:r>
          </w:p>
        </w:tc>
        <w:tc>
          <w:tcPr/>
          <w:p>
            <w:pPr>
              <w:pStyle w:val="Compact"/>
              <w:jc w:val="center"/>
            </w:pPr>
            <w:r>
              <w:t xml:space="preserve">0.073</w:t>
            </w:r>
          </w:p>
        </w:tc>
        <w:tc>
          <w:tcPr/>
          <w:p>
            <w:pPr>
              <w:pStyle w:val="Compact"/>
              <w:jc w:val="center"/>
            </w:pPr>
            <w:r>
              <w:t xml:space="preserve">0.074</w:t>
            </w:r>
          </w:p>
        </w:tc>
        <w:tc>
          <w:tcPr/>
          <w:p>
            <w:pPr>
              <w:pStyle w:val="Compact"/>
              <w:jc w:val="center"/>
            </w:pPr>
            <w:r>
              <w:t xml:space="preserve">0.162</w:t>
            </w:r>
          </w:p>
        </w:tc>
        <w:tc>
          <w:tcPr/>
          <w:p>
            <w:pPr>
              <w:pStyle w:val="Compact"/>
              <w:jc w:val="center"/>
            </w:pPr>
            <w:r>
              <w:t xml:space="preserve">0.049</w:t>
            </w:r>
          </w:p>
        </w:tc>
        <w:tc>
          <w:tcPr/>
          <w:p>
            <w:pPr>
              <w:pStyle w:val="Compact"/>
              <w:jc w:val="center"/>
            </w:pPr>
            <w:r>
              <w:t xml:space="preserve">0.074</w:t>
            </w:r>
          </w:p>
        </w:tc>
        <w:tc>
          <w:tcPr/>
          <w:p>
            <w:pPr>
              <w:pStyle w:val="Compact"/>
              <w:jc w:val="center"/>
            </w:pPr>
            <w:r>
              <w:t xml:space="preserve">0.195</w:t>
            </w:r>
          </w:p>
        </w:tc>
        <w:tc>
          <w:tcPr/>
          <w:p>
            <w:pPr>
              <w:pStyle w:val="Compact"/>
              <w:jc w:val="center"/>
            </w:pPr>
            <w:r>
              <w:t xml:space="preserve">0.617</w:t>
            </w:r>
          </w:p>
        </w:tc>
        <w:tc>
          <w:tcPr/>
          <w:p>
            <w:pPr>
              <w:pStyle w:val="Compact"/>
              <w:jc w:val="center"/>
            </w:pPr>
            <w:r>
              <w:t xml:space="preserve">0.198</w:t>
            </w:r>
          </w:p>
        </w:tc>
        <w:tc>
          <w:tcPr/>
          <w:p>
            <w:pPr>
              <w:pStyle w:val="Compact"/>
              <w:jc w:val="center"/>
            </w:pPr>
            <w:r>
              <w:t xml:space="preserve">0.196</w:t>
            </w:r>
          </w:p>
        </w:tc>
        <w:tc>
          <w:tcPr/>
          <w:p>
            <w:pPr>
              <w:pStyle w:val="Compact"/>
              <w:jc w:val="center"/>
            </w:pPr>
            <w:r>
              <w:t xml:space="preserve">0.331</w:t>
            </w:r>
          </w:p>
        </w:tc>
        <w:tc>
          <w:tcPr/>
          <w:p>
            <w:pPr>
              <w:pStyle w:val="Compact"/>
              <w:jc w:val="center"/>
            </w:pPr>
            <w:r>
              <w:t xml:space="preserve">0.617</w:t>
            </w:r>
          </w:p>
        </w:tc>
        <w:tc>
          <w:tcPr/>
          <w:p>
            <w:pPr>
              <w:pStyle w:val="Compact"/>
              <w:jc w:val="center"/>
            </w:pPr>
            <w:r>
              <w:t xml:space="preserve">0.255</w:t>
            </w:r>
          </w:p>
        </w:tc>
        <w:tc>
          <w:tcPr/>
          <w:p>
            <w:pPr>
              <w:pStyle w:val="Compact"/>
              <w:jc w:val="center"/>
            </w:pPr>
            <w:r>
              <w:t xml:space="preserve">0.197</w:t>
            </w:r>
          </w:p>
        </w:tc>
        <w:tc>
          <w:tcPr/>
          <w:p>
            <w:pPr>
              <w:pStyle w:val="Compact"/>
              <w:jc w:val="center"/>
            </w:pPr>
            <w:r>
              <w:t xml:space="preserve">0.200</w:t>
            </w:r>
          </w:p>
        </w:tc>
        <w:tc>
          <w:tcPr/>
          <w:p>
            <w:pPr>
              <w:pStyle w:val="Compact"/>
              <w:jc w:val="center"/>
            </w:pPr>
            <w:r>
              <w:t xml:space="preserve">0.260</w:t>
            </w:r>
          </w:p>
        </w:tc>
        <w:tc>
          <w:tcPr/>
          <w:p>
            <w:pPr>
              <w:pStyle w:val="Compact"/>
              <w:jc w:val="center"/>
            </w:pPr>
            <w:r>
              <w:t xml:space="preserve">0.684</w:t>
            </w:r>
          </w:p>
        </w:tc>
        <w:tc>
          <w:tcPr/>
          <w:p>
            <w:pPr>
              <w:pStyle w:val="Compact"/>
              <w:jc w:val="center"/>
            </w:pPr>
            <w:r>
              <w:t xml:space="preserve">0.701</w:t>
            </w:r>
          </w:p>
        </w:tc>
        <w:tc>
          <w:tcPr/>
          <w:p>
            <w:pPr>
              <w:pStyle w:val="Compact"/>
              <w:jc w:val="center"/>
            </w:pPr>
            <w:r>
              <w:t xml:space="preserve">0.521</w:t>
            </w:r>
          </w:p>
        </w:tc>
        <w:tc>
          <w:tcPr/>
          <w:p>
            <w:pPr>
              <w:pStyle w:val="Compact"/>
              <w:jc w:val="center"/>
            </w:pPr>
            <w:r>
              <w:t xml:space="preserve">0.195</w:t>
            </w:r>
          </w:p>
        </w:tc>
      </w:tr>
      <w:tr>
        <w:tc>
          <w:tcPr/>
          <w:p>
            <w:pPr>
              <w:pStyle w:val="Compact"/>
              <w:jc w:val="left"/>
            </w:pPr>
            <w:r>
              <w:t xml:space="preserve">Adj.</w:t>
            </w:r>
            <w:r>
              <w:t xml:space="preserve"> </w:t>
            </w:r>
            <m:oMath>
              <m:sSup>
                <m:e>
                  <m:r>
                    <m:t>R</m:t>
                  </m:r>
                </m:e>
                <m:sup>
                  <m:r>
                    <m:t>2</m:t>
                  </m:r>
                </m:sup>
              </m:sSup>
            </m:oMath>
          </w:p>
        </w:tc>
        <w:tc>
          <w:tcPr/>
          <w:p>
            <w:pPr>
              <w:pStyle w:val="Compact"/>
              <w:jc w:val="center"/>
            </w:pPr>
            <w:r>
              <w:t xml:space="preserve">0.177</w:t>
            </w:r>
          </w:p>
        </w:tc>
        <w:tc>
          <w:tcPr/>
          <w:p>
            <w:pPr>
              <w:pStyle w:val="Compact"/>
              <w:jc w:val="center"/>
            </w:pPr>
            <w:r>
              <w:t xml:space="preserve">0.143</w:t>
            </w:r>
          </w:p>
        </w:tc>
        <w:tc>
          <w:tcPr/>
          <w:p>
            <w:pPr>
              <w:pStyle w:val="Compact"/>
              <w:jc w:val="center"/>
            </w:pPr>
            <w:r>
              <w:t xml:space="preserve">-0.008</w:t>
            </w:r>
          </w:p>
        </w:tc>
        <w:tc>
          <w:tcPr/>
          <w:p>
            <w:pPr>
              <w:pStyle w:val="Compact"/>
              <w:jc w:val="center"/>
            </w:pPr>
            <w:r>
              <w:t xml:space="preserve">0.028</w:t>
            </w:r>
          </w:p>
        </w:tc>
        <w:tc>
          <w:tcPr/>
          <w:p>
            <w:pPr>
              <w:pStyle w:val="Compact"/>
              <w:jc w:val="center"/>
            </w:pPr>
            <w:r>
              <w:t xml:space="preserve">0.052</w:t>
            </w:r>
          </w:p>
        </w:tc>
        <w:tc>
          <w:tcPr/>
          <w:p>
            <w:pPr>
              <w:pStyle w:val="Compact"/>
              <w:jc w:val="center"/>
            </w:pPr>
            <w:r>
              <w:t xml:space="preserve">0.053</w:t>
            </w:r>
          </w:p>
        </w:tc>
        <w:tc>
          <w:tcPr/>
          <w:p>
            <w:pPr>
              <w:pStyle w:val="Compact"/>
              <w:jc w:val="center"/>
            </w:pPr>
            <w:r>
              <w:t xml:space="preserve">0.143</w:t>
            </w:r>
          </w:p>
        </w:tc>
        <w:tc>
          <w:tcPr/>
          <w:p>
            <w:pPr>
              <w:pStyle w:val="Compact"/>
              <w:jc w:val="center"/>
            </w:pPr>
            <w:r>
              <w:t xml:space="preserve">0.028</w:t>
            </w:r>
          </w:p>
        </w:tc>
        <w:tc>
          <w:tcPr/>
          <w:p>
            <w:pPr>
              <w:pStyle w:val="Compact"/>
              <w:jc w:val="center"/>
            </w:pPr>
            <w:r>
              <w:t xml:space="preserve">0.053</w:t>
            </w:r>
          </w:p>
        </w:tc>
        <w:tc>
          <w:tcPr/>
          <w:p>
            <w:pPr>
              <w:pStyle w:val="Compact"/>
              <w:jc w:val="center"/>
            </w:pPr>
            <w:r>
              <w:t xml:space="preserve">0.181</w:t>
            </w:r>
          </w:p>
        </w:tc>
        <w:tc>
          <w:tcPr/>
          <w:p>
            <w:pPr>
              <w:pStyle w:val="Compact"/>
              <w:jc w:val="center"/>
            </w:pPr>
            <w:r>
              <w:t xml:space="preserve">0.592</w:t>
            </w:r>
          </w:p>
        </w:tc>
        <w:tc>
          <w:tcPr/>
          <w:p>
            <w:pPr>
              <w:pStyle w:val="Compact"/>
              <w:jc w:val="center"/>
            </w:pPr>
            <w:r>
              <w:t xml:space="preserve">0.179</w:t>
            </w:r>
          </w:p>
        </w:tc>
        <w:tc>
          <w:tcPr/>
          <w:p>
            <w:pPr>
              <w:pStyle w:val="Compact"/>
              <w:jc w:val="center"/>
            </w:pPr>
            <w:r>
              <w:t xml:space="preserve">0.177</w:t>
            </w:r>
          </w:p>
        </w:tc>
        <w:tc>
          <w:tcPr/>
          <w:p>
            <w:pPr>
              <w:pStyle w:val="Compact"/>
              <w:jc w:val="center"/>
            </w:pPr>
            <w:r>
              <w:t xml:space="preserve">0.302</w:t>
            </w:r>
          </w:p>
        </w:tc>
        <w:tc>
          <w:tcPr/>
          <w:p>
            <w:pPr>
              <w:pStyle w:val="Compact"/>
              <w:jc w:val="center"/>
            </w:pPr>
            <w:r>
              <w:t xml:space="preserve">0.594</w:t>
            </w:r>
          </w:p>
        </w:tc>
        <w:tc>
          <w:tcPr/>
          <w:p>
            <w:pPr>
              <w:pStyle w:val="Compact"/>
              <w:jc w:val="center"/>
            </w:pPr>
            <w:r>
              <w:t xml:space="preserve">0.235</w:t>
            </w:r>
          </w:p>
        </w:tc>
        <w:tc>
          <w:tcPr/>
          <w:p>
            <w:pPr>
              <w:pStyle w:val="Compact"/>
              <w:jc w:val="center"/>
            </w:pPr>
            <w:r>
              <w:t xml:space="preserve">0.177</w:t>
            </w:r>
          </w:p>
        </w:tc>
        <w:tc>
          <w:tcPr/>
          <w:p>
            <w:pPr>
              <w:pStyle w:val="Compact"/>
              <w:jc w:val="center"/>
            </w:pPr>
            <w:r>
              <w:t xml:space="preserve">0.178</w:t>
            </w:r>
          </w:p>
        </w:tc>
        <w:tc>
          <w:tcPr/>
          <w:p>
            <w:pPr>
              <w:pStyle w:val="Compact"/>
              <w:jc w:val="center"/>
            </w:pPr>
            <w:r>
              <w:t xml:space="preserve">0.233</w:t>
            </w:r>
          </w:p>
        </w:tc>
        <w:tc>
          <w:tcPr/>
          <w:p>
            <w:pPr>
              <w:pStyle w:val="Compact"/>
              <w:jc w:val="center"/>
            </w:pPr>
            <w:r>
              <w:t xml:space="preserve">0.677</w:t>
            </w:r>
          </w:p>
        </w:tc>
        <w:tc>
          <w:tcPr/>
          <w:p>
            <w:pPr>
              <w:pStyle w:val="Compact"/>
              <w:jc w:val="center"/>
            </w:pPr>
            <w:r>
              <w:t xml:space="preserve">0.694</w:t>
            </w:r>
          </w:p>
        </w:tc>
        <w:tc>
          <w:tcPr/>
          <w:p>
            <w:pPr>
              <w:pStyle w:val="Compact"/>
              <w:jc w:val="center"/>
            </w:pPr>
            <w:r>
              <w:t xml:space="preserve">0.510</w:t>
            </w:r>
          </w:p>
        </w:tc>
        <w:tc>
          <w:tcPr/>
          <w:p>
            <w:pPr>
              <w:pStyle w:val="Compact"/>
              <w:jc w:val="center"/>
            </w:pPr>
            <w:r>
              <w:t xml:space="preserve">0.177</w:t>
            </w:r>
          </w:p>
        </w:tc>
      </w:tr>
    </w:tbl>
    <w:bookmarkEnd w:id="147"/>
    <w:bookmarkEnd w:id="148"/>
    <w:bookmarkStart w:id="263" w:name="declaration-of-ai-use"/>
    <w:p>
      <w:pPr>
        <w:pStyle w:val="Heading1"/>
      </w:pPr>
      <w:r>
        <w:t xml:space="preserve">Declaration of AI Use</w:t>
      </w:r>
    </w:p>
    <w:p>
      <w:pPr>
        <w:pStyle w:val="FirstParagraph"/>
      </w:pPr>
      <w:r>
        <w:t xml:space="preserve">This declaration is made in accordance with the University of Birmingham</w:t>
      </w:r>
      <w:r>
        <w:t xml:space="preserve"> </w:t>
      </w:r>
      <w:r>
        <w:rPr>
          <w:iCs/>
          <w:i/>
        </w:rPr>
        <w:t xml:space="preserve">Code of Practice on Academic Integrity 2025–26</w:t>
      </w:r>
      <w:r>
        <w:t xml:space="preserve"> </w:t>
      </w:r>
      <w:r>
        <w:t xml:space="preserve">(Appendix A). AI tools were used only as aids to the author’s own work: every idea, argument, research question, analysis design, result, and interpretation in this dissertation is the author’s own. AI-generated suggestions and code were reviewed, tested, and independently verified by the author before inclusion, and no AI-generated text or analysis was submitted as the author’s work without the author’s full authorship and oversight. This declaration lists the ways AI tools were used. Uses not listed (e.g., code debugging, plotting, LaTeX troubleshooting, literature summarisation) were subject to the same oversight and verification.</w:t>
      </w:r>
    </w:p>
    <w:bookmarkStart w:id="149" w:name="tab:ai-declaration"/>
    <w:p>
      <w:pPr>
        <w:pStyle w:val="TableCaption"/>
      </w:pPr>
      <w:r>
        <w:t xml:space="preserve">Declaration of AI use.</w:t>
      </w:r>
    </w:p>
    <w:tbl>
      <w:tblPr>
        <w:tblStyle w:val="Table"/>
        <w:tblW w:type="auto" w:w="0"/>
        <w:tblLook w:firstRow="1" w:lastRow="0" w:firstColumn="0" w:lastColumn="0" w:noHBand="0" w:noVBand="0" w:val="0020"/>
        <w:jc w:val="start"/>
        <w:tblCaption w:val="Declaration of AI use."/>
      </w:tblPr>
      <w:tblGrid>
        <w:gridCol w:w="2640"/>
        <w:gridCol w:w="2640"/>
        <w:gridCol w:w="2640"/>
      </w:tblGrid>
      <w:tr>
        <w:trPr>
          <w:tblHeader w:val="true"/>
        </w:trPr>
        <w:tc>
          <w:tcPr/>
          <w:p>
            <w:pPr>
              <w:pStyle w:val="Compact"/>
              <w:jc w:val="left"/>
            </w:pPr>
            <w:r>
              <w:rPr>
                <w:bCs/>
                <w:b/>
              </w:rPr>
              <w:t xml:space="preserve">Activity</w:t>
            </w:r>
          </w:p>
        </w:tc>
        <w:tc>
          <w:tcPr/>
          <w:p>
            <w:pPr>
              <w:pStyle w:val="Compact"/>
              <w:jc w:val="left"/>
            </w:pPr>
            <w:r>
              <w:rPr>
                <w:bCs/>
                <w:b/>
              </w:rPr>
              <w:t xml:space="preserve">AI tool(s)</w:t>
            </w:r>
          </w:p>
        </w:tc>
        <w:tc>
          <w:tcPr/>
          <w:p>
            <w:pPr>
              <w:pStyle w:val="Compact"/>
              <w:jc w:val="left"/>
            </w:pPr>
            <w:r>
              <w:rPr>
                <w:bCs/>
                <w:b/>
              </w:rPr>
              <w:t xml:space="preserve">How output was used</w:t>
            </w:r>
          </w:p>
        </w:tc>
      </w:tr>
      <w:tr>
        <w:tc>
          <w:tcPr/>
          <w:p>
            <w:pPr>
              <w:pStyle w:val="Compact"/>
              <w:jc w:val="left"/>
            </w:pPr>
            <w:r>
              <w:t xml:space="preserve">Researching and refining ideas</w:t>
            </w:r>
          </w:p>
        </w:tc>
        <w:tc>
          <w:tcPr/>
          <w:p>
            <w:pPr>
              <w:pStyle w:val="Compact"/>
              <w:jc w:val="left"/>
            </w:pPr>
            <w:r>
              <w:t xml:space="preserve">ChatGPT, MiniMax / DeepSeek (via OpenCode), GPT (via Codex)</w:t>
            </w:r>
          </w:p>
        </w:tc>
        <w:tc>
          <w:tcPr/>
          <w:p>
            <w:pPr>
              <w:pStyle w:val="Compact"/>
              <w:jc w:val="left"/>
            </w:pPr>
            <w:r>
              <w:t xml:space="preserve">Used to explore and stress-test ideas and to check data/code availability for feasibility. All adopted ideas, arguments, and conclusions are the author’s own and were independently evaluated; the final research design was presented to and approved by the supervisor.</w:t>
            </w:r>
          </w:p>
        </w:tc>
      </w:tr>
      <w:tr>
        <w:tc>
          <w:tcPr/>
          <w:p>
            <w:pPr>
              <w:pStyle w:val="Compact"/>
              <w:jc w:val="left"/>
            </w:pPr>
            <w:r>
              <w:t xml:space="preserve">Information retrieval / background research</w:t>
            </w:r>
          </w:p>
        </w:tc>
        <w:tc>
          <w:tcPr/>
          <w:p>
            <w:pPr>
              <w:pStyle w:val="Compact"/>
              <w:jc w:val="left"/>
            </w:pPr>
            <w:r>
              <w:t xml:space="preserve">Gemini, MiniMax / DeepSeek (via OpenCode), GPT (via Codex), Hy3 (via OpenCode), Claude (Desktop)</w:t>
            </w:r>
          </w:p>
        </w:tc>
        <w:tc>
          <w:tcPr/>
          <w:p>
            <w:pPr>
              <w:pStyle w:val="Compact"/>
              <w:jc w:val="left"/>
            </w:pPr>
            <w:r>
              <w:t xml:space="preserve">AI tools read the manuscript for context and recommended papers to investigate further. All cited sources were independently verified against the original publications.</w:t>
            </w:r>
          </w:p>
        </w:tc>
      </w:tr>
      <w:tr>
        <w:tc>
          <w:tcPr/>
          <w:p>
            <w:pPr>
              <w:pStyle w:val="Compact"/>
              <w:jc w:val="left"/>
            </w:pPr>
            <w:r>
              <w:t xml:space="preserve">Drafting an outline / organising thoughts</w:t>
            </w:r>
          </w:p>
        </w:tc>
        <w:tc>
          <w:tcPr/>
          <w:p>
            <w:pPr>
              <w:pStyle w:val="Compact"/>
              <w:jc w:val="left"/>
            </w:pPr>
            <w:r>
              <w:t xml:space="preserve">MiniMax / DeepSeek (via OpenCode), GPT (via Codex), Hy3 (via OpenCode), Mimo (via OpenCode), GLM (via OpenCode)</w:t>
            </w:r>
          </w:p>
        </w:tc>
        <w:tc>
          <w:tcPr/>
          <w:p>
            <w:pPr>
              <w:pStyle w:val="Compact"/>
              <w:jc w:val="left"/>
            </w:pPr>
            <w:r>
              <w:t xml:space="preserve">AI coding agents generated code scaffolding that the author reviewed, unit-tested, and directed; all analytical decisions, results, and interpretation are the author’s own.</w:t>
            </w:r>
          </w:p>
        </w:tc>
      </w:tr>
      <w:tr>
        <w:tc>
          <w:tcPr/>
          <w:p>
            <w:pPr>
              <w:pStyle w:val="Compact"/>
              <w:jc w:val="left"/>
            </w:pPr>
            <w:r>
              <w:t xml:space="preserve">Refining research questions</w:t>
            </w:r>
          </w:p>
        </w:tc>
        <w:tc>
          <w:tcPr/>
          <w:p>
            <w:pPr>
              <w:pStyle w:val="Compact"/>
              <w:jc w:val="left"/>
            </w:pPr>
            <w:r>
              <w:t xml:space="preserve">ChatGPT, MiniMax / DeepSeek (via OpenCode), GPT (via Codex)</w:t>
            </w:r>
          </w:p>
        </w:tc>
        <w:tc>
          <w:tcPr/>
          <w:p>
            <w:pPr>
              <w:pStyle w:val="Compact"/>
              <w:jc w:val="left"/>
            </w:pPr>
            <w:r>
              <w:t xml:space="preserve">Used to explore alternative framings and to confirm the questions were answerable with the available data and models. The author retained full control over the final formulation, and the research questions were presented to and approved by the supervisor.</w:t>
            </w:r>
          </w:p>
        </w:tc>
      </w:tr>
      <w:tr>
        <w:tc>
          <w:tcPr/>
          <w:p>
            <w:pPr>
              <w:pStyle w:val="Compact"/>
              <w:jc w:val="left"/>
            </w:pPr>
            <w:r>
              <w:t xml:space="preserve">Checking spelling and grammar</w:t>
            </w:r>
          </w:p>
        </w:tc>
        <w:tc>
          <w:tcPr/>
          <w:p>
            <w:pPr>
              <w:pStyle w:val="Compact"/>
              <w:jc w:val="left"/>
            </w:pPr>
            <w:r>
              <w:t xml:space="preserve">ChatGPT, Gemini, Claude (web/mobile), MiniMax / DeepSeek (via OpenCode), GPT (via Codex), Hy3 (via OpenCode), Mimo (via OpenCode), GLM (via OpenCode)</w:t>
            </w:r>
          </w:p>
        </w:tc>
        <w:tc>
          <w:tcPr/>
          <w:p>
            <w:pPr>
              <w:pStyle w:val="Compact"/>
              <w:jc w:val="left"/>
            </w:pPr>
            <w:r>
              <w:t xml:space="preserve">Used for spelling, punctuation, grammar, and syntax checking, and for formatting/ordering of references and cross-references. All suggestions were accepted or rejected by the author; AI was not used to alter or develop the ideas or arguments presented.</w:t>
            </w:r>
          </w:p>
        </w:tc>
      </w:tr>
    </w:tbl>
    <w:bookmarkEnd w:id="149"/>
    <w:bookmarkStart w:id="262" w:name="refs"/>
    <w:bookmarkStart w:id="151" w:name="ref-AbadieAtheyImbensWooldridge2020"/>
    <w:p>
      <w:pPr>
        <w:pStyle w:val="Bibliography"/>
      </w:pPr>
      <w:r>
        <w:t xml:space="preserve">Abadie, A., Athey, S., Imbens, G.W., et al. (2020) Sampling-based versus design-based uncertainty in regression analysis.</w:t>
      </w:r>
      <w:r>
        <w:t xml:space="preserve"> </w:t>
      </w:r>
      <w:r>
        <w:rPr>
          <w:iCs/>
          <w:i/>
        </w:rPr>
        <w:t xml:space="preserve">Econometrica</w:t>
      </w:r>
      <w:r>
        <w:t xml:space="preserve">, 88 (1): 265–296. doi:</w:t>
      </w:r>
      <w:hyperlink r:id="rId150">
        <w:r>
          <w:rPr>
            <w:rStyle w:val="Hyperlink"/>
          </w:rPr>
          <w:t xml:space="preserve">10.3982/ECTA12675</w:t>
        </w:r>
      </w:hyperlink>
      <w:r>
        <w:t xml:space="preserve">.</w:t>
      </w:r>
    </w:p>
    <w:bookmarkEnd w:id="151"/>
    <w:bookmarkStart w:id="153" w:name="Xe69124483ecfc12a2bd02b6434c1ef42f6793ad"/>
    <w:p>
      <w:pPr>
        <w:pStyle w:val="Bibliography"/>
      </w:pPr>
      <w:r>
        <w:t xml:space="preserve">Alain, G. and Bengio, Y. (2018)</w:t>
      </w:r>
      <w:r>
        <w:t xml:space="preserve"> </w:t>
      </w:r>
      <w:r>
        <w:rPr>
          <w:iCs/>
          <w:i/>
        </w:rPr>
        <w:t xml:space="preserve">Understanding intermediate layers using linear classifier probes</w:t>
      </w:r>
      <w:r>
        <w:t xml:space="preserve">. Available at:</w:t>
      </w:r>
      <w:r>
        <w:t xml:space="preserve"> </w:t>
      </w:r>
      <w:hyperlink r:id="rId152">
        <w:r>
          <w:rPr>
            <w:rStyle w:val="Hyperlink"/>
          </w:rPr>
          <w:t xml:space="preserve">https://arxiv.org/abs/1610.01644</w:t>
        </w:r>
      </w:hyperlink>
      <w:r>
        <w:t xml:space="preserve">.</w:t>
      </w:r>
    </w:p>
    <w:bookmarkEnd w:id="153"/>
    <w:bookmarkStart w:id="155" w:name="ref-Armitage2020"/>
    <w:p>
      <w:pPr>
        <w:pStyle w:val="Bibliography"/>
      </w:pPr>
      <w:r>
        <w:t xml:space="preserve">Armitage, C.S., Lorenz, M. and Mikki, S. (2020) Mapping scholarly publications related to the sustainable development goals: Do independent bibliometric approaches get the same results?</w:t>
      </w:r>
      <w:r>
        <w:t xml:space="preserve"> </w:t>
      </w:r>
      <w:r>
        <w:rPr>
          <w:iCs/>
          <w:i/>
        </w:rPr>
        <w:t xml:space="preserve">Quantitative Science Studies</w:t>
      </w:r>
      <w:r>
        <w:t xml:space="preserve">, 1 (3): 1092–1108. doi:</w:t>
      </w:r>
      <w:hyperlink r:id="rId154">
        <w:r>
          <w:rPr>
            <w:rStyle w:val="Hyperlink"/>
          </w:rPr>
          <w:t xml:space="preserve">10.1162/qss_a_00071</w:t>
        </w:r>
      </w:hyperlink>
      <w:r>
        <w:t xml:space="preserve">.</w:t>
      </w:r>
    </w:p>
    <w:bookmarkEnd w:id="155"/>
    <w:bookmarkStart w:id="157" w:name="ref-Babic2020"/>
    <w:p>
      <w:pPr>
        <w:pStyle w:val="Bibliography"/>
      </w:pPr>
      <w:r>
        <w:t xml:space="preserve">Babićc, F., Guerra, E., Martinćić-Ipśić, et al. (2020) A comparison of approaches for measuring the semantic similarity of short texts based on word embeddings.</w:t>
      </w:r>
      <w:r>
        <w:t xml:space="preserve"> </w:t>
      </w:r>
      <w:r>
        <w:rPr>
          <w:iCs/>
          <w:i/>
        </w:rPr>
        <w:t xml:space="preserve">Journal of Information and Organizational Sciences</w:t>
      </w:r>
      <w:r>
        <w:t xml:space="preserve">, 44 (2): 231–246. doi:</w:t>
      </w:r>
      <w:hyperlink r:id="rId156">
        <w:r>
          <w:rPr>
            <w:rStyle w:val="Hyperlink"/>
          </w:rPr>
          <w:t xml:space="preserve">10.31341/jios.44.2.2</w:t>
        </w:r>
      </w:hyperlink>
      <w:r>
        <w:t xml:space="preserve">.</w:t>
      </w:r>
    </w:p>
    <w:bookmarkEnd w:id="157"/>
    <w:bookmarkStart w:id="159" w:name="ref-BautistaPuig2021"/>
    <w:p>
      <w:pPr>
        <w:pStyle w:val="Bibliography"/>
      </w:pPr>
      <w:r>
        <w:t xml:space="preserve">Bautista-Puig, N., Aleixo, A.M., Leal, S., et al. (2021) Unveiling the research landscape of sustainable development goals and their inclusion in higher education institutions and research centers: Major trends in 2000–2017.</w:t>
      </w:r>
      <w:r>
        <w:t xml:space="preserve"> </w:t>
      </w:r>
      <w:r>
        <w:rPr>
          <w:iCs/>
          <w:i/>
        </w:rPr>
        <w:t xml:space="preserve">Frontiers in Sustainability</w:t>
      </w:r>
      <w:r>
        <w:t xml:space="preserve">, 2: 620743. doi:</w:t>
      </w:r>
      <w:hyperlink r:id="rId158">
        <w:r>
          <w:rPr>
            <w:rStyle w:val="Hyperlink"/>
          </w:rPr>
          <w:t xml:space="preserve">10.3389/frsus.2021.620743</w:t>
        </w:r>
      </w:hyperlink>
      <w:r>
        <w:t xml:space="preserve">.</w:t>
      </w:r>
    </w:p>
    <w:bookmarkEnd w:id="159"/>
    <w:bookmarkStart w:id="161" w:name="ref-Beltagy2019"/>
    <w:p>
      <w:pPr>
        <w:pStyle w:val="Bibliography"/>
      </w:pPr>
      <w:r>
        <w:t xml:space="preserve">Beltagy, I., Lo, K. and Cohan, A. (2019) SciBERT: A pretrained language model for scientific text.</w:t>
      </w:r>
      <w:r>
        <w:t xml:space="preserve"> </w:t>
      </w:r>
      <w:r>
        <w:rPr>
          <w:iCs/>
          <w:i/>
        </w:rPr>
        <w:t xml:space="preserve">arXiv preprint arXiv:1903.10676</w:t>
      </w:r>
      <w:r>
        <w:t xml:space="preserve">. doi:</w:t>
      </w:r>
      <w:hyperlink r:id="rId160">
        <w:r>
          <w:rPr>
            <w:rStyle w:val="Hyperlink"/>
          </w:rPr>
          <w:t xml:space="preserve">10.48550/arXiv.1903.10676</w:t>
        </w:r>
      </w:hyperlink>
      <w:r>
        <w:t xml:space="preserve">.</w:t>
      </w:r>
    </w:p>
    <w:bookmarkEnd w:id="161"/>
    <w:bookmarkStart w:id="163" w:name="ref-BerkWesternWeiss1995"/>
    <w:p>
      <w:pPr>
        <w:pStyle w:val="Bibliography"/>
      </w:pPr>
      <w:r>
        <w:t xml:space="preserve">Berk, R.A., Western, B. and Weiss, R.E. (1995) Statistical inference for apparent populations.</w:t>
      </w:r>
      <w:r>
        <w:t xml:space="preserve"> </w:t>
      </w:r>
      <w:r>
        <w:rPr>
          <w:iCs/>
          <w:i/>
        </w:rPr>
        <w:t xml:space="preserve">Sociological Methodology</w:t>
      </w:r>
      <w:r>
        <w:t xml:space="preserve">, 25: 421–458. doi:</w:t>
      </w:r>
      <w:hyperlink r:id="rId162">
        <w:r>
          <w:rPr>
            <w:rStyle w:val="Hyperlink"/>
          </w:rPr>
          <w:t xml:space="preserve">10.2307/271073</w:t>
        </w:r>
      </w:hyperlink>
      <w:r>
        <w:t xml:space="preserve">.</w:t>
      </w:r>
    </w:p>
    <w:bookmarkEnd w:id="163"/>
    <w:bookmarkStart w:id="165" w:name="ref-BexellJonsson2017"/>
    <w:p>
      <w:pPr>
        <w:pStyle w:val="Bibliography"/>
      </w:pPr>
      <w:r>
        <w:t xml:space="preserve">Bexell, M. and Jönsson, K. (2017) Responsibility and the united nations’ sustainable development goals.</w:t>
      </w:r>
      <w:r>
        <w:t xml:space="preserve"> </w:t>
      </w:r>
      <w:r>
        <w:rPr>
          <w:iCs/>
          <w:i/>
        </w:rPr>
        <w:t xml:space="preserve">Forum for Development Studies</w:t>
      </w:r>
      <w:r>
        <w:t xml:space="preserve">, 44 (1): 13–29. doi:</w:t>
      </w:r>
      <w:hyperlink r:id="rId164">
        <w:r>
          <w:rPr>
            <w:rStyle w:val="Hyperlink"/>
          </w:rPr>
          <w:t xml:space="preserve">10.1080/08039410.2016.1252424</w:t>
        </w:r>
      </w:hyperlink>
      <w:r>
        <w:t xml:space="preserve">.</w:t>
      </w:r>
    </w:p>
    <w:bookmarkEnd w:id="165"/>
    <w:bookmarkStart w:id="166" w:name="ref-biber1988variation"/>
    <w:p>
      <w:pPr>
        <w:pStyle w:val="Bibliography"/>
      </w:pPr>
      <w:r>
        <w:t xml:space="preserve">Biber, D. (1988)</w:t>
      </w:r>
      <w:r>
        <w:t xml:space="preserve"> </w:t>
      </w:r>
      <w:r>
        <w:rPr>
          <w:iCs/>
          <w:i/>
        </w:rPr>
        <w:t xml:space="preserve">Variation across speech and writing</w:t>
      </w:r>
      <w:r>
        <w:t xml:space="preserve">. Cambridge: Cambridge University Press.</w:t>
      </w:r>
    </w:p>
    <w:bookmarkEnd w:id="166"/>
    <w:bookmarkStart w:id="167" w:name="ref-biberConrad2009register"/>
    <w:p>
      <w:pPr>
        <w:pStyle w:val="Bibliography"/>
      </w:pPr>
      <w:r>
        <w:t xml:space="preserve">Biber, D. and Conrad, S. (2009)</w:t>
      </w:r>
      <w:r>
        <w:t xml:space="preserve"> </w:t>
      </w:r>
      <w:r>
        <w:rPr>
          <w:iCs/>
          <w:i/>
        </w:rPr>
        <w:t xml:space="preserve">Register, genre, and style</w:t>
      </w:r>
      <w:r>
        <w:t xml:space="preserve">. Cambridge: Cambridge University Press.</w:t>
      </w:r>
    </w:p>
    <w:bookmarkEnd w:id="167"/>
    <w:bookmarkStart w:id="169" w:name="ref-bornmann2016policy"/>
    <w:p>
      <w:pPr>
        <w:pStyle w:val="Bibliography"/>
      </w:pPr>
      <w:r>
        <w:t xml:space="preserve">Bornmann, L., Haunschild, R. and Marx, W. (2016) Policy documents as sources for measuring societal impact: How often is climate change research mentioned in policy-related documents?</w:t>
      </w:r>
      <w:r>
        <w:t xml:space="preserve"> </w:t>
      </w:r>
      <w:r>
        <w:rPr>
          <w:iCs/>
          <w:i/>
        </w:rPr>
        <w:t xml:space="preserve">Scientometrics</w:t>
      </w:r>
      <w:r>
        <w:t xml:space="preserve">, 109 (3): 1477–1495. doi:</w:t>
      </w:r>
      <w:hyperlink r:id="rId168">
        <w:r>
          <w:rPr>
            <w:rStyle w:val="Hyperlink"/>
          </w:rPr>
          <w:t xml:space="preserve">10.1007/s11192-016-2115-y</w:t>
        </w:r>
      </w:hyperlink>
      <w:r>
        <w:t xml:space="preserve">.</w:t>
      </w:r>
    </w:p>
    <w:bookmarkEnd w:id="169"/>
    <w:bookmarkStart w:id="171" w:name="ref-vorderbruck2019text"/>
    <w:p>
      <w:pPr>
        <w:pStyle w:val="Bibliography"/>
      </w:pPr>
      <w:r>
        <w:t xml:space="preserve">Brück, T. vor der and Pouly, M. (2019)</w:t>
      </w:r>
      <w:r>
        <w:t xml:space="preserve"> </w:t>
      </w:r>
      <w:r>
        <w:t xml:space="preserve">“Text similarity estimation based on word embeddings and matrix norms for targeted marketing.”</w:t>
      </w:r>
      <w:r>
        <w:t xml:space="preserve"> </w:t>
      </w:r>
      <w:r>
        <w:rPr>
          <w:u w:val="single"/>
        </w:rPr>
        <w:t xml:space="preserve">In</w:t>
      </w:r>
      <w:r>
        <w:t xml:space="preserve"> </w:t>
      </w:r>
      <w:r>
        <w:rPr>
          <w:iCs/>
          <w:i/>
        </w:rPr>
        <w:t xml:space="preserve">Proceedings of the north american chapter of the association for computational linguistics: Human language technologies (NAACL-HLT)</w:t>
      </w:r>
      <w:r>
        <w:t xml:space="preserve">. 2019. pp. 1827–1836. doi:</w:t>
      </w:r>
      <w:hyperlink r:id="rId170">
        <w:r>
          <w:rPr>
            <w:rStyle w:val="Hyperlink"/>
          </w:rPr>
          <w:t xml:space="preserve">10.18653/v1/N19-1181</w:t>
        </w:r>
      </w:hyperlink>
      <w:r>
        <w:t xml:space="preserve">.</w:t>
      </w:r>
    </w:p>
    <w:bookmarkEnd w:id="171"/>
    <w:bookmarkStart w:id="173" w:name="ref-Caplan1979"/>
    <w:p>
      <w:pPr>
        <w:pStyle w:val="Bibliography"/>
      </w:pPr>
      <w:r>
        <w:t xml:space="preserve">Caplan, N. (1979) The two-communities theory and knowledge utilization.</w:t>
      </w:r>
      <w:r>
        <w:t xml:space="preserve"> </w:t>
      </w:r>
      <w:r>
        <w:rPr>
          <w:iCs/>
          <w:i/>
        </w:rPr>
        <w:t xml:space="preserve">American Behavioral Scientist</w:t>
      </w:r>
      <w:r>
        <w:t xml:space="preserve">, 22 (3): 459–470. doi:</w:t>
      </w:r>
      <w:hyperlink r:id="rId172">
        <w:r>
          <w:rPr>
            <w:rStyle w:val="Hyperlink"/>
          </w:rPr>
          <w:t xml:space="preserve">10.1177/000276427902200308</w:t>
        </w:r>
      </w:hyperlink>
      <w:r>
        <w:t xml:space="preserve">.</w:t>
      </w:r>
    </w:p>
    <w:bookmarkEnd w:id="173"/>
    <w:bookmarkStart w:id="175" w:name="ref-Cash2003"/>
    <w:p>
      <w:pPr>
        <w:pStyle w:val="Bibliography"/>
      </w:pPr>
      <w:r>
        <w:t xml:space="preserve">Cash, D.W., Clark, W.C., Alcock, F., et al. (2003) Knowledge systems for sustainable development.</w:t>
      </w:r>
      <w:r>
        <w:t xml:space="preserve"> </w:t>
      </w:r>
      <w:r>
        <w:rPr>
          <w:iCs/>
          <w:i/>
        </w:rPr>
        <w:t xml:space="preserve">Proceedings of the National Academy of Sciences</w:t>
      </w:r>
      <w:r>
        <w:t xml:space="preserve">, 100 (14): 8086–8091. doi:</w:t>
      </w:r>
      <w:hyperlink r:id="rId174">
        <w:r>
          <w:rPr>
            <w:rStyle w:val="Hyperlink"/>
          </w:rPr>
          <w:t xml:space="preserve">10.1073/pnas.1231332100</w:t>
        </w:r>
      </w:hyperlink>
      <w:r>
        <w:t xml:space="preserve">.</w:t>
      </w:r>
    </w:p>
    <w:bookmarkEnd w:id="175"/>
    <w:bookmarkStart w:id="177" w:name="ref-conneau2018cramsinglevectorprobing"/>
    <w:p>
      <w:pPr>
        <w:pStyle w:val="Bibliography"/>
      </w:pPr>
      <w:r>
        <w:t xml:space="preserve">Conneau, A., Kruszewski, G., Lample, G., et al. (2018)</w:t>
      </w:r>
      <w:r>
        <w:t xml:space="preserve"> </w:t>
      </w:r>
      <w:r>
        <w:rPr>
          <w:iCs/>
          <w:i/>
        </w:rPr>
        <w:t xml:space="preserve">What you can cram into a single vector: Probing sentence embeddings for linguistic properties</w:t>
      </w:r>
      <w:r>
        <w:t xml:space="preserve">. Available at:</w:t>
      </w:r>
      <w:r>
        <w:t xml:space="preserve"> </w:t>
      </w:r>
      <w:hyperlink r:id="rId176">
        <w:r>
          <w:rPr>
            <w:rStyle w:val="Hyperlink"/>
          </w:rPr>
          <w:t xml:space="preserve">https://arxiv.org/abs/1805.01070</w:t>
        </w:r>
      </w:hyperlink>
      <w:r>
        <w:t xml:space="preserve">.</w:t>
      </w:r>
    </w:p>
    <w:bookmarkEnd w:id="177"/>
    <w:bookmarkStart w:id="179" w:name="ref-CoverHart1967"/>
    <w:p>
      <w:pPr>
        <w:pStyle w:val="Bibliography"/>
      </w:pPr>
      <w:r>
        <w:t xml:space="preserve">Cover, T.M. and Hart, P.E. (1967) Nearest neighbor pattern classification.</w:t>
      </w:r>
      <w:r>
        <w:t xml:space="preserve"> </w:t>
      </w:r>
      <w:r>
        <w:rPr>
          <w:iCs/>
          <w:i/>
        </w:rPr>
        <w:t xml:space="preserve">IEEE Transactions on Information Theory</w:t>
      </w:r>
      <w:r>
        <w:t xml:space="preserve">, 13 (1): 21–27. doi:</w:t>
      </w:r>
      <w:hyperlink r:id="rId178">
        <w:r>
          <w:rPr>
            <w:rStyle w:val="Hyperlink"/>
          </w:rPr>
          <w:t xml:space="preserve">10.1109/TIT.1967.1053964</w:t>
        </w:r>
      </w:hyperlink>
      <w:r>
        <w:t xml:space="preserve">.</w:t>
      </w:r>
    </w:p>
    <w:bookmarkEnd w:id="179"/>
    <w:bookmarkStart w:id="181" w:name="ref-Cowls2021"/>
    <w:p>
      <w:pPr>
        <w:pStyle w:val="Bibliography"/>
      </w:pPr>
      <w:r>
        <w:t xml:space="preserve">Cowls, J., Tsamados, A., Taddeo, M., et al. (2021) A definition, benchmark and database of</w:t>
      </w:r>
      <w:r>
        <w:t xml:space="preserve"> </w:t>
      </w:r>
      <w:r>
        <w:t xml:space="preserve">AI</w:t>
      </w:r>
      <w:r>
        <w:t xml:space="preserve"> </w:t>
      </w:r>
      <w:r>
        <w:t xml:space="preserve">for social good initiatives.</w:t>
      </w:r>
      <w:r>
        <w:t xml:space="preserve"> </w:t>
      </w:r>
      <w:r>
        <w:rPr>
          <w:iCs/>
          <w:i/>
        </w:rPr>
        <w:t xml:space="preserve">Nature Machine Intelligence</w:t>
      </w:r>
      <w:r>
        <w:t xml:space="preserve">, 3 (2): 111–115. doi:</w:t>
      </w:r>
      <w:hyperlink r:id="rId180">
        <w:r>
          <w:rPr>
            <w:rStyle w:val="Hyperlink"/>
          </w:rPr>
          <w:t xml:space="preserve">10.1038/s42256-021-00296-0</w:t>
        </w:r>
      </w:hyperlink>
      <w:r>
        <w:t xml:space="preserve">.</w:t>
      </w:r>
    </w:p>
    <w:bookmarkEnd w:id="181"/>
    <w:bookmarkStart w:id="183" w:name="ref-EUAI2024"/>
    <w:p>
      <w:pPr>
        <w:pStyle w:val="Bibliography"/>
      </w:pPr>
      <w:r>
        <w:t xml:space="preserve">European Union (2024)</w:t>
      </w:r>
      <w:r>
        <w:t xml:space="preserve"> </w:t>
      </w:r>
      <w:r>
        <w:rPr>
          <w:iCs/>
          <w:i/>
        </w:rPr>
        <w:t xml:space="preserve">Regulation (EU) 2024/1689 of the european parliament and of the council laying down harmonised rules on artificial intelligence (artificial intelligence act)</w:t>
      </w:r>
      <w:r>
        <w:t xml:space="preserve">. European Union. Available at:</w:t>
      </w:r>
      <w:r>
        <w:t xml:space="preserve"> </w:t>
      </w:r>
      <w:hyperlink r:id="rId182">
        <w:r>
          <w:rPr>
            <w:rStyle w:val="Hyperlink"/>
          </w:rPr>
          <w:t xml:space="preserve">https://eur-lex.europa.eu/legal-content/EN/TXT/?uri=CELEX:32024R1689</w:t>
        </w:r>
      </w:hyperlink>
      <w:r>
        <w:t xml:space="preserve">.</w:t>
      </w:r>
    </w:p>
    <w:bookmarkEnd w:id="183"/>
    <w:bookmarkStart w:id="185" w:name="ref-FukudaParr2016"/>
    <w:p>
      <w:pPr>
        <w:pStyle w:val="Bibliography"/>
      </w:pPr>
      <w:r>
        <w:t xml:space="preserve">Fukuda-Parr, S. (2016) From the millennium development goals to the sustainable development goals: Shifts in purpose, concept, and politics of global goal setting for development.</w:t>
      </w:r>
      <w:r>
        <w:t xml:space="preserve"> </w:t>
      </w:r>
      <w:r>
        <w:rPr>
          <w:iCs/>
          <w:i/>
        </w:rPr>
        <w:t xml:space="preserve">Gender &amp; Development</w:t>
      </w:r>
      <w:r>
        <w:t xml:space="preserve">, 24 (1): 43–52. doi:</w:t>
      </w:r>
      <w:hyperlink r:id="rId184">
        <w:r>
          <w:rPr>
            <w:rStyle w:val="Hyperlink"/>
          </w:rPr>
          <w:t xml:space="preserve">10.1080/13552074.2016.1145895</w:t>
        </w:r>
      </w:hyperlink>
      <w:r>
        <w:t xml:space="preserve">.</w:t>
      </w:r>
    </w:p>
    <w:bookmarkEnd w:id="185"/>
    <w:bookmarkStart w:id="186" w:name="ref-Gibbons1994"/>
    <w:p>
      <w:pPr>
        <w:pStyle w:val="Bibliography"/>
      </w:pPr>
      <w:r>
        <w:t xml:space="preserve">Gibbons, M., Limoges, C., Nowotny, H., et al. (1994)</w:t>
      </w:r>
      <w:r>
        <w:t xml:space="preserve"> </w:t>
      </w:r>
      <w:r>
        <w:rPr>
          <w:iCs/>
          <w:i/>
        </w:rPr>
        <w:t xml:space="preserve">The new production of knowledge: The dynamics of science and research in contemporary societies</w:t>
      </w:r>
      <w:r>
        <w:t xml:space="preserve">. London: SAGE Publications.</w:t>
      </w:r>
    </w:p>
    <w:bookmarkEnd w:id="186"/>
    <w:bookmarkStart w:id="188" w:name="ref-Gjorgjevikj2025"/>
    <w:p>
      <w:pPr>
        <w:pStyle w:val="Bibliography"/>
      </w:pPr>
      <w:r>
        <w:t xml:space="preserve">Gjorgjevikj, A., Mishev, K., Trajanov, D., et al. (2025) Benchmarking sentence encoders in associating indicators with sustainable development goals and targets.</w:t>
      </w:r>
      <w:r>
        <w:t xml:space="preserve"> </w:t>
      </w:r>
      <w:r>
        <w:rPr>
          <w:iCs/>
          <w:i/>
        </w:rPr>
        <w:t xml:space="preserve">IEEE Access</w:t>
      </w:r>
      <w:r>
        <w:t xml:space="preserve">, 13: 141434–141460. doi:</w:t>
      </w:r>
      <w:hyperlink r:id="rId187">
        <w:r>
          <w:rPr>
            <w:rStyle w:val="Hyperlink"/>
          </w:rPr>
          <w:t xml:space="preserve">10.1109/ACCESS.2025.3595894</w:t>
        </w:r>
      </w:hyperlink>
      <w:r>
        <w:t xml:space="preserve">.</w:t>
      </w:r>
    </w:p>
    <w:bookmarkEnd w:id="188"/>
    <w:bookmarkStart w:id="190" w:name="ref-Gohr2025AiSdgs"/>
    <w:p>
      <w:pPr>
        <w:pStyle w:val="Bibliography"/>
      </w:pPr>
      <w:r>
        <w:t xml:space="preserve">Gohr, C., Rodríguez, G., Belomestnykh, S., et al. (2025) Artificial intelligence in sustainable development research.</w:t>
      </w:r>
      <w:r>
        <w:t xml:space="preserve"> </w:t>
      </w:r>
      <w:r>
        <w:rPr>
          <w:iCs/>
          <w:i/>
        </w:rPr>
        <w:t xml:space="preserve">Nature Sustainability</w:t>
      </w:r>
      <w:r>
        <w:t xml:space="preserve">, 8: 970–978. doi:</w:t>
      </w:r>
      <w:hyperlink r:id="rId189">
        <w:r>
          <w:rPr>
            <w:rStyle w:val="Hyperlink"/>
          </w:rPr>
          <w:t xml:space="preserve">10.1038/s41893-025-01598-6</w:t>
        </w:r>
      </w:hyperlink>
      <w:r>
        <w:t xml:space="preserve">.</w:t>
      </w:r>
    </w:p>
    <w:bookmarkEnd w:id="190"/>
    <w:bookmarkStart w:id="192" w:name="ref-Grieve2025"/>
    <w:p>
      <w:pPr>
        <w:pStyle w:val="Bibliography"/>
      </w:pPr>
      <w:r>
        <w:t xml:space="preserve">Grieve, J., Bartl, S., Fuoli, M., et al. (2025) The sociolinguistic foundations of language modeling.</w:t>
      </w:r>
      <w:r>
        <w:t xml:space="preserve"> </w:t>
      </w:r>
      <w:r>
        <w:rPr>
          <w:iCs/>
          <w:i/>
        </w:rPr>
        <w:t xml:space="preserve">Frontiers in Artificial Intelligence</w:t>
      </w:r>
      <w:r>
        <w:t xml:space="preserve">, 7: 1472411. doi:</w:t>
      </w:r>
      <w:hyperlink r:id="rId191">
        <w:r>
          <w:rPr>
            <w:rStyle w:val="Hyperlink"/>
          </w:rPr>
          <w:t xml:space="preserve">10.3389/frai.2024.1472411</w:t>
        </w:r>
      </w:hyperlink>
      <w:r>
        <w:t xml:space="preserve">.</w:t>
      </w:r>
    </w:p>
    <w:bookmarkEnd w:id="192"/>
    <w:bookmarkStart w:id="194" w:name="ref-ICSU2017"/>
    <w:p>
      <w:pPr>
        <w:pStyle w:val="Bibliography"/>
      </w:pPr>
      <w:r>
        <w:t xml:space="preserve">Griggs, D.J., Nilsson, M., Stevance, A., et al. (eds.) (2017)</w:t>
      </w:r>
      <w:r>
        <w:t xml:space="preserve"> </w:t>
      </w:r>
      <w:r>
        <w:rPr>
          <w:iCs/>
          <w:i/>
        </w:rPr>
        <w:t xml:space="preserve">A guide to</w:t>
      </w:r>
      <w:r>
        <w:rPr>
          <w:iCs/>
          <w:i/>
        </w:rPr>
        <w:t xml:space="preserve"> </w:t>
      </w:r>
      <w:r>
        <w:rPr>
          <w:iCs/>
          <w:i/>
        </w:rPr>
        <w:t xml:space="preserve">SDG</w:t>
      </w:r>
      <w:r>
        <w:rPr>
          <w:iCs/>
          <w:i/>
        </w:rPr>
        <w:t xml:space="preserve"> </w:t>
      </w:r>
      <w:r>
        <w:rPr>
          <w:iCs/>
          <w:i/>
        </w:rPr>
        <w:t xml:space="preserve">interactions: From science to implementation</w:t>
      </w:r>
      <w:r>
        <w:t xml:space="preserve">. International Council for Science. doi:</w:t>
      </w:r>
      <w:hyperlink r:id="rId193">
        <w:r>
          <w:rPr>
            <w:rStyle w:val="Hyperlink"/>
          </w:rPr>
          <w:t xml:space="preserve">10.24948/2017.01</w:t>
        </w:r>
      </w:hyperlink>
      <w:r>
        <w:t xml:space="preserve">.</w:t>
      </w:r>
    </w:p>
    <w:bookmarkEnd w:id="194"/>
    <w:bookmarkStart w:id="196" w:name="ref-Guston2001"/>
    <w:p>
      <w:pPr>
        <w:pStyle w:val="Bibliography"/>
      </w:pPr>
      <w:r>
        <w:t xml:space="preserve">Guston, D.H. (2001) Boundary organizations in environmental policy and science: An introduction.</w:t>
      </w:r>
      <w:r>
        <w:t xml:space="preserve"> </w:t>
      </w:r>
      <w:r>
        <w:rPr>
          <w:iCs/>
          <w:i/>
        </w:rPr>
        <w:t xml:space="preserve">Science, Technology, &amp; Human Values</w:t>
      </w:r>
      <w:r>
        <w:t xml:space="preserve">, 26 (4): 399–408. doi:</w:t>
      </w:r>
      <w:hyperlink r:id="rId195">
        <w:r>
          <w:rPr>
            <w:rStyle w:val="Hyperlink"/>
          </w:rPr>
          <w:t xml:space="preserve">10.1177/016224390102600401</w:t>
        </w:r>
      </w:hyperlink>
      <w:r>
        <w:t xml:space="preserve">.</w:t>
      </w:r>
    </w:p>
    <w:bookmarkEnd w:id="196"/>
    <w:bookmarkStart w:id="198" w:name="ref-Haas1992"/>
    <w:p>
      <w:pPr>
        <w:pStyle w:val="Bibliography"/>
      </w:pPr>
      <w:r>
        <w:t xml:space="preserve">Haas, P.M. (1992) Introduction: Epistemic communities and international policy coordination.</w:t>
      </w:r>
      <w:r>
        <w:t xml:space="preserve"> </w:t>
      </w:r>
      <w:r>
        <w:rPr>
          <w:iCs/>
          <w:i/>
        </w:rPr>
        <w:t xml:space="preserve">International Organization</w:t>
      </w:r>
      <w:r>
        <w:t xml:space="preserve">, 46 (1): 1–35. doi:</w:t>
      </w:r>
      <w:hyperlink r:id="rId197">
        <w:r>
          <w:rPr>
            <w:rStyle w:val="Hyperlink"/>
          </w:rPr>
          <w:t xml:space="preserve">10.1017/S0020818300001442</w:t>
        </w:r>
      </w:hyperlink>
      <w:r>
        <w:t xml:space="preserve">.</w:t>
      </w:r>
    </w:p>
    <w:bookmarkEnd w:id="198"/>
    <w:bookmarkStart w:id="200" w:name="ref-Harris1954"/>
    <w:p>
      <w:pPr>
        <w:pStyle w:val="Bibliography"/>
      </w:pPr>
      <w:r>
        <w:t xml:space="preserve">Harris, Z.S. (1954) Distributional structure.</w:t>
      </w:r>
      <w:r>
        <w:t xml:space="preserve"> </w:t>
      </w:r>
      <w:r>
        <w:rPr>
          <w:iCs/>
          <w:i/>
        </w:rPr>
        <w:t xml:space="preserve">WORD</w:t>
      </w:r>
      <w:r>
        <w:t xml:space="preserve">, 10 (2–3): 146–162. doi:</w:t>
      </w:r>
      <w:hyperlink r:id="rId199">
        <w:r>
          <w:rPr>
            <w:rStyle w:val="Hyperlink"/>
          </w:rPr>
          <w:t xml:space="preserve">10.1080/00437956.1954.11659520</w:t>
        </w:r>
      </w:hyperlink>
      <w:r>
        <w:t xml:space="preserve">.</w:t>
      </w:r>
    </w:p>
    <w:bookmarkEnd w:id="200"/>
    <w:bookmarkStart w:id="202" w:name="ref-Hastie2009"/>
    <w:p>
      <w:pPr>
        <w:pStyle w:val="Bibliography"/>
      </w:pPr>
      <w:r>
        <w:t xml:space="preserve">Hastie, T., Tibshirani, R. and Friedman, J. (2009)</w:t>
      </w:r>
      <w:r>
        <w:t xml:space="preserve"> </w:t>
      </w:r>
      <w:r>
        <w:rPr>
          <w:iCs/>
          <w:i/>
        </w:rPr>
        <w:t xml:space="preserve">The elements of statistical learning</w:t>
      </w:r>
      <w:r>
        <w:t xml:space="preserve">. 2nd ed. Springer. doi:</w:t>
      </w:r>
      <w:hyperlink r:id="rId201">
        <w:r>
          <w:rPr>
            <w:rStyle w:val="Hyperlink"/>
          </w:rPr>
          <w:t xml:space="preserve">10.1007/978-0-387-84858-7</w:t>
        </w:r>
      </w:hyperlink>
      <w:r>
        <w:t xml:space="preserve">.</w:t>
      </w:r>
    </w:p>
    <w:bookmarkEnd w:id="202"/>
    <w:bookmarkStart w:id="204" w:name="ref-Heilinger2023"/>
    <w:p>
      <w:pPr>
        <w:pStyle w:val="Bibliography"/>
      </w:pPr>
      <w:r>
        <w:t xml:space="preserve">Heilinger, J.-C., Kempt, H. and Nagel, S.K. (2024) Beware of sustainable</w:t>
      </w:r>
      <w:r>
        <w:t xml:space="preserve"> </w:t>
      </w:r>
      <w:r>
        <w:t xml:space="preserve">AI</w:t>
      </w:r>
      <w:r>
        <w:t xml:space="preserve">! Uses and abuses of a worthy goal.</w:t>
      </w:r>
      <w:r>
        <w:t xml:space="preserve"> </w:t>
      </w:r>
      <w:r>
        <w:rPr>
          <w:iCs/>
          <w:i/>
        </w:rPr>
        <w:t xml:space="preserve">AI and Ethics</w:t>
      </w:r>
      <w:r>
        <w:t xml:space="preserve">, 4 (2): 201–212. doi:</w:t>
      </w:r>
      <w:hyperlink r:id="rId203">
        <w:r>
          <w:rPr>
            <w:rStyle w:val="Hyperlink"/>
          </w:rPr>
          <w:t xml:space="preserve">10.1007/s43681-023-00259-8</w:t>
        </w:r>
      </w:hyperlink>
      <w:r>
        <w:t xml:space="preserve">.</w:t>
      </w:r>
    </w:p>
    <w:bookmarkEnd w:id="204"/>
    <w:bookmarkStart w:id="205" w:name="ref-Elsevier2019"/>
    <w:p>
      <w:pPr>
        <w:pStyle w:val="Bibliography"/>
      </w:pPr>
      <w:r>
        <w:t xml:space="preserve">Hellwig, J., Huggett, S. and Siebert, M. (2019)</w:t>
      </w:r>
      <w:r>
        <w:t xml:space="preserve"> </w:t>
      </w:r>
      <w:r>
        <w:rPr>
          <w:iCs/>
          <w:i/>
        </w:rPr>
        <w:t xml:space="preserve">Artificial intelligence: How knowledge is created, transferred, and used</w:t>
      </w:r>
      <w:r>
        <w:t xml:space="preserve">. Elsevier.</w:t>
      </w:r>
    </w:p>
    <w:bookmarkEnd w:id="205"/>
    <w:bookmarkStart w:id="207" w:name="ref-HerasSaizarbitoria2022"/>
    <w:p>
      <w:pPr>
        <w:pStyle w:val="Bibliography"/>
      </w:pPr>
      <w:r>
        <w:t xml:space="preserve">Heras-Saizarbitoria, I., Urbieta, L. and Boiral, O. (2022) Organizations’ engagement with sustainable development goals: From cherry-picking to</w:t>
      </w:r>
      <w:r>
        <w:t xml:space="preserve"> </w:t>
      </w:r>
      <w:r>
        <w:t xml:space="preserve">SDG</w:t>
      </w:r>
      <w:r>
        <w:t xml:space="preserve">-washing?</w:t>
      </w:r>
      <w:r>
        <w:t xml:space="preserve"> </w:t>
      </w:r>
      <w:r>
        <w:rPr>
          <w:iCs/>
          <w:i/>
        </w:rPr>
        <w:t xml:space="preserve">Corporate Social Responsibility and Environmental Management</w:t>
      </w:r>
      <w:r>
        <w:t xml:space="preserve">, 29 (2): 316–328. doi:</w:t>
      </w:r>
      <w:hyperlink r:id="rId206">
        <w:r>
          <w:rPr>
            <w:rStyle w:val="Hyperlink"/>
          </w:rPr>
          <w:t xml:space="preserve">10.1002/csr.2202</w:t>
        </w:r>
      </w:hyperlink>
      <w:r>
        <w:t xml:space="preserve">.</w:t>
      </w:r>
    </w:p>
    <w:bookmarkEnd w:id="207"/>
    <w:bookmarkStart w:id="209" w:name="ref-IPCC2022"/>
    <w:p>
      <w:pPr>
        <w:pStyle w:val="Bibliography"/>
      </w:pPr>
      <w:r>
        <w:t xml:space="preserve">IPCC (2022)</w:t>
      </w:r>
      <w:r>
        <w:t xml:space="preserve"> </w:t>
      </w:r>
      <w:r>
        <w:rPr>
          <w:iCs/>
          <w:i/>
        </w:rPr>
        <w:t xml:space="preserve">Climate change 2022: Impacts, adaptation and vulnerability. Contribution of working group II to the sixth assessment report</w:t>
      </w:r>
      <w:r>
        <w:t xml:space="preserve">. Intergovernmental Panel on Climate Change. Available at:</w:t>
      </w:r>
      <w:r>
        <w:t xml:space="preserve"> </w:t>
      </w:r>
      <w:hyperlink r:id="rId208">
        <w:r>
          <w:rPr>
            <w:rStyle w:val="Hyperlink"/>
          </w:rPr>
          <w:t xml:space="preserve">https://www.ipcc.ch/report/ar6/wg2/</w:t>
        </w:r>
      </w:hyperlink>
      <w:r>
        <w:t xml:space="preserve">.</w:t>
      </w:r>
    </w:p>
    <w:bookmarkEnd w:id="209"/>
    <w:bookmarkStart w:id="211" w:name="ref-JankinEtAl2024"/>
    <w:p>
      <w:pPr>
        <w:pStyle w:val="Bibliography"/>
      </w:pPr>
      <w:r>
        <w:t xml:space="preserve">Jankin, S., Baturo, A. and Dasandi, N. (2024) Words to unite nations: The complete</w:t>
      </w:r>
      <w:r>
        <w:t xml:space="preserve"> </w:t>
      </w:r>
      <w:r>
        <w:t xml:space="preserve">United Nations General Debate Corpus</w:t>
      </w:r>
      <w:r>
        <w:t xml:space="preserve">, 1946–present.</w:t>
      </w:r>
      <w:r>
        <w:t xml:space="preserve"> </w:t>
      </w:r>
      <w:r>
        <w:rPr>
          <w:iCs/>
          <w:i/>
        </w:rPr>
        <w:t xml:space="preserve">Journal of Peace Research</w:t>
      </w:r>
      <w:r>
        <w:t xml:space="preserve">, 62 (4): 1339–1351. doi:</w:t>
      </w:r>
      <w:hyperlink r:id="rId210">
        <w:r>
          <w:rPr>
            <w:rStyle w:val="Hyperlink"/>
          </w:rPr>
          <w:t xml:space="preserve">10.1177/00223433241275335</w:t>
        </w:r>
      </w:hyperlink>
      <w:r>
        <w:t xml:space="preserve">.</w:t>
      </w:r>
    </w:p>
    <w:bookmarkEnd w:id="211"/>
    <w:bookmarkStart w:id="213" w:name="ref-Kashnitsky2024"/>
    <w:p>
      <w:pPr>
        <w:pStyle w:val="Bibliography"/>
      </w:pPr>
      <w:r>
        <w:t xml:space="preserve">Kashnitsky, Y., Roberge, G., Mu, J., et al. (2024) Evaluating approaches to identifying research supporting the united nations sustainable development goals.</w:t>
      </w:r>
      <w:r>
        <w:t xml:space="preserve"> </w:t>
      </w:r>
      <w:r>
        <w:rPr>
          <w:iCs/>
          <w:i/>
        </w:rPr>
        <w:t xml:space="preserve">Quantitative Science Studies</w:t>
      </w:r>
      <w:r>
        <w:t xml:space="preserve">, 5 (2): 408–425. doi:</w:t>
      </w:r>
      <w:hyperlink r:id="rId212">
        <w:r>
          <w:rPr>
            <w:rStyle w:val="Hyperlink"/>
          </w:rPr>
          <w:t xml:space="preserve">10.1162/qss_a_00304</w:t>
        </w:r>
      </w:hyperlink>
      <w:r>
        <w:t xml:space="preserve">.</w:t>
      </w:r>
    </w:p>
    <w:bookmarkEnd w:id="213"/>
    <w:bookmarkStart w:id="215" w:name="ref-LeBlanc2015"/>
    <w:p>
      <w:pPr>
        <w:pStyle w:val="Bibliography"/>
      </w:pPr>
      <w:r>
        <w:t xml:space="preserve">Le Blanc, D. (2015) Towards integration at last? The sustainable development goals as a network of targets.</w:t>
      </w:r>
      <w:r>
        <w:t xml:space="preserve"> </w:t>
      </w:r>
      <w:r>
        <w:rPr>
          <w:iCs/>
          <w:i/>
        </w:rPr>
        <w:t xml:space="preserve">Sustainable Development</w:t>
      </w:r>
      <w:r>
        <w:t xml:space="preserve">, 23 (3): 176–187. doi:</w:t>
      </w:r>
      <w:hyperlink r:id="rId214">
        <w:r>
          <w:rPr>
            <w:rStyle w:val="Hyperlink"/>
          </w:rPr>
          <w:t xml:space="preserve">10.1002/sd.1582</w:t>
        </w:r>
      </w:hyperlink>
      <w:r>
        <w:t xml:space="preserve">.</w:t>
      </w:r>
    </w:p>
    <w:bookmarkEnd w:id="215"/>
    <w:bookmarkStart w:id="217" w:name="ref-Manning2008"/>
    <w:p>
      <w:pPr>
        <w:pStyle w:val="Bibliography"/>
      </w:pPr>
      <w:r>
        <w:t xml:space="preserve">Manning, C.D., Raghavan, P. and Schütze, H. (2008)</w:t>
      </w:r>
      <w:r>
        <w:t xml:space="preserve"> </w:t>
      </w:r>
      <w:r>
        <w:rPr>
          <w:iCs/>
          <w:i/>
        </w:rPr>
        <w:t xml:space="preserve">Introduction to information retrieval</w:t>
      </w:r>
      <w:r>
        <w:t xml:space="preserve">. Cambridge University Press. Available at:</w:t>
      </w:r>
      <w:r>
        <w:t xml:space="preserve"> </w:t>
      </w:r>
      <w:hyperlink r:id="rId216">
        <w:r>
          <w:rPr>
            <w:rStyle w:val="Hyperlink"/>
          </w:rPr>
          <w:t xml:space="preserve">https://nlp.stanford.edu/IR-book/</w:t>
        </w:r>
      </w:hyperlink>
      <w:r>
        <w:t xml:space="preserve">.</w:t>
      </w:r>
    </w:p>
    <w:bookmarkEnd w:id="217"/>
    <w:bookmarkStart w:id="219" w:name="ref-McCarthy2026"/>
    <w:p>
      <w:pPr>
        <w:pStyle w:val="Bibliography"/>
      </w:pPr>
      <w:r>
        <w:t xml:space="preserve">McCarthy, C., Brooks, C., Sternberg, T., et al. (2026) AI-assisted multi-target classification for research-policy alignment in conservation science.</w:t>
      </w:r>
      <w:r>
        <w:t xml:space="preserve"> </w:t>
      </w:r>
      <w:r>
        <w:rPr>
          <w:iCs/>
          <w:i/>
        </w:rPr>
        <w:t xml:space="preserve">Ecological Informatics</w:t>
      </w:r>
      <w:r>
        <w:t xml:space="preserve">, 94: 103669. doi:</w:t>
      </w:r>
      <w:hyperlink r:id="rId218">
        <w:r>
          <w:rPr>
            <w:rStyle w:val="Hyperlink"/>
          </w:rPr>
          <w:t xml:space="preserve">10.1016/j.ecoinf.2026.103669</w:t>
        </w:r>
      </w:hyperlink>
      <w:r>
        <w:t xml:space="preserve">.</w:t>
      </w:r>
    </w:p>
    <w:bookmarkEnd w:id="219"/>
    <w:bookmarkStart w:id="221" w:name="ref-Nedungadi2024"/>
    <w:p>
      <w:pPr>
        <w:pStyle w:val="Bibliography"/>
      </w:pPr>
      <w:r>
        <w:t xml:space="preserve">Nedungadi, P., Surendran, S., Tang, K.-Y., et al. (2024) Big data and</w:t>
      </w:r>
      <w:r>
        <w:t xml:space="preserve"> </w:t>
      </w:r>
      <w:r>
        <w:t xml:space="preserve">AI</w:t>
      </w:r>
      <w:r>
        <w:t xml:space="preserve"> </w:t>
      </w:r>
      <w:r>
        <w:t xml:space="preserve">algorithms for sustainable development goals: A topic modeling analysis.</w:t>
      </w:r>
      <w:r>
        <w:t xml:space="preserve"> </w:t>
      </w:r>
      <w:r>
        <w:rPr>
          <w:iCs/>
          <w:i/>
        </w:rPr>
        <w:t xml:space="preserve">IEEE Access</w:t>
      </w:r>
      <w:r>
        <w:t xml:space="preserve">, 12: 188519–188541. doi:</w:t>
      </w:r>
      <w:hyperlink r:id="rId220">
        <w:r>
          <w:rPr>
            <w:rStyle w:val="Hyperlink"/>
          </w:rPr>
          <w:t xml:space="preserve">10.1109/ACCESS.2024.3516500</w:t>
        </w:r>
      </w:hyperlink>
      <w:r>
        <w:t xml:space="preserve">.</w:t>
      </w:r>
    </w:p>
    <w:bookmarkEnd w:id="221"/>
    <w:bookmarkStart w:id="223" w:name="ref-Nilsson2016"/>
    <w:p>
      <w:pPr>
        <w:pStyle w:val="Bibliography"/>
      </w:pPr>
      <w:r>
        <w:t xml:space="preserve">Nilsson, M., Griggs, D.J. and Visbeck, M. (2016) Policy: Map the interactions between sustainable development goals.</w:t>
      </w:r>
      <w:r>
        <w:t xml:space="preserve"> </w:t>
      </w:r>
      <w:r>
        <w:rPr>
          <w:iCs/>
          <w:i/>
        </w:rPr>
        <w:t xml:space="preserve">Nature</w:t>
      </w:r>
      <w:r>
        <w:t xml:space="preserve">, 534 (7607): 320–322. doi:</w:t>
      </w:r>
      <w:hyperlink r:id="rId222">
        <w:r>
          <w:rPr>
            <w:rStyle w:val="Hyperlink"/>
          </w:rPr>
          <w:t xml:space="preserve">10.1038/534320a</w:t>
        </w:r>
      </w:hyperlink>
      <w:r>
        <w:t xml:space="preserve">.</w:t>
      </w:r>
    </w:p>
    <w:bookmarkEnd w:id="223"/>
    <w:bookmarkStart w:id="225" w:name="ref-NiuCarpuat2017"/>
    <w:p>
      <w:pPr>
        <w:pStyle w:val="Bibliography"/>
      </w:pPr>
      <w:r>
        <w:t xml:space="preserve">Niu, X. and Carpuat, M. (2017)</w:t>
      </w:r>
      <w:r>
        <w:t xml:space="preserve"> </w:t>
      </w:r>
      <w:r>
        <w:t xml:space="preserve">“Discovering stylistic variations in distributional vector space models via lexical paraphrases.”</w:t>
      </w:r>
      <w:r>
        <w:t xml:space="preserve"> </w:t>
      </w:r>
      <w:r>
        <w:rPr>
          <w:u w:val="single"/>
        </w:rPr>
        <w:t xml:space="preserve">In</w:t>
      </w:r>
      <w:r>
        <w:t xml:space="preserve"> Brooke, J., Solorio, T. and Koppel, M. (eds.).</w:t>
      </w:r>
      <w:r>
        <w:t xml:space="preserve"> </w:t>
      </w:r>
      <w:r>
        <w:rPr>
          <w:iCs/>
          <w:i/>
        </w:rPr>
        <w:t xml:space="preserve">Proceedings of the workshop on stylistic variation</w:t>
      </w:r>
      <w:r>
        <w:t xml:space="preserve">. Copenhagen, Denmark, September 2017. Association for Computational Linguistics. pp. 20–27. doi:</w:t>
      </w:r>
      <w:hyperlink r:id="rId224">
        <w:r>
          <w:rPr>
            <w:rStyle w:val="Hyperlink"/>
          </w:rPr>
          <w:t xml:space="preserve">10.18653/v1/W17-4903</w:t>
        </w:r>
      </w:hyperlink>
      <w:r>
        <w:t xml:space="preserve">.</w:t>
      </w:r>
    </w:p>
    <w:bookmarkEnd w:id="225"/>
    <w:bookmarkStart w:id="227" w:name="ref-OECDAiMethod"/>
    <w:p>
      <w:pPr>
        <w:pStyle w:val="Bibliography"/>
      </w:pPr>
      <w:r>
        <w:t xml:space="preserve">OECD (2024)</w:t>
      </w:r>
      <w:r>
        <w:t xml:space="preserve"> </w:t>
      </w:r>
      <w:r>
        <w:rPr>
          <w:iCs/>
          <w:i/>
        </w:rPr>
        <w:t xml:space="preserve">OECD.AI: Partner data and methodological note</w:t>
      </w:r>
      <w:r>
        <w:t xml:space="preserve">. Available at:</w:t>
      </w:r>
      <w:r>
        <w:t xml:space="preserve"> </w:t>
      </w:r>
      <w:hyperlink r:id="rId226">
        <w:r>
          <w:rPr>
            <w:rStyle w:val="Hyperlink"/>
          </w:rPr>
          <w:t xml:space="preserve">https://oecd.ai/en/partner-data-methodological-note</w:t>
        </w:r>
      </w:hyperlink>
      <w:r>
        <w:t xml:space="preserve">.</w:t>
      </w:r>
    </w:p>
    <w:bookmarkEnd w:id="227"/>
    <w:bookmarkStart w:id="229" w:name="ref-Priem2022"/>
    <w:p>
      <w:pPr>
        <w:pStyle w:val="Bibliography"/>
      </w:pPr>
      <w:r>
        <w:t xml:space="preserve">Priem, J., Piwowar, H. and Orr, R. (2022)</w:t>
      </w:r>
      <w:r>
        <w:t xml:space="preserve"> </w:t>
      </w:r>
      <w:r>
        <w:rPr>
          <w:iCs/>
          <w:i/>
        </w:rPr>
        <w:t xml:space="preserve">OpenAlex</w:t>
      </w:r>
      <w:r>
        <w:rPr>
          <w:iCs/>
          <w:i/>
        </w:rPr>
        <w:t xml:space="preserve">: A fully-open index of the world’s scholarly works</w:t>
      </w:r>
      <w:r>
        <w:t xml:space="preserve">. doi:</w:t>
      </w:r>
      <w:hyperlink r:id="rId228">
        <w:r>
          <w:rPr>
            <w:rStyle w:val="Hyperlink"/>
          </w:rPr>
          <w:t xml:space="preserve">10.48550/arXiv.2205.01833</w:t>
        </w:r>
      </w:hyperlink>
      <w:r>
        <w:t xml:space="preserve">.</w:t>
      </w:r>
    </w:p>
    <w:bookmarkEnd w:id="229"/>
    <w:bookmarkStart w:id="231" w:name="ref-Pukelis2022"/>
    <w:p>
      <w:pPr>
        <w:pStyle w:val="Bibliography"/>
      </w:pPr>
      <w:r>
        <w:t xml:space="preserve">Pukelis, L., Bautista-Puig, N., Statulevičiūtė, G., et al. (2022)</w:t>
      </w:r>
      <w:r>
        <w:t xml:space="preserve"> </w:t>
      </w:r>
      <w:r>
        <w:t xml:space="preserve">OSDG</w:t>
      </w:r>
      <w:r>
        <w:t xml:space="preserve"> </w:t>
      </w:r>
      <w:r>
        <w:t xml:space="preserve">2.0: A multilingual tool for classifying text data by</w:t>
      </w:r>
      <w:r>
        <w:t xml:space="preserve"> </w:t>
      </w:r>
      <w:r>
        <w:t xml:space="preserve">UN</w:t>
      </w:r>
      <w:r>
        <w:t xml:space="preserve"> </w:t>
      </w:r>
      <w:r>
        <w:t xml:space="preserve">sustainable development goals (</w:t>
      </w:r>
      <w:r>
        <w:t xml:space="preserve">SDGs</w:t>
      </w:r>
      <w:r>
        <w:t xml:space="preserve">).</w:t>
      </w:r>
      <w:r>
        <w:t xml:space="preserve"> </w:t>
      </w:r>
      <w:r>
        <w:rPr>
          <w:iCs/>
          <w:i/>
        </w:rPr>
        <w:t xml:space="preserve">arXiv preprint</w:t>
      </w:r>
      <w:r>
        <w:t xml:space="preserve">. doi:</w:t>
      </w:r>
      <w:hyperlink r:id="rId230">
        <w:r>
          <w:rPr>
            <w:rStyle w:val="Hyperlink"/>
          </w:rPr>
          <w:t xml:space="preserve">10.48550/arXiv.2211.11252</w:t>
        </w:r>
      </w:hyperlink>
      <w:r>
        <w:t xml:space="preserve">.</w:t>
      </w:r>
    </w:p>
    <w:bookmarkEnd w:id="231"/>
    <w:bookmarkStart w:id="233" w:name="ref-Ravfogel2020INLP"/>
    <w:p>
      <w:pPr>
        <w:pStyle w:val="Bibliography"/>
      </w:pPr>
      <w:r>
        <w:t xml:space="preserve">Ravfogel, S., Elazar, Y., Gonen, H., et al. (2020)</w:t>
      </w:r>
      <w:r>
        <w:t xml:space="preserve"> </w:t>
      </w:r>
      <w:r>
        <w:t xml:space="preserve">“Null it out: Guarding protected attributes by iterative nullspace projection.”</w:t>
      </w:r>
      <w:r>
        <w:t xml:space="preserve"> </w:t>
      </w:r>
      <w:r>
        <w:rPr>
          <w:u w:val="single"/>
        </w:rPr>
        <w:t xml:space="preserve">In</w:t>
      </w:r>
      <w:r>
        <w:t xml:space="preserve"> </w:t>
      </w:r>
      <w:r>
        <w:rPr>
          <w:iCs/>
          <w:i/>
        </w:rPr>
        <w:t xml:space="preserve">Proceedings of the 58th annual meeting of the association for computational linguistics</w:t>
      </w:r>
      <w:r>
        <w:t xml:space="preserve">. 2020. Association for Computational Linguistics. pp. 7237–7256. doi:</w:t>
      </w:r>
      <w:hyperlink r:id="rId232">
        <w:r>
          <w:rPr>
            <w:rStyle w:val="Hyperlink"/>
          </w:rPr>
          <w:t xml:space="preserve">10.18653/v1/2020.acl-main.647</w:t>
        </w:r>
      </w:hyperlink>
      <w:r>
        <w:t xml:space="preserve">.</w:t>
      </w:r>
    </w:p>
    <w:bookmarkEnd w:id="233"/>
    <w:bookmarkStart w:id="235" w:name="ref-Reimers2019"/>
    <w:p>
      <w:pPr>
        <w:pStyle w:val="Bibliography"/>
      </w:pPr>
      <w:r>
        <w:t xml:space="preserve">Reimers, N. and Gurevych, I. (2019)</w:t>
      </w:r>
      <w:r>
        <w:t xml:space="preserve"> </w:t>
      </w:r>
      <w:r>
        <w:t xml:space="preserve">“Sentence-</w:t>
      </w:r>
      <w:r>
        <w:t xml:space="preserve">BERT</w:t>
      </w:r>
      <w:r>
        <w:t xml:space="preserve">: Sentence embeddings using siamese</w:t>
      </w:r>
      <w:r>
        <w:t xml:space="preserve"> </w:t>
      </w:r>
      <w:r>
        <w:t xml:space="preserve">BERT</w:t>
      </w:r>
      <w:r>
        <w:t xml:space="preserve">-networks.”</w:t>
      </w:r>
      <w:r>
        <w:t xml:space="preserve"> </w:t>
      </w:r>
      <w:r>
        <w:rPr>
          <w:u w:val="single"/>
        </w:rPr>
        <w:t xml:space="preserve">In</w:t>
      </w:r>
      <w:r>
        <w:t xml:space="preserve"> </w:t>
      </w:r>
      <w:r>
        <w:rPr>
          <w:iCs/>
          <w:i/>
        </w:rPr>
        <w:t xml:space="preserve">Proceedings of the 2019 conference on empirical methods in natural language processing</w:t>
      </w:r>
      <w:r>
        <w:t xml:space="preserve">. 2019. Association for Computational Linguistics. pp. 3982–3992. doi:</w:t>
      </w:r>
      <w:hyperlink r:id="rId234">
        <w:r>
          <w:rPr>
            <w:rStyle w:val="Hyperlink"/>
          </w:rPr>
          <w:t xml:space="preserve">10.18653/v1/D19-1410</w:t>
        </w:r>
      </w:hyperlink>
      <w:r>
        <w:t xml:space="preserve">.</w:t>
      </w:r>
    </w:p>
    <w:bookmarkEnd w:id="235"/>
    <w:bookmarkStart w:id="237" w:name="ref-Rodriguez2023"/>
    <w:p>
      <w:pPr>
        <w:pStyle w:val="Bibliography"/>
      </w:pPr>
      <w:r>
        <w:t xml:space="preserve">Rodriguez, P.L., Spirling, A. and Stewart, B.M. (2023) Embedding regression: Models for context-specific description and inference.</w:t>
      </w:r>
      <w:r>
        <w:t xml:space="preserve"> </w:t>
      </w:r>
      <w:r>
        <w:rPr>
          <w:iCs/>
          <w:i/>
        </w:rPr>
        <w:t xml:space="preserve">American Political Science Review</w:t>
      </w:r>
      <w:r>
        <w:t xml:space="preserve">, 117 (4): 1255–1274. doi:</w:t>
      </w:r>
      <w:hyperlink r:id="rId236">
        <w:r>
          <w:rPr>
            <w:rStyle w:val="Hyperlink"/>
          </w:rPr>
          <w:t xml:space="preserve">10.1017/S0003055422001228</w:t>
        </w:r>
      </w:hyperlink>
      <w:r>
        <w:t xml:space="preserve">.</w:t>
      </w:r>
    </w:p>
    <w:bookmarkEnd w:id="237"/>
    <w:bookmarkStart w:id="239" w:name="ref-CSET2023"/>
    <w:p>
      <w:pPr>
        <w:pStyle w:val="Bibliography"/>
      </w:pPr>
      <w:r>
        <w:t xml:space="preserve">Schoeberl, M., Toney, B. and Dunham, M. (2023)</w:t>
      </w:r>
      <w:r>
        <w:t xml:space="preserve"> </w:t>
      </w:r>
      <w:r>
        <w:rPr>
          <w:iCs/>
          <w:i/>
        </w:rPr>
        <w:t xml:space="preserve">Identifying AI research</w:t>
      </w:r>
      <w:r>
        <w:t xml:space="preserve">. Center for Security; Emerging Technology (CSET). doi:</w:t>
      </w:r>
      <w:hyperlink r:id="rId238">
        <w:r>
          <w:rPr>
            <w:rStyle w:val="Hyperlink"/>
          </w:rPr>
          <w:t xml:space="preserve">10.51593/20230</w:t>
        </w:r>
      </w:hyperlink>
      <w:r>
        <w:t xml:space="preserve">.</w:t>
      </w:r>
    </w:p>
    <w:bookmarkEnd w:id="239"/>
    <w:bookmarkStart w:id="241" w:name="ref-SDGBenchmark"/>
    <w:p>
      <w:pPr>
        <w:pStyle w:val="Bibliography"/>
      </w:pPr>
      <w:r>
        <w:t xml:space="preserve">SDG Classification Expert Group (2025)</w:t>
      </w:r>
      <w:r>
        <w:t xml:space="preserve"> </w:t>
      </w:r>
      <w:r>
        <w:rPr>
          <w:iCs/>
          <w:i/>
        </w:rPr>
        <w:t xml:space="preserve">SDG</w:t>
      </w:r>
      <w:r>
        <w:rPr>
          <w:iCs/>
          <w:i/>
        </w:rPr>
        <w:t xml:space="preserve"> </w:t>
      </w:r>
      <w:r>
        <w:rPr>
          <w:iCs/>
          <w:i/>
        </w:rPr>
        <w:t xml:space="preserve">classification benchmark</w:t>
      </w:r>
      <w:r>
        <w:t xml:space="preserve">. Available at:</w:t>
      </w:r>
      <w:r>
        <w:t xml:space="preserve"> </w:t>
      </w:r>
      <w:hyperlink r:id="rId240">
        <w:r>
          <w:rPr>
            <w:rStyle w:val="Hyperlink"/>
          </w:rPr>
          <w:t xml:space="preserve">https://github.com/SDGClassification/benchmark</w:t>
        </w:r>
      </w:hyperlink>
      <w:r>
        <w:t xml:space="preserve">.</w:t>
      </w:r>
    </w:p>
    <w:bookmarkEnd w:id="241"/>
    <w:bookmarkStart w:id="243" w:name="ref-SDGi2024"/>
    <w:p>
      <w:pPr>
        <w:pStyle w:val="Bibliography"/>
      </w:pPr>
      <w:r>
        <w:t xml:space="preserve">SDGi (2024)</w:t>
      </w:r>
      <w:r>
        <w:t xml:space="preserve"> </w:t>
      </w:r>
      <w:r>
        <w:rPr>
          <w:iCs/>
          <w:i/>
        </w:rPr>
        <w:t xml:space="preserve">SDGi</w:t>
      </w:r>
      <w:r>
        <w:rPr>
          <w:iCs/>
          <w:i/>
        </w:rPr>
        <w:t xml:space="preserve"> </w:t>
      </w:r>
      <w:r>
        <w:rPr>
          <w:iCs/>
          <w:i/>
        </w:rPr>
        <w:t xml:space="preserve">corpus of voluntary national and local reviews</w:t>
      </w:r>
      <w:r>
        <w:t xml:space="preserve">. Available at:</w:t>
      </w:r>
      <w:r>
        <w:t xml:space="preserve"> </w:t>
      </w:r>
      <w:hyperlink r:id="rId242">
        <w:r>
          <w:rPr>
            <w:rStyle w:val="Hyperlink"/>
          </w:rPr>
          <w:t xml:space="preserve">https://huggingface.co/datasets/UNDP/sdgi-corpus</w:t>
        </w:r>
      </w:hyperlink>
      <w:r>
        <w:t xml:space="preserve">.</w:t>
      </w:r>
    </w:p>
    <w:bookmarkEnd w:id="243"/>
    <w:bookmarkStart w:id="244" w:name="ref-all-minilm-l6-v2"/>
    <w:p>
      <w:pPr>
        <w:pStyle w:val="Bibliography"/>
      </w:pPr>
      <w:r>
        <w:t xml:space="preserve">Sentence-Transformers (2021a)</w:t>
      </w:r>
      <w:r>
        <w:t xml:space="preserve"> </w:t>
      </w:r>
      <w:r>
        <w:rPr>
          <w:iCs/>
          <w:i/>
        </w:rPr>
        <w:t xml:space="preserve">all-MiniLM-L6-v2</w:t>
      </w:r>
      <w:r>
        <w:rPr>
          <w:iCs/>
          <w:i/>
        </w:rPr>
        <w:t xml:space="preserve">: Sentence embedding model</w:t>
      </w:r>
      <w:r>
        <w:t xml:space="preserve">.</w:t>
      </w:r>
    </w:p>
    <w:bookmarkEnd w:id="244"/>
    <w:bookmarkStart w:id="245" w:name="ref-all-mpnet-base-v2"/>
    <w:p>
      <w:pPr>
        <w:pStyle w:val="Bibliography"/>
      </w:pPr>
      <w:r>
        <w:t xml:space="preserve">Sentence-Transformers (2021b)</w:t>
      </w:r>
      <w:r>
        <w:t xml:space="preserve"> </w:t>
      </w:r>
      <w:r>
        <w:rPr>
          <w:iCs/>
          <w:i/>
        </w:rPr>
        <w:t xml:space="preserve">all-mpnet-base-v2</w:t>
      </w:r>
      <w:r>
        <w:rPr>
          <w:iCs/>
          <w:i/>
        </w:rPr>
        <w:t xml:space="preserve">: Sentence embedding model</w:t>
      </w:r>
      <w:r>
        <w:t xml:space="preserve">.</w:t>
      </w:r>
    </w:p>
    <w:bookmarkEnd w:id="245"/>
    <w:bookmarkStart w:id="247" w:name="ref-Singh2024"/>
    <w:p>
      <w:pPr>
        <w:pStyle w:val="Bibliography"/>
      </w:pPr>
      <w:r>
        <w:t xml:space="preserve">Singh, A., Kanaujia, A., Singh, V.K., et al. (2024) Artificial intelligence for sustainable development goals: Bibliometric patterns and concept evolution trajectories.</w:t>
      </w:r>
      <w:r>
        <w:t xml:space="preserve"> </w:t>
      </w:r>
      <w:r>
        <w:rPr>
          <w:iCs/>
          <w:i/>
        </w:rPr>
        <w:t xml:space="preserve">Sustainable Development</w:t>
      </w:r>
      <w:r>
        <w:t xml:space="preserve">, 32 (1): 724–754. doi:</w:t>
      </w:r>
      <w:hyperlink r:id="rId246">
        <w:r>
          <w:rPr>
            <w:rStyle w:val="Hyperlink"/>
          </w:rPr>
          <w:t xml:space="preserve">10.1002/sd.2706</w:t>
        </w:r>
      </w:hyperlink>
      <w:r>
        <w:t xml:space="preserve">.</w:t>
      </w:r>
    </w:p>
    <w:bookmarkEnd w:id="247"/>
    <w:bookmarkStart w:id="249" w:name="ref-SioumalasChristodoulou2025"/>
    <w:p>
      <w:pPr>
        <w:pStyle w:val="Bibliography"/>
      </w:pPr>
      <w:r>
        <w:t xml:space="preserve">Sioumalas-Christodoulou, K. and Tympas, A. (2025)</w:t>
      </w:r>
      <w:r>
        <w:t xml:space="preserve"> </w:t>
      </w:r>
      <w:r>
        <w:t xml:space="preserve">AI</w:t>
      </w:r>
      <w:r>
        <w:t xml:space="preserve"> </w:t>
      </w:r>
      <w:r>
        <w:t xml:space="preserve">metrics and policymaking: Assumptions and challenges in the shaping of</w:t>
      </w:r>
      <w:r>
        <w:t xml:space="preserve"> </w:t>
      </w:r>
      <w:r>
        <w:t xml:space="preserve">AI</w:t>
      </w:r>
      <w:r>
        <w:t xml:space="preserve">.</w:t>
      </w:r>
      <w:r>
        <w:t xml:space="preserve"> </w:t>
      </w:r>
      <w:r>
        <w:rPr>
          <w:iCs/>
          <w:i/>
        </w:rPr>
        <w:t xml:space="preserve">AI &amp; Society</w:t>
      </w:r>
      <w:r>
        <w:t xml:space="preserve">, 40: 4655–4670. doi:</w:t>
      </w:r>
      <w:hyperlink r:id="rId248">
        <w:r>
          <w:rPr>
            <w:rStyle w:val="Hyperlink"/>
          </w:rPr>
          <w:t xml:space="preserve">10.1007/s00146-025-02181-5</w:t>
        </w:r>
      </w:hyperlink>
      <w:r>
        <w:t xml:space="preserve">.</w:t>
      </w:r>
    </w:p>
    <w:bookmarkEnd w:id="249"/>
    <w:bookmarkStart w:id="251" w:name="ref-Strauss2025"/>
    <w:p>
      <w:pPr>
        <w:pStyle w:val="Bibliography"/>
      </w:pPr>
      <w:r>
        <w:t xml:space="preserve">Strauss, I., Moure, I., O’Reilly, T., et al. (2025)</w:t>
      </w:r>
      <w:r>
        <w:t xml:space="preserve"> </w:t>
      </w:r>
      <w:r>
        <w:rPr>
          <w:iCs/>
          <w:i/>
        </w:rPr>
        <w:t xml:space="preserve">Real-world gaps in</w:t>
      </w:r>
      <w:r>
        <w:rPr>
          <w:iCs/>
          <w:i/>
        </w:rPr>
        <w:t xml:space="preserve"> </w:t>
      </w:r>
      <w:r>
        <w:rPr>
          <w:iCs/>
          <w:i/>
        </w:rPr>
        <w:t xml:space="preserve">AI</w:t>
      </w:r>
      <w:r>
        <w:rPr>
          <w:iCs/>
          <w:i/>
        </w:rPr>
        <w:t xml:space="preserve"> </w:t>
      </w:r>
      <w:r>
        <w:rPr>
          <w:iCs/>
          <w:i/>
        </w:rPr>
        <w:t xml:space="preserve">governance research:</w:t>
      </w:r>
      <w:r>
        <w:rPr>
          <w:iCs/>
          <w:i/>
        </w:rPr>
        <w:t xml:space="preserve"> </w:t>
      </w:r>
      <w:r>
        <w:rPr>
          <w:iCs/>
          <w:i/>
        </w:rPr>
        <w:t xml:space="preserve">AI</w:t>
      </w:r>
      <w:r>
        <w:rPr>
          <w:iCs/>
          <w:i/>
        </w:rPr>
        <w:t xml:space="preserve"> </w:t>
      </w:r>
      <w:r>
        <w:rPr>
          <w:iCs/>
          <w:i/>
        </w:rPr>
        <w:t xml:space="preserve">safety and reliability in everyday deployments</w:t>
      </w:r>
      <w:r>
        <w:t xml:space="preserve">. doi:</w:t>
      </w:r>
      <w:hyperlink r:id="rId250">
        <w:r>
          <w:rPr>
            <w:rStyle w:val="Hyperlink"/>
          </w:rPr>
          <w:t xml:space="preserve">10.48550/arXiv.2505.00174</w:t>
        </w:r>
      </w:hyperlink>
      <w:r>
        <w:t xml:space="preserve">.</w:t>
      </w:r>
    </w:p>
    <w:bookmarkEnd w:id="251"/>
    <w:bookmarkStart w:id="253" w:name="ref-ToneyWails2024"/>
    <w:p>
      <w:pPr>
        <w:pStyle w:val="Bibliography"/>
      </w:pPr>
      <w:r>
        <w:t xml:space="preserve">Toney-Wails, A., Curlee, K. and Probasco, E. (2024)</w:t>
      </w:r>
      <w:r>
        <w:t xml:space="preserve"> </w:t>
      </w:r>
      <w:r>
        <w:t xml:space="preserve">“Trust issues: Discrepancies in trustworthy</w:t>
      </w:r>
      <w:r>
        <w:t xml:space="preserve"> </w:t>
      </w:r>
      <w:r>
        <w:t xml:space="preserve">AI</w:t>
      </w:r>
      <w:r>
        <w:t xml:space="preserve"> </w:t>
      </w:r>
      <w:r>
        <w:t xml:space="preserve">keywords use in policy and research.”</w:t>
      </w:r>
      <w:r>
        <w:t xml:space="preserve"> </w:t>
      </w:r>
      <w:r>
        <w:rPr>
          <w:u w:val="single"/>
        </w:rPr>
        <w:t xml:space="preserve">In</w:t>
      </w:r>
      <w:r>
        <w:t xml:space="preserve"> </w:t>
      </w:r>
      <w:r>
        <w:rPr>
          <w:iCs/>
          <w:i/>
        </w:rPr>
        <w:t xml:space="preserve">Proceedings of the 2024</w:t>
      </w:r>
      <w:r>
        <w:rPr>
          <w:iCs/>
          <w:i/>
        </w:rPr>
        <w:t xml:space="preserve"> </w:t>
      </w:r>
      <w:r>
        <w:rPr>
          <w:iCs/>
          <w:i/>
        </w:rPr>
        <w:t xml:space="preserve">ACM</w:t>
      </w:r>
      <w:r>
        <w:rPr>
          <w:iCs/>
          <w:i/>
        </w:rPr>
        <w:t xml:space="preserve"> </w:t>
      </w:r>
      <w:r>
        <w:rPr>
          <w:iCs/>
          <w:i/>
        </w:rPr>
        <w:t xml:space="preserve">conference on fairness, accountability, and transparency (FAccT ’24)</w:t>
      </w:r>
      <w:r>
        <w:t xml:space="preserve">. 2024. Association for Computing Machinery. pp. 2222–2233. doi:</w:t>
      </w:r>
      <w:hyperlink r:id="rId252">
        <w:r>
          <w:rPr>
            <w:rStyle w:val="Hyperlink"/>
          </w:rPr>
          <w:t xml:space="preserve">10.1145/3630106.3659035</w:t>
        </w:r>
      </w:hyperlink>
      <w:r>
        <w:t xml:space="preserve">.</w:t>
      </w:r>
    </w:p>
    <w:bookmarkEnd w:id="253"/>
    <w:bookmarkStart w:id="255" w:name="ref-Vanderfeesten2020Aurora"/>
    <w:p>
      <w:pPr>
        <w:pStyle w:val="Bibliography"/>
      </w:pPr>
      <w:r>
        <w:t xml:space="preserve">Vanderfeesten, M., Spielberg, E. and Gunes, Y. (2020)</w:t>
      </w:r>
      <w:r>
        <w:t xml:space="preserve"> </w:t>
      </w:r>
      <w:r>
        <w:rPr>
          <w:iCs/>
          <w:i/>
        </w:rPr>
        <w:t xml:space="preserve">Survey data of</w:t>
      </w:r>
      <w:r>
        <w:rPr>
          <w:iCs/>
          <w:i/>
        </w:rPr>
        <w:t xml:space="preserve"> </w:t>
      </w:r>
      <w:r>
        <w:rPr>
          <w:iCs/>
          <w:i/>
        </w:rPr>
        <w:t xml:space="preserve">“Mapping Research Output to the Sustainable Development Goals (SDGs)”</w:t>
      </w:r>
      <w:r>
        <w:rPr>
          <w:iCs/>
          <w:i/>
        </w:rPr>
        <w:t xml:space="preserve"> </w:t>
      </w:r>
      <w:r>
        <w:rPr>
          <w:iCs/>
          <w:i/>
        </w:rPr>
        <w:t xml:space="preserve">by</w:t>
      </w:r>
      <w:r>
        <w:rPr>
          <w:iCs/>
          <w:i/>
        </w:rPr>
        <w:t xml:space="preserve"> </w:t>
      </w:r>
      <w:r>
        <w:rPr>
          <w:iCs/>
          <w:i/>
        </w:rPr>
        <w:t xml:space="preserve">Aurora</w:t>
      </w:r>
      <w:r>
        <w:rPr>
          <w:iCs/>
          <w:i/>
        </w:rPr>
        <w:t xml:space="preserve"> </w:t>
      </w:r>
      <w:r>
        <w:rPr>
          <w:iCs/>
          <w:i/>
        </w:rPr>
        <w:t xml:space="preserve">universities network (</w:t>
      </w:r>
      <w:r>
        <w:rPr>
          <w:iCs/>
          <w:i/>
        </w:rPr>
        <w:t xml:space="preserve">AUR</w:t>
      </w:r>
      <w:r>
        <w:rPr>
          <w:iCs/>
          <w:i/>
        </w:rPr>
        <w:t xml:space="preserve">)</w:t>
      </w:r>
      <w:r>
        <w:t xml:space="preserve">. doi:</w:t>
      </w:r>
      <w:hyperlink r:id="rId254">
        <w:r>
          <w:rPr>
            <w:rStyle w:val="Hyperlink"/>
          </w:rPr>
          <w:t xml:space="preserve">10.5281/zenodo.3798385</w:t>
        </w:r>
      </w:hyperlink>
      <w:r>
        <w:t xml:space="preserve">.</w:t>
      </w:r>
    </w:p>
    <w:bookmarkEnd w:id="255"/>
    <w:bookmarkStart w:id="257" w:name="ref-Vinuesa2020"/>
    <w:p>
      <w:pPr>
        <w:pStyle w:val="Bibliography"/>
      </w:pPr>
      <w:r>
        <w:t xml:space="preserve">Vinuesa, R., Azizpour, H., Leite, I., et al. (2020) The role of artificial intelligence in achieving the sustainable development goals.</w:t>
      </w:r>
      <w:r>
        <w:t xml:space="preserve"> </w:t>
      </w:r>
      <w:r>
        <w:rPr>
          <w:iCs/>
          <w:i/>
        </w:rPr>
        <w:t xml:space="preserve">Nature Communications</w:t>
      </w:r>
      <w:r>
        <w:t xml:space="preserve">, 11 (1): 233. doi:</w:t>
      </w:r>
      <w:hyperlink r:id="rId256">
        <w:r>
          <w:rPr>
            <w:rStyle w:val="Hyperlink"/>
          </w:rPr>
          <w:t xml:space="preserve">10.1038/s41467-019-14108-y</w:t>
        </w:r>
      </w:hyperlink>
      <w:r>
        <w:t xml:space="preserve">.</w:t>
      </w:r>
    </w:p>
    <w:bookmarkEnd w:id="257"/>
    <w:bookmarkStart w:id="259" w:name="ref-Wulff2023SDGKnowledgeHub"/>
    <w:p>
      <w:pPr>
        <w:pStyle w:val="Bibliography"/>
      </w:pPr>
      <w:r>
        <w:t xml:space="preserve">Wulff, D.U., Meier, D.S. and Mata, R. (2023)</w:t>
      </w:r>
      <w:r>
        <w:t xml:space="preserve"> </w:t>
      </w:r>
      <w:r>
        <w:rPr>
          <w:iCs/>
          <w:i/>
        </w:rPr>
        <w:t xml:space="preserve">SDG</w:t>
      </w:r>
      <w:r>
        <w:rPr>
          <w:iCs/>
          <w:i/>
        </w:rPr>
        <w:t xml:space="preserve"> </w:t>
      </w:r>
      <w:r>
        <w:rPr>
          <w:iCs/>
          <w:i/>
        </w:rPr>
        <w:t xml:space="preserve">Knowledge</w:t>
      </w:r>
      <w:r>
        <w:rPr>
          <w:iCs/>
          <w:i/>
        </w:rPr>
        <w:t xml:space="preserve"> </w:t>
      </w:r>
      <w:r>
        <w:rPr>
          <w:iCs/>
          <w:i/>
        </w:rPr>
        <w:t xml:space="preserve">Hub</w:t>
      </w:r>
      <w:r>
        <w:rPr>
          <w:iCs/>
          <w:i/>
        </w:rPr>
        <w:t xml:space="preserve"> </w:t>
      </w:r>
      <w:r>
        <w:rPr>
          <w:iCs/>
          <w:i/>
        </w:rPr>
        <w:t xml:space="preserve">dataset of</w:t>
      </w:r>
      <w:r>
        <w:rPr>
          <w:iCs/>
          <w:i/>
        </w:rPr>
        <w:t xml:space="preserve"> </w:t>
      </w:r>
      <w:r>
        <w:rPr>
          <w:iCs/>
          <w:i/>
        </w:rPr>
        <w:t xml:space="preserve">SDG</w:t>
      </w:r>
      <w:r>
        <w:rPr>
          <w:iCs/>
          <w:i/>
        </w:rPr>
        <w:t xml:space="preserve">-labeled news articles</w:t>
      </w:r>
      <w:r>
        <w:t xml:space="preserve">. doi:</w:t>
      </w:r>
      <w:hyperlink r:id="rId258">
        <w:r>
          <w:rPr>
            <w:rStyle w:val="Hyperlink"/>
          </w:rPr>
          <w:t xml:space="preserve">10.5281/zenodo.7523032</w:t>
        </w:r>
      </w:hyperlink>
      <w:r>
        <w:t xml:space="preserve">.</w:t>
      </w:r>
    </w:p>
    <w:bookmarkEnd w:id="259"/>
    <w:bookmarkStart w:id="261" w:name="ref-Yin2025SdgMapping"/>
    <w:p>
      <w:pPr>
        <w:pStyle w:val="Bibliography"/>
      </w:pPr>
      <w:r>
        <w:t xml:space="preserve">Yin, H., Aryani, A., Lambert, G., et al. (2025) Leveraging artificial intelligence technology for mapping publications to</w:t>
      </w:r>
      <w:r>
        <w:t xml:space="preserve"> </w:t>
      </w:r>
      <w:r>
        <w:t xml:space="preserve">Sustainable Development Goals</w:t>
      </w:r>
      <w:r>
        <w:t xml:space="preserve">.</w:t>
      </w:r>
      <w:r>
        <w:t xml:space="preserve"> </w:t>
      </w:r>
      <w:r>
        <w:rPr>
          <w:iCs/>
          <w:i/>
        </w:rPr>
        <w:t xml:space="preserve">Array</w:t>
      </w:r>
      <w:r>
        <w:t xml:space="preserve">, 27: 100419. doi:</w:t>
      </w:r>
      <w:hyperlink r:id="rId260">
        <w:r>
          <w:rPr>
            <w:rStyle w:val="Hyperlink"/>
          </w:rPr>
          <w:t xml:space="preserve">10.1016/j.array.2025.100419</w:t>
        </w:r>
      </w:hyperlink>
      <w:r>
        <w:t xml:space="preserve">.</w:t>
      </w:r>
    </w:p>
    <w:bookmarkEnd w:id="261"/>
    <w:bookmarkEnd w:id="262"/>
    <w:bookmarkEnd w:id="263"/>
    <w:sectPr>
      <w:pgMar w:bottom="1701" w:footer="1134" w:gutter="0" w:header="1134" w:left="1701" w:right="1134" w:top="17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Arial">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rPr>
      <w:rFonts w:ascii="Arial" w:cs="Arial" w:hAnsi="Arial"/>
      <w:sz w:val="24"/>
      <w:szCs w:val="24"/>
    </w:rPr>
    <w:name w:val="Normal"/>
    <w:qFormat/>
  </w:style>
  <w:style w:styleId="BodyText" w:type="paragraph">
    <w:rPr>
      <w:rFonts w:ascii="Arial" w:cs="Arial" w:hAnsi="Arial"/>
    </w:rPr>
    <w:name w:val="Body Text"/>
    <w:basedOn w:val="Normal"/>
    <w:link w:val="BodyTextChar"/>
    <w:pPr>
      <w:spacing w:after="180" w:before="180"/>
    </w:pPr>
    <w:qFormat/>
  </w:style>
  <w:style w:customStyle="1" w:styleId="FirstParagraph" w:type="paragraph">
    <w:rPr>
      <w:rFonts w:ascii="Arial" w:cs="Arial" w:hAnsi="Arial"/>
    </w:rPr>
    <w:name w:val="First Paragraph"/>
    <w:basedOn w:val="BodyText"/>
    <w:next w:val="BodyText"/>
    <w:qFormat/>
  </w:style>
  <w:style w:customStyle="1" w:styleId="Compact" w:type="paragraph">
    <w:rPr>
      <w:rFonts w:ascii="Arial" w:cs="Arial" w:hAnsi="Arial"/>
    </w:rPr>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hAnsi="Arial"/>
      <w:color w:val="000000"/>
      <w:b/>
      <w:bCs/>
      <w:sz w:val="40"/>
      <w:szCs w:val="40"/>
    </w:rPr>
  </w:style>
  <w:style w:styleId="Subtitle" w:type="paragraph">
    <w:name w:val="Subtitle"/>
    <w:basedOn w:val="Title"/>
    <w:next w:val="BodyText"/>
    <w:qFormat/>
    <w:pPr>
      <w:keepNext/>
      <w:keepLines/>
      <w:spacing w:after="240" w:before="240"/>
      <w:jc w:val="center"/>
    </w:pPr>
    <w:rPr>
      <w:rFonts w:ascii="Arial" w:cs="Arial" w:hAnsi="Arial"/>
    </w:rPr>
  </w:style>
  <w:style w:customStyle="1" w:styleId="Author" w:type="paragraph">
    <w:rPr>
      <w:rFonts w:ascii="Arial" w:cs="Arial" w:hAnsi="Arial"/>
    </w:rPr>
    <w:name w:val="Author"/>
    <w:next w:val="BodyText"/>
    <w:qFormat/>
    <w:pPr>
      <w:keepNext/>
      <w:keepLines/>
      <w:jc w:val="center"/>
    </w:pPr>
  </w:style>
  <w:style w:styleId="Date" w:type="paragraph">
    <w:rPr>
      <w:rFonts w:ascii="Arial" w:cs="Arial" w:hAnsi="Arial"/>
    </w:rPr>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rFonts w:ascii="Arial" w:cs="Arial" w:hAnsi="Arial"/>
      <w:color w:val="000000"/>
      <w:b/>
      &gt;
    </w:rPr>
  </w:style>
  <w:style w:customStyle="1" w:styleId="Abstract" w:type="paragraph">
    <w:name w:val="Abstract"/>
    <w:basedOn w:val="Normal"/>
    <w:next w:val="BodyText"/>
    <w:qFormat/>
    <w:pPr>
      <w:keepNext/>
      <w:keepLines/>
      <w:spacing w:after="300" w:before="100"/>
    </w:pPr>
    <w:rPr>
      <w:rFonts w:ascii="Arial" w:cs="Arial" w:hAnsi="Arial"/>
    </w:rPr>
  </w:style>
  <w:style w:styleId="Bibliography" w:type="paragraph">
    <w:name w:val="Bibliography"/>
    <w:basedOn w:val="Normal"/>
    <w:next w:val="Bibliography"/>
    <w:qFormat/>
    <w:pPr/>
    <w:rPr>
      <w:rFonts w:ascii="Arial" w:cs="Arial" w:hAnsi="Arial"/>
    </w:rPr>
  </w:style>
  <w:style w:styleId="Heading1" w:type="paragraph">
    <w:name w:val="Heading 1"/>
    <w:basedOn w:val="Normal"/>
    <w:next w:val="BodyText"/>
    <w:uiPriority w:val="9"/>
    <w:qFormat/>
    <w:pPr>
      <w:jc w:val="center"/>
      <w:keepNext/>
      <w:keepLines/>
      <w:spacing w:after="0" w:before="0"/>
      <w:outlineLvl w:val="0"/>
    </w:pPr>
    <w:rPr>
      <w:rFonts w:ascii="Arial" w:cs="Arial" w:hAnsi="Arial"/>
      <w:color w:val="000000"/>
      <w:b/>
      <w:bCs/>
      <w:sz w:val="40"/>
      <w:szCs w:val="40"/>
      <w:caps/>
    </w:rPr>
  </w:style>
  <w:style w:styleId="Heading2" w:type="paragraph">
    <w:name w:val="Heading 2"/>
    <w:basedOn w:val="Normal"/>
    <w:next w:val="BodyText"/>
    <w:uiPriority w:val="9"/>
    <w:unhideWhenUsed/>
    <w:qFormat/>
    <w:pPr>
      <w:keepNext/>
      <w:keepLines/>
      <w:spacing w:after="0" w:before="0"/>
      <w:outlineLvl w:val="1"/>
    </w:pPr>
    <w:rPr>
      <w:rFonts w:ascii="Arial" w:cs="Arial" w:hAnsi="Arial"/>
      <w:color w:val="000000"/>
      <w:b/>
      <w:bCs/>
      <w:sz w:val="32"/>
      <w:szCs w:val="32"/>
    </w:rPr>
  </w:style>
  <w:style w:styleId="Heading3" w:type="paragraph">
    <w:name w:val="Heading 3"/>
    <w:basedOn w:val="Normal"/>
    <w:next w:val="BodyText"/>
    <w:uiPriority w:val="9"/>
    <w:unhideWhenUsed/>
    <w:qFormat/>
    <w:pPr>
      <w:keepNext/>
      <w:keepLines/>
      <w:spacing w:after="0" w:before="0"/>
      <w:outlineLvl w:val="2"/>
    </w:pPr>
    <w:rPr>
      <w:rFonts w:ascii="Arial" w:cs="Arial" w:hAnsi="Arial"/>
      <w:color w:val="000000"/>
      <w:b/>
      <w:bCs/>
      <w:sz w:val="28"/>
      <w:szCs w:val="28"/>
    </w:rPr>
  </w:style>
  <w:style w:styleId="Heading4" w:type="paragraph">
    <w:name w:val="Heading 4"/>
    <w:basedOn w:val="Normal"/>
    <w:next w:val="BodyText"/>
    <w:uiPriority w:val="9"/>
    <w:unhideWhenUsed/>
    <w:qFormat/>
    <w:pPr>
      <w:keepNext/>
      <w:keepLines/>
      <w:spacing w:after="0" w:before="0"/>
      <w:outlineLvl w:val="3"/>
    </w:pPr>
    <w:rPr>
      <w:rFonts w:ascii="Arial" w:cs="Arial" w:hAnsi="Arial"/>
      <w:color w:val="000000"/>
      <w:i/>
      <w:bCs/>
      <w:sz w:val="26"/>
      <w:szCs w:val="26"/>
    </w:rPr>
  </w:style>
  <w:style w:styleId="Heading5" w:type="paragraph">
    <w:name w:val="Heading 5"/>
    <w:basedOn w:val="Normal"/>
    <w:next w:val="BodyText"/>
    <w:uiPriority w:val="9"/>
    <w:unhideWhenUsed/>
    <w:qFormat/>
    <w:pPr>
      <w:keepNext/>
      <w:keepLines/>
      <w:spacing w:after="0" w:before="0"/>
      <w:outlineLvl w:val="4"/>
    </w:pPr>
    <w:rPr>
      <w:rFonts w:ascii="Arial" w:cs="Arial" w:hAnsi="Arial"/>
      <w:color w:val="000000"/>
      <w:iCs/>
      <w:sz w:val="24"/>
      <w:szCs w:val="24"/>
    </w:rPr>
  </w:style>
  <w:style w:styleId="Heading6" w:type="paragraph">
    <w:name w:val="Heading 6"/>
    <w:basedOn w:val="Normal"/>
    <w:next w:val="BodyText"/>
    <w:uiPriority w:val="9"/>
    <w:unhideWhenUsed/>
    <w:qFormat/>
    <w:pPr>
      <w:keepNext/>
      <w:keepLines/>
      <w:spacing w:after="0" w:before="0"/>
      <w:outlineLvl w:val="5"/>
    </w:pPr>
    <w:rPr>
      <w:rFonts w:ascii="Arial" w:cs="Arial" w:hAnsi="Arial"/>
      <w:color w:val="000000"/>
      <w:sz w:val="24"/>
      <w:szCs w:val="24"/>
    </w:rPr>
  </w:style>
  <w:style w:styleId="Heading7" w:type="paragraph">
    <w:name w:val="Heading 7"/>
    <w:basedOn w:val="Normal"/>
    <w:next w:val="BodyText"/>
    <w:uiPriority w:val="9"/>
    <w:unhideWhenUsed/>
    <w:qFormat/>
    <w:pPr>
      <w:keepNext/>
      <w:keepLines/>
      <w:spacing w:after="0" w:before="0"/>
      <w:outlineLvl w:val="6"/>
    </w:pPr>
    <w:rPr>
      <w:rFonts w:ascii="Arial" w:cs="Arial" w:hAnsi="Arial"/>
      <w:color w:val="000000"/>
    </w:rPr>
  </w:style>
  <w:style w:styleId="Heading8" w:type="paragraph">
    <w:name w:val="Heading 8"/>
    <w:basedOn w:val="Normal"/>
    <w:next w:val="BodyText"/>
    <w:uiPriority w:val="9"/>
    <w:unhideWhenUsed/>
    <w:qFormat/>
    <w:pPr>
      <w:keepNext/>
      <w:keepLines/>
      <w:spacing w:after="0" w:before="0"/>
      <w:outlineLvl w:val="7"/>
    </w:pPr>
    <w:rPr>
      <w:rFonts w:ascii="Arial" w:cs="Arial" w:hAnsi="Arial"/>
      <w:color w:val="000000"/>
    </w:rPr>
  </w:style>
  <w:style w:styleId="Heading9" w:type="paragraph">
    <w:name w:val="Heading 9"/>
    <w:basedOn w:val="Normal"/>
    <w:next w:val="BodyText"/>
    <w:uiPriority w:val="9"/>
    <w:unhideWhenUsed/>
    <w:qFormat/>
    <w:pPr>
      <w:keepNext/>
      <w:keepLines/>
      <w:spacing w:after="0" w:before="0"/>
      <w:outlineLvl w:val="8"/>
    </w:pPr>
    <w:rPr>
      <w:rFonts w:ascii="Arial" w:cs="Arial" w:hAnsi="Arial"/>
      <w:color w:val="000000"/>
    </w:rPr>
  </w:style>
  <w:style w:styleId="BlockText" w:type="paragraph">
    <w:rPr>
      <w:rFonts w:ascii="Arial" w:cs="Arial" w:hAnsi="Arial"/>
    </w:rPr>
    <w:name w:val="Block Text"/>
    <w:basedOn w:val="BodyText"/>
    <w:next w:val="BodyText"/>
    <w:uiPriority w:val="9"/>
    <w:unhideWhenUsed/>
    <w:qFormat/>
    <w:pPr>
      <w:spacing w:after="100" w:before="100"/>
      <w:ind w:firstLine="0" w:left="480" w:right="480"/>
    </w:pPr>
  </w:style>
  <w:style w:styleId="FootnoteText" w:type="paragraph">
    <w:rPr>
      <w:rFonts w:ascii="Arial" w:cs="Arial" w:hAnsi="Arial"/>
    </w:rPr>
    <w:name w:val="Footnote Text"/>
    <w:basedOn w:val="Normal"/>
    <w:next w:val="FootnoteText"/>
    <w:uiPriority w:val="9"/>
    <w:unhideWhenUsed/>
    <w:qFormat/>
  </w:style>
  <w:style w:default="1" w:styleId="DefaultParagraphFont" w:type="character">
    <w:rPr>
      <w:rFonts w:ascii="Arial" w:cs="Arial" w:hAnsi="Arial"/>
    </w:rPr>
    <w:name w:val="Default Paragraph Font"/>
    <w:semiHidden/>
    <w:unhideWhenUsed/>
  </w:style>
  <w:style w:default="1" w:styleId="Table" w:type="table">
    <w:rPr>
      <w:rFonts w:ascii="Arial" w:cs="Arial" w:hAnsi="Arial"/>
    </w:rPr>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cs="Arial" w:hAnsi="Arial"/>
      <w:b/>
    </w:rPr>
  </w:style>
  <w:style w:customStyle="1" w:styleId="Definition" w:type="paragraph">
    <w:rPr>
      <w:rFonts w:ascii="Arial" w:cs="Arial" w:hAnsi="Arial"/>
    </w:rPr>
    <w:name w:val="Definition"/>
    <w:basedOn w:val="Normal"/>
  </w:style>
  <w:style w:styleId="Caption" w:type="paragraph">
    <w:name w:val="Caption"/>
    <w:basedOn w:val="Normal"/>
    <w:link w:val="BodyTextChar"/>
    <w:pPr>
      <w:spacing w:after="120" w:before="0"/>
    </w:pPr>
    <w:rPr>
      <w:rFonts w:ascii="Arial" w:cs="Arial" w:hAnsi="Arial"/>
      <w:i/>
      <w:sz w:val="24"/>
      <w:szCs w:val="24"/>
    </w:rPr>
  </w:style>
  <w:style w:customStyle="1" w:styleId="TableCaption" w:type="paragraph">
    <w:rPr>
      <w:rFonts w:ascii="Arial" w:cs="Arial" w:hAnsi="Arial"/>
    </w:rPr>
    <w:name w:val="Table Caption"/>
    <w:basedOn w:val="Caption"/>
    <w:pPr>
      <w:keepNext/>
    </w:pPr>
  </w:style>
  <w:style w:customStyle="1" w:styleId="ImageCaption" w:type="paragraph">
    <w:rPr>
      <w:rFonts w:ascii="Arial" w:cs="Arial" w:hAnsi="Arial"/>
    </w:rPr>
    <w:name w:val="Image Caption"/>
    <w:basedOn w:val="Caption"/>
  </w:style>
  <w:style w:customStyle="1" w:styleId="Figure" w:type="paragraph">
    <w:rPr>
      <w:rFonts w:ascii="Arial" w:cs="Arial" w:hAnsi="Arial"/>
    </w:rPr>
    <w:name w:val="Figure"/>
    <w:basedOn w:val="Normal"/>
  </w:style>
  <w:style w:customStyle="1" w:styleId="CaptionedFigure" w:type="paragraph">
    <w:rPr>
      <w:rFonts w:ascii="Arial" w:cs="Arial" w:hAnsi="Arial"/>
    </w:rPr>
    <w:name w:val="Captioned Figure"/>
    <w:basedOn w:val="Figure"/>
    <w:pPr>
      <w:keepNext/>
    </w:pPr>
  </w:style>
  <w:style w:customStyle="1" w:styleId="BodyTextChar" w:type="character">
    <w:rPr>
      <w:rFonts w:ascii="Arial" w:cs="Arial" w:hAnsi="Arial"/>
    </w:rPr>
    <w:name w:val="Body Text Char"/>
    <w:basedOn w:val="DefaultParagraphFont"/>
    <w:link w:val="BodyText"/>
  </w:style>
  <w:style w:customStyle="1" w:styleId="VerbatimChar" w:type="character">
    <w:name w:val="Verbatim Char"/>
    <w:basedOn w:val="BodyTextChar"/>
    <w:rPr>
      <w:rFonts w:ascii="Arial" w:cs="Arial" w:hAnsi="Arial"/>
    </w:rPr>
  </w:style>
  <w:style w:customStyle="1" w:styleId="SectionNumber" w:type="character">
    <w:rPr>
      <w:rFonts w:ascii="Arial" w:cs="Arial" w:hAnsi="Arial"/>
    </w:rPr>
    <w:name w:val="Section Number"/>
    <w:basedOn w:val="BodyTextChar"/>
  </w:style>
  <w:style w:styleId="FootnoteReference" w:type="character">
    <w:name w:val="Footnote Reference"/>
    <w:basedOn w:val="BodyTextChar"/>
    <w:rPr>
      <w:rFonts w:ascii="Arial" w:cs="Arial" w:hAnsi="Arial"/>
      <w:vertAlign w:val="superscript"/>
    </w:rPr>
  </w:style>
  <w:style w:styleId="Hyperlink" w:type="character">
    <w:name w:val="Hyperlink"/>
    <w:basedOn w:val="BodyTextChar"/>
    <w:rPr>
      <w:rFonts w:ascii="Arial" w:cs="Arial" w:hAnsi="Arial"/>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Arial" w:cs="Arial" w:hAnsi="Arial"/>
      <w:color w:val="000000"/>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42" Target="media/rId42.png" /><Relationship Type="http://schemas.openxmlformats.org/officeDocument/2006/relationships/image" Id="rId91" Target="media/rId91.png" /><Relationship Type="http://schemas.openxmlformats.org/officeDocument/2006/relationships/image" Id="rId63" Target="media/rId63.png" /><Relationship Type="http://schemas.openxmlformats.org/officeDocument/2006/relationships/image" Id="rId66" Target="media/rId66.png" /><Relationship Type="http://schemas.openxmlformats.org/officeDocument/2006/relationships/image" Id="rId69" Target="media/rId69.png" /><Relationship Type="http://schemas.openxmlformats.org/officeDocument/2006/relationships/image" Id="rId72" Target="media/rId72.png" /><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_rels/footnotes.xml.rels><?xml version="1.0" encoding="UTF-8"?><Relationships xmlns="http://schemas.openxmlformats.org/package/2006/relationships"><Relationship Type="http://schemas.openxmlformats.org/officeDocument/2006/relationships/hyperlink" Id="rId152" Target="https://arxiv.org/abs/1610.01644" TargetMode="External" /><Relationship Type="http://schemas.openxmlformats.org/officeDocument/2006/relationships/hyperlink" Id="rId176" Target="https://arxiv.org/abs/1805.01070" TargetMode="External" /><Relationship Type="http://schemas.openxmlformats.org/officeDocument/2006/relationships/hyperlink" Id="rId206" Target="https://doi.org/10.1002/csr.2202" TargetMode="External" /><Relationship Type="http://schemas.openxmlformats.org/officeDocument/2006/relationships/hyperlink" Id="rId214" Target="https://doi.org/10.1002/sd.1582" TargetMode="External" /><Relationship Type="http://schemas.openxmlformats.org/officeDocument/2006/relationships/hyperlink" Id="rId246" Target="https://doi.org/10.1002/sd.2706" TargetMode="External" /><Relationship Type="http://schemas.openxmlformats.org/officeDocument/2006/relationships/hyperlink" Id="rId201" Target="https://doi.org/10.1007/978-0-387-84858-7" TargetMode="External" /><Relationship Type="http://schemas.openxmlformats.org/officeDocument/2006/relationships/hyperlink" Id="rId248" Target="https://doi.org/10.1007/s00146-025-02181-5" TargetMode="External" /><Relationship Type="http://schemas.openxmlformats.org/officeDocument/2006/relationships/hyperlink" Id="rId168" Target="https://doi.org/10.1007/s11192-016-2115-y" TargetMode="External" /><Relationship Type="http://schemas.openxmlformats.org/officeDocument/2006/relationships/hyperlink" Id="rId203" Target="https://doi.org/10.1007/s43681-023-00259-8" TargetMode="External" /><Relationship Type="http://schemas.openxmlformats.org/officeDocument/2006/relationships/hyperlink" Id="rId260" Target="https://doi.org/10.1016/j.array.2025.100419" TargetMode="External" /><Relationship Type="http://schemas.openxmlformats.org/officeDocument/2006/relationships/hyperlink" Id="rId218" Target="https://doi.org/10.1016/j.ecoinf.2026.103669" TargetMode="External" /><Relationship Type="http://schemas.openxmlformats.org/officeDocument/2006/relationships/hyperlink" Id="rId236" Target="https://doi.org/10.1017/S0003055422001228" TargetMode="External" /><Relationship Type="http://schemas.openxmlformats.org/officeDocument/2006/relationships/hyperlink" Id="rId197" Target="https://doi.org/10.1017/S0020818300001442" TargetMode="External" /><Relationship Type="http://schemas.openxmlformats.org/officeDocument/2006/relationships/hyperlink" Id="rId222" Target="https://doi.org/10.1038/534320a" TargetMode="External" /><Relationship Type="http://schemas.openxmlformats.org/officeDocument/2006/relationships/hyperlink" Id="rId256" Target="https://doi.org/10.1038/s41467-019-14108-y" TargetMode="External" /><Relationship Type="http://schemas.openxmlformats.org/officeDocument/2006/relationships/hyperlink" Id="rId189" Target="https://doi.org/10.1038/s41893-025-01598-6" TargetMode="External" /><Relationship Type="http://schemas.openxmlformats.org/officeDocument/2006/relationships/hyperlink" Id="rId180" Target="https://doi.org/10.1038/s42256-021-00296-0" TargetMode="External" /><Relationship Type="http://schemas.openxmlformats.org/officeDocument/2006/relationships/hyperlink" Id="rId174" Target="https://doi.org/10.1073/pnas.1231332100" TargetMode="External" /><Relationship Type="http://schemas.openxmlformats.org/officeDocument/2006/relationships/hyperlink" Id="rId199" Target="https://doi.org/10.1080/00437956.1954.11659520" TargetMode="External" /><Relationship Type="http://schemas.openxmlformats.org/officeDocument/2006/relationships/hyperlink" Id="rId164" Target="https://doi.org/10.1080/08039410.2016.1252424" TargetMode="External" /><Relationship Type="http://schemas.openxmlformats.org/officeDocument/2006/relationships/hyperlink" Id="rId184" Target="https://doi.org/10.1080/13552074.2016.1145895" TargetMode="External" /><Relationship Type="http://schemas.openxmlformats.org/officeDocument/2006/relationships/hyperlink" Id="rId220" Target="https://doi.org/10.1109/ACCESS.2024.3516500" TargetMode="External" /><Relationship Type="http://schemas.openxmlformats.org/officeDocument/2006/relationships/hyperlink" Id="rId187" Target="https://doi.org/10.1109/ACCESS.2025.3595894" TargetMode="External" /><Relationship Type="http://schemas.openxmlformats.org/officeDocument/2006/relationships/hyperlink" Id="rId178" Target="https://doi.org/10.1109/TIT.1967.1053964" TargetMode="External" /><Relationship Type="http://schemas.openxmlformats.org/officeDocument/2006/relationships/hyperlink" Id="rId252" Target="https://doi.org/10.1145/3630106.3659035" TargetMode="External" /><Relationship Type="http://schemas.openxmlformats.org/officeDocument/2006/relationships/hyperlink" Id="rId154" Target="https://doi.org/10.1162/qss_a_00071" TargetMode="External" /><Relationship Type="http://schemas.openxmlformats.org/officeDocument/2006/relationships/hyperlink" Id="rId212" Target="https://doi.org/10.1162/qss_a_00304" TargetMode="External" /><Relationship Type="http://schemas.openxmlformats.org/officeDocument/2006/relationships/hyperlink" Id="rId172" Target="https://doi.org/10.1177/000276427902200308" TargetMode="External" /><Relationship Type="http://schemas.openxmlformats.org/officeDocument/2006/relationships/hyperlink" Id="rId210" Target="https://doi.org/10.1177/00223433241275335" TargetMode="External" /><Relationship Type="http://schemas.openxmlformats.org/officeDocument/2006/relationships/hyperlink" Id="rId195" Target="https://doi.org/10.1177/016224390102600401" TargetMode="External" /><Relationship Type="http://schemas.openxmlformats.org/officeDocument/2006/relationships/hyperlink" Id="rId232" Target="https://doi.org/10.18653/v1/2020.acl-main.647" TargetMode="External" /><Relationship Type="http://schemas.openxmlformats.org/officeDocument/2006/relationships/hyperlink" Id="rId234" Target="https://doi.org/10.18653/v1/D19-1410" TargetMode="External" /><Relationship Type="http://schemas.openxmlformats.org/officeDocument/2006/relationships/hyperlink" Id="rId170" Target="https://doi.org/10.18653/v1/N19-1181" TargetMode="External" /><Relationship Type="http://schemas.openxmlformats.org/officeDocument/2006/relationships/hyperlink" Id="rId224" Target="https://doi.org/10.18653/v1/W17-4903" TargetMode="External" /><Relationship Type="http://schemas.openxmlformats.org/officeDocument/2006/relationships/hyperlink" Id="rId162" Target="https://doi.org/10.2307/271073" TargetMode="External" /><Relationship Type="http://schemas.openxmlformats.org/officeDocument/2006/relationships/hyperlink" Id="rId193" Target="https://doi.org/10.24948/2017.01" TargetMode="External" /><Relationship Type="http://schemas.openxmlformats.org/officeDocument/2006/relationships/hyperlink" Id="rId156" Target="https://doi.org/10.31341/jios.44.2.2" TargetMode="External" /><Relationship Type="http://schemas.openxmlformats.org/officeDocument/2006/relationships/hyperlink" Id="rId191" Target="https://doi.org/10.3389/frai.2024.1472411" TargetMode="External" /><Relationship Type="http://schemas.openxmlformats.org/officeDocument/2006/relationships/hyperlink" Id="rId158" Target="https://doi.org/10.3389/frsus.2021.620743" TargetMode="External" /><Relationship Type="http://schemas.openxmlformats.org/officeDocument/2006/relationships/hyperlink" Id="rId150" Target="https://doi.org/10.3982/ECTA12675" TargetMode="External" /><Relationship Type="http://schemas.openxmlformats.org/officeDocument/2006/relationships/hyperlink" Id="rId160" Target="https://doi.org/10.48550/arXiv.1903.10676" TargetMode="External" /><Relationship Type="http://schemas.openxmlformats.org/officeDocument/2006/relationships/hyperlink" Id="rId228" Target="https://doi.org/10.48550/arXiv.2205.01833" TargetMode="External" /><Relationship Type="http://schemas.openxmlformats.org/officeDocument/2006/relationships/hyperlink" Id="rId230" Target="https://doi.org/10.48550/arXiv.2211.11252" TargetMode="External" /><Relationship Type="http://schemas.openxmlformats.org/officeDocument/2006/relationships/hyperlink" Id="rId250" Target="https://doi.org/10.48550/arXiv.2505.00174" TargetMode="External" /><Relationship Type="http://schemas.openxmlformats.org/officeDocument/2006/relationships/hyperlink" Id="rId238" Target="https://doi.org/10.51593/20230" TargetMode="External" /><Relationship Type="http://schemas.openxmlformats.org/officeDocument/2006/relationships/hyperlink" Id="rId254" Target="https://doi.org/10.5281/zenodo.3798385" TargetMode="External" /><Relationship Type="http://schemas.openxmlformats.org/officeDocument/2006/relationships/hyperlink" Id="rId258" Target="https://doi.org/10.5281/zenodo.7523032" TargetMode="External" /><Relationship Type="http://schemas.openxmlformats.org/officeDocument/2006/relationships/hyperlink" Id="rId182" Target="https://eur-lex.europa.eu/legal-content/EN/TXT/?uri=CELEX:32024R1689" TargetMode="External" /><Relationship Type="http://schemas.openxmlformats.org/officeDocument/2006/relationships/hyperlink" Id="rId240" Target="https://github.com/SDGClassification/benchmark" TargetMode="External" /><Relationship Type="http://schemas.openxmlformats.org/officeDocument/2006/relationships/hyperlink" Id="rId20" Target="https://github.com/qmanhbeo/dissertation-bham" TargetMode="External" /><Relationship Type="http://schemas.openxmlformats.org/officeDocument/2006/relationships/hyperlink" Id="rId242" Target="https://huggingface.co/datasets/UNDP/sdgi-corpus" TargetMode="External" /><Relationship Type="http://schemas.openxmlformats.org/officeDocument/2006/relationships/hyperlink" Id="rId216" Target="https://nlp.stanford.edu/IR-book/" TargetMode="External" /><Relationship Type="http://schemas.openxmlformats.org/officeDocument/2006/relationships/hyperlink" Id="rId226" Target="https://oecd.ai/en/partner-data-methodological-note" TargetMode="External" /><Relationship Type="http://schemas.openxmlformats.org/officeDocument/2006/relationships/hyperlink" Id="rId208" Target="https://www.ipcc.ch/report/ar6/wg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Arial"/>
        <a:font script="Hebr" typeface="Arial"/>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Shared SDG Labels Do Not Imply Shared Framing — Embedding-Based Register-Topic Decomposition of Research-Policy Divergence Across the SDGs</dc:title>
  <dc:creator/>
  <cp:keywords/>
  <dcterms:created xsi:type="dcterms:W3CDTF">2026-08-27T11:56:04Z</dcterms:created>
  <dcterms:modified xsi:type="dcterms:W3CDTF">2026-08-27T11:56:04Z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csl">
    <vt:lpwstr>harvard-university-of-birmingham.csl</vt:lpwstr>
  </property>
  <property fmtid="{D5CDD505-2E9C-101B-9397-08002B2CF9AE}" pid="4" name="date">
    <vt:lpwstr/>
  </property>
</Properties>
</file>