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Override PartName="/word/footer_roman.xml" ContentType="application/vnd.openxmlformats-officedocument.wordprocessingml.footer+xml"/>
  <Override PartName="/word/footer_decimal.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ectPr/>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Research and policy can address the same Sustainable Development Goal while framing it in different ways. Existing assessments of research–policy alignment usually measure whether both sides mention the same goals, but this does not show whether they discuss those goals similarly. This paper asks how academic AI-for-sustainability research and policy discourse differ in both the SDGs they prioritise and the way they discuss each SDG.</w:t>
      </w:r>
    </w:p>
    <w:p>
      <w:pPr>
        <w:pStyle w:val="BodyText"/>
      </w:pPr>
      <w:r>
        <w:t xml:space="preserve">The study compares a large corpus of research abstracts with policy documents covering all 17 SDGs. It measures each corpus’s distribution of attention across the goals and compares research and policy language within each SDG. The analysis separates differences associated with substantive topics from differences associated with corpus-specific writing conventions. The framework uses supervised text classification and embeddings, with checks across alternative encoders, classifiers, retrieval strategies, sampling levels, and policy-source collections.</w:t>
      </w:r>
    </w:p>
    <w:p>
      <w:pPr>
        <w:pStyle w:val="BodyText"/>
      </w:pPr>
      <w:r>
        <w:t xml:space="preserve">The results show different coverage profiles. Research concentrates especially on SDGs 3, 4, 9, and 16, whereas policy discourse places greater emphasis on SDGs 16, 17, and 13. Differences in coverage alone do not explain the raw semantic differences between the two corpora. After adjustment for corpus-associated linguistic variation, the relationship between coverage and semantic divergence becomes more apparent. The adjustment also changes the ranking of some goals, most notably SDG 17, showing that writing conventions can either inflate or conceal substantive differences.</w:t>
      </w:r>
    </w:p>
    <w:p>
      <w:pPr>
        <w:pStyle w:val="BodyText"/>
      </w:pPr>
      <w:r>
        <w:t xml:space="preserve">These findings show that shared SDG labels are insufficient evidence of research–policy alignment. Alignment should be assessed along at least two dimensions: which goals each community prioritises and how each community frames those goals. The framework provides a reproducible way to identify where apparent semantic disagreement reflects substantive differences, corpus-associated language, or both.</w:t>
      </w:r>
    </w:p>
    <w:p>
      <w:pPr>
        <w:pStyle w:val="BodyText"/>
      </w:pPr>
      <w:r>
        <w:rPr>
          <w:bCs/>
          <w:b/>
        </w:rPr>
        <w:t xml:space="preserve">Keywords:</w:t>
      </w:r>
      <w:r>
        <w:t xml:space="preserve"> </w:t>
      </w:r>
      <w:r>
        <w:t xml:space="preserve">research-policy alignment; Sustainable Development Goals; semantic framing; sentence embeddings; register-topic decomposition; natural language processing.</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p>
      <w:pPr>
        <w:pStyle w:val="BodyText"/>
      </w:pPr>
      <w:r>
        <w:rPr>
          <w:bCs/>
          <w:b/>
        </w:rPr>
        <w:t xml:space="preserve">Technical Summary</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r>
        <w:br w:type="page"/>
      </w:r>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pPr>
        <w:sectPr>
          <w:pgNumType w:fmt="lowerRoman" w:start="1"/>
          <w:pgMar w:bottom="1701" w:footer="1134" w:gutter="0" w:header="1134" w:left="1701" w:right="1134" w:top="1701"/>
          <w:footerReference w:type="default" r:id="rIdFtrRoman"/>
        </w:sectPr>
      </w:pPr>
      <w:r>
        <w:br w:type="page"/>
      </w:r>
    </w:p>
    <w:bookmarkStart w:id="21" w:name="sec:intro"/>
    <w:p>
      <w:pPr>
        <w:pStyle w:val="Heading1"/>
        <w:keepNext/>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p>
      <w:r>
        <w:br w:type="page"/>
      </w:r>
    </w:p>
    <w:bookmarkEnd w:id="21"/>
    <w:bookmarkStart w:id="31" w:name="sec:litreview"/>
    <w:p>
      <w:pPr>
        <w:pStyle w:val="Heading1"/>
        <w:keepNext/>
      </w:pPr>
      <w:r>
        <w:t xml:space="preserve">2 Literature Review</w:t>
      </w:r>
    </w:p>
    <w:bookmarkStart w:id="22" w:name="sec:prev-biblio"/>
    <w:p>
      <w:pPr>
        <w:pStyle w:val="Heading2"/>
        <w:keepNext/>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keepNext/>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keepNext/>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keepNext/>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keepNext/>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p>
      <w:r>
        <w:br w:type="page"/>
      </w:r>
    </w:p>
    <w:bookmarkEnd w:id="30"/>
    <w:bookmarkEnd w:id="31"/>
    <w:bookmarkStart w:id="46" w:name="sec:method"/>
    <w:p>
      <w:pPr>
        <w:pStyle w:val="Heading1"/>
        <w:keepNext/>
      </w:pPr>
      <w:r>
        <w:t xml:space="preserve">3 Methodology</w:t>
      </w:r>
    </w:p>
    <w:p>
      <w:pPr>
        <w:pStyle w:val="FirstParagraph"/>
      </w:pPr>
      <w:r>
        <w:t xml:space="preserve">This study uses publicly available text data and requires no ethical approval.</w:t>
      </w:r>
    </w:p>
    <w:bookmarkStart w:id="32" w:name="sec:segmentation"/>
    <w:p>
      <w:pPr>
        <w:pStyle w:val="Heading2"/>
        <w:keepNext/>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keepNext/>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keepNext/>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keepNext/>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keepNext/>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keepNext/>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keepNext/>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keepNext/>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keepNext/>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p>
      <w:r>
        <w:br w:type="page"/>
      </w:r>
    </w:p>
    <w:bookmarkEnd w:id="45"/>
    <w:bookmarkEnd w:id="46"/>
    <w:bookmarkStart w:id="71" w:name="sec:results"/>
    <w:p>
      <w:pPr>
        <w:pStyle w:val="Heading1"/>
        <w:keepNext/>
      </w:pPr>
      <w:r>
        <w:t xml:space="preserve">4 Results</w:t>
      </w:r>
    </w:p>
    <w:bookmarkStart w:id="49" w:name="sec:validation"/>
    <w:p>
      <w:pPr>
        <w:pStyle w:val="Heading2"/>
        <w:keepNext/>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keepNext/>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keepNext/>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keepNext/>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keepNext/>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p>
      <w:r>
        <w:br w:type="page"/>
      </w:r>
    </w:p>
    <w:bookmarkEnd w:id="70"/>
    <w:bookmarkEnd w:id="71"/>
    <w:bookmarkStart w:id="78" w:name="sec:discussion"/>
    <w:p>
      <w:pPr>
        <w:pStyle w:val="Heading1"/>
        <w:keepNext/>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keepNext/>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keepNext/>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keepNext/>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keepNext/>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keepNext/>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keepNext/>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mean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p>
      <w:r>
        <w:br w:type="page"/>
      </w:r>
    </w:p>
    <w:bookmarkEnd w:id="77"/>
    <w:bookmarkEnd w:id="78"/>
    <w:bookmarkStart w:id="79" w:name="sec:conclusion"/>
    <w:p>
      <w:pPr>
        <w:pStyle w:val="Heading1"/>
        <w:keepNext/>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p>
      <w:r>
        <w:br w:type="page"/>
      </w:r>
    </w:p>
    <w:bookmarkEnd w:id="79"/>
    <w:p>
      <w:pPr>
        <w:pStyle w:val="Heading1"/>
        <w:keepNext/>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keepNext/>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p>
      <w:r>
        <w:br w:type="page"/>
      </w:r>
    </w:p>
    <w:bookmarkEnd w:id="231"/>
    <w:bookmarkStart w:id="239" w:name="app:centroid-diagnostics"/>
    <w:p>
      <w:pPr>
        <w:pStyle w:val="Heading1"/>
        <w:keepNext/>
      </w:pPr>
      <w:r>
        <w:t xml:space="preserve">B Diagnostics for Reference Classifier</w:t>
      </w:r>
    </w:p>
    <w:bookmarkStart w:id="233" w:name="app:sdg4-lexical-audit"/>
    <w:p>
      <w:pPr>
        <w:pStyle w:val="Heading2"/>
        <w:keepNext/>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keepNext/>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p>
      <w:r>
        <w:br w:type="page"/>
      </w:r>
    </w:p>
    <w:bookmarkEnd w:id="238"/>
    <w:bookmarkEnd w:id="239"/>
    <w:bookmarkStart w:id="241" w:name="app:semantic-gap-text-interpretability"/>
    <w:p>
      <w:pPr>
        <w:pStyle w:val="Heading1"/>
        <w:keepNext/>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p>
      <w:r>
        <w:br w:type="page"/>
      </w:r>
    </w:p>
    <w:bookmarkEnd w:id="241"/>
    <w:bookmarkStart w:id="245" w:name="app:distributional-table"/>
    <w:p>
      <w:pPr>
        <w:pStyle w:val="Heading1"/>
        <w:keepNext/>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p>
      <w:r>
        <w:br w:type="page"/>
      </w:r>
    </w:p>
    <w:bookmarkEnd w:id="245"/>
    <w:bookmarkStart w:id="251" w:name="app:sample-stability"/>
    <w:p>
      <w:pPr>
        <w:pStyle w:val="Heading1"/>
        <w:keepNext/>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p>
      <w:r>
        <w:br w:type="page"/>
      </w:r>
    </w:p>
    <w:bookmarkEnd w:id="251"/>
    <w:bookmarkStart w:id="253" w:name="app:model-selection"/>
    <w:p>
      <w:pPr>
        <w:pStyle w:val="Heading1"/>
        <w:keepNext/>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p>
      <w:r>
        <w:br w:type="page"/>
      </w:r>
    </w:p>
    <w:bookmarkEnd w:id="253"/>
    <w:bookmarkStart w:id="276" w:name="app:register-removal"/>
    <w:p>
      <w:pPr>
        <w:pStyle w:val="Heading1"/>
        <w:keepNext/>
      </w:pPr>
      <w:r>
        <w:t xml:space="preserve">G Register Removal: Convergence and Validation</w:t>
      </w:r>
    </w:p>
    <w:bookmarkStart w:id="261" w:name="app:register-robustness"/>
    <w:p>
      <w:pPr>
        <w:pStyle w:val="Heading2"/>
        <w:keepNext/>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keepNext/>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keepNext/>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keepNext/>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keepNext/>
      </w:pPr>
      <w:r>
        <w:t xml:space="preserve">G.2 Construct Validation</w:t>
      </w:r>
    </w:p>
    <w:bookmarkStart w:id="262" w:name="sec:regval-purpose"/>
    <w:p>
      <w:pPr>
        <w:pStyle w:val="Heading3"/>
        <w:keepNext/>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keepNext/>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keepNext/>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keepNext/>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keepNext/>
      </w:pPr>
      <w:r>
        <w:t xml:space="preserve">G.2.5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shows no preferential alignment with the independent SDG-topic directions, which argues against substantial SDG-topic leakage.</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and interpretive limits.</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This modest gap indicates limited alignment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P1 and P2 support the narrower interpretation that the removed subspace captures corpus-associated variation that is partly register-like.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keepNext/>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keepNext/>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is supported in qualified form: the removed subspace carries corpus-associated information, shows no preferential alignment with SDG-topic directions, and generalises across held-out SDGs. These results support interpreting it as partly register-like, while they do not establish a pure register axis. A full-vocabulary scan (P0b) places the top projection only modestly above a random subspace (0.527 vs 0.401), and the highest-scoring words combine socioeconomic and governance terms with rare morphological items. The word list does not establish a policy-domain vocabulary.</w:t>
      </w:r>
    </w:p>
    <w:bookmarkEnd w:id="271"/>
    <w:bookmarkStart w:id="274" w:name="sec:regval-limitations"/>
    <w:p>
      <w:pPr>
        <w:pStyle w:val="Heading3"/>
        <w:keepNext/>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characterised at the direction level (P1/P2). The word-level lexical signal (P0b) is weak and noisy, so it does not establish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best treated as corpus-associated and register-like rather than as a pure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p>
      <w:r>
        <w:br w:type="page"/>
      </w:r>
    </w:p>
    <w:bookmarkEnd w:id="274"/>
    <w:bookmarkEnd w:id="275"/>
    <w:bookmarkEnd w:id="276"/>
    <w:bookmarkStart w:id="300" w:name="app:cross-method-section"/>
    <w:p>
      <w:pPr>
        <w:pStyle w:val="Heading1"/>
        <w:keepNext/>
      </w:pPr>
      <w:r>
        <w:t xml:space="preserve">H Supplementary Cross-Method Data</w:t>
      </w:r>
    </w:p>
    <w:bookmarkStart w:id="277" w:name="app:cross-method-gap-values"/>
    <w:p>
      <w:pPr>
        <w:pStyle w:val="Heading2"/>
        <w:keepNext/>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keepNext/>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keepNext/>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keepNext/>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keepNext/>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keepNext/>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keepNext/>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p>
      <w:r>
        <w:br w:type="page"/>
      </w:r>
    </w:p>
    <w:bookmarkEnd w:id="299"/>
    <w:bookmarkEnd w:id="300"/>
    <w:bookmarkStart w:id="302" w:name="app:regression"/>
    <w:p>
      <w:pPr>
        <w:pStyle w:val="Heading1"/>
        <w:keepNext/>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p>
      <w:r>
        <w:br w:type="page"/>
      </w:r>
    </w:p>
    <w:bookmarkEnd w:id="302"/>
    <w:bookmarkStart w:id="304" w:name="declaration-of-ai-use"/>
    <w:p>
      <w:pPr>
        <w:pStyle w:val="Heading1"/>
        <w:keepNext/>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NumType w:fmt="decimal" w:start="1"/>
      <w:pgMar w:bottom="1701" w:footer="1134" w:gutter="0" w:header="1134" w:left="1701" w:right="1134" w:top="1701"/>
      <w:footerReference w:type="default" r:id="rIdFtr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decimal.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end"/>
    </w:r>
  </w:p>
</w:ftr>
</file>

<file path=word/footer_roman.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 Type="http://schemas.openxmlformats.org/officeDocument/2006/relationships/footer" Id="rIdFtrRoman" Target="footer_roman.xml" /><Relationship Type="http://schemas.openxmlformats.org/officeDocument/2006/relationships/footer" Id="rIdFtrDecimal" Target="footer_decimal.xm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Mean Shared Framing — Embedding-Based Register-Topic Decomposition of Research-Policy Divergence Across the SDGs</dc:title>
  <dc:creator/>
  <cp:keywords/>
  <dcterms:created xsi:type="dcterms:W3CDTF">2026-08-28T22:23:47Z</dcterms:created>
  <dcterms:modified xsi:type="dcterms:W3CDTF">2026-08-28T22:23:47Z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