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several inventories, including a citation-based corpus of roughly 25,000 publications on the Millennium and Sustainable Development Goals</w:t>
      </w:r>
      <w:r>
        <w:t xml:space="preserve"> </w:t>
      </w:r>
      <w:r>
        <w:t xml:space="preserve">(Bautista-Puig et al., 2021)</w:t>
      </w:r>
      <w:r>
        <w:t xml:space="preserve"> </w:t>
      </w:r>
      <w:r>
        <w:t xml:space="preserve">and 792 AI-and-SDG research articles</w:t>
      </w:r>
      <w:r>
        <w:t xml:space="preserve"> </w:t>
      </w:r>
      <w:r>
        <w:t xml:space="preserve">(Gohr et al., 2025)</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very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research-corpus">
        <w:r>
          <w:rPr>
            <w:rStyle w:val="Hyperlink"/>
          </w:rPr>
          <w:t xml:space="preserve">3.3</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smaller random research draws: across independent 10</w:t>
      </w:r>
      <w:r>
        <w:t xml:space="preserve">,</w:t>
      </w:r>
      <w:r>
        <w:t xml:space="preserve">000-paper draws, roughly matching the 6</w:t>
      </w:r>
      <w:r>
        <w:t xml:space="preserve">,</w:t>
      </w:r>
      <w:r>
        <w:t xml:space="preserve">367 policy documents, it reproduces the ordering at Spearman</w:t>
      </w:r>
      <w:r>
        <w:t xml:space="preserve"> </w:t>
      </w:r>
      <m:oMath>
        <m:r>
          <m:t>ρ</m:t>
        </m:r>
        <m:r>
          <m:rPr>
            <m:sty m:val="p"/>
          </m:rPr>
          <m:t>=</m:t>
        </m:r>
        <m:r>
          <m:t>0.936</m:t>
        </m:r>
        <m:r>
          <m:t>​</m:t>
        </m:r>
      </m:oMath>
      <w:r>
        <w:t xml:space="preserve">, and 100 independent 50</w:t>
      </w:r>
      <w:r>
        <w:t xml:space="preserve">,</w:t>
      </w:r>
      <w:r>
        <w:t xml:space="preserve">000-paper draws reach</w:t>
      </w:r>
      <w:r>
        <w:t xml:space="preserve"> </w:t>
      </w:r>
      <m:oMath>
        <m:r>
          <m:t>ρ</m:t>
        </m:r>
        <m:r>
          <m:rPr>
            <m:sty m:val="p"/>
          </m:rPr>
          <m:t>=</m:t>
        </m:r>
        <m:r>
          <m:t>0.986</m:t>
        </m:r>
        <m:r>
          <m:t>​</m:t>
        </m:r>
      </m:oMath>
      <w:r>
        <w:t xml:space="preserve"> </w:t>
      </w:r>
      <w:r>
        <w:t xml:space="preserve">(SD 0.009);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w:t>
      </w:r>
      <w:r>
        <w:t xml:space="preserve"> </w:t>
      </w:r>
      <m:oMath>
        <m:r>
          <m:t>p</m:t>
        </m:r>
        <m:r>
          <m:rPr>
            <m:sty m:val="p"/>
          </m:rPr>
          <m:t>=</m:t>
        </m:r>
        <m:r>
          <m:t>0.120</m:t>
        </m:r>
      </m:oMath>
      <w:r>
        <w:t xml:space="preserve">) is negatively associated,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is asymmetric: where policy heavily covers an SDG, the adjusted gap tends to be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raw-null pattern holds: research share remains uncorrelated with the gap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0.223</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 The adjusted decomposition shows the same boundary: on register-removed gaps, the curated-family coverage–gap correlation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the corresponding SDGi-family and full-corpus correlations are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Stratification addresses this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Coverage-as-label-share therefore cannot leak into which direction gets learned or removed.</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 and policy documents overwhelmingly discuss AI governance and SDG implementation as separate agendas. This is not a sampling limitation to be corrected with more time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an established organising category in institutional policy discourse the way it is in academic research.</w:t>
      </w:r>
      <w:r>
        <w:t xml:space="preserve"> </w:t>
      </w:r>
      <w:r>
        <w:t xml:space="preserve">“</w:t>
      </w:r>
      <w:r>
        <w:t xml:space="preserve">Level</w:t>
      </w:r>
      <w:r>
        <w:t xml:space="preserve">”</w:t>
      </w:r>
      <w:r>
        <w:t xml:space="preserve"> </w:t>
      </w:r>
      <w:r>
        <w:t xml:space="preserve">here is reference-relative, not absolute: the observation applies the framework’s logic one category outward, asking whether AI coverage is established within general SDG discourse on the policy side. It is not, in the formal sense of this paper’s Level 1 analysis, a measurement (no general-SDG coverage statistic was collected); it is a plausible extension motivating future work, not a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novel cross-cutting category internally, while institutional discourse adopts new categories only when demanded by a concrete problem. The near-total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 not a gap this study failed to fill. As</w:t>
      </w:r>
      <w:r>
        <w:t xml:space="preserve"> </w:t>
      </w:r>
      <w:r>
        <w:t xml:space="preserve">Le Blanc (2015; Griggs et al., 2017)</w:t>
      </w:r>
      <w:r>
        <w:t xml:space="preserve"> </w:t>
      </w:r>
      <w:r>
        <w:t xml:space="preserve">note for SDG 17, an analogous reading suggests</w:t>
      </w:r>
      <w:r>
        <w:t xml:space="preserve"> </w:t>
      </w:r>
      <w:r>
        <w:t xml:space="preserve">“</w:t>
      </w:r>
      <w:r>
        <w:t xml:space="preserve">AI and the SDGs</w:t>
      </w:r>
      <w:r>
        <w:t xml:space="preserve">”</w:t>
      </w:r>
      <w:r>
        <w:t xml:space="preserve"> </w:t>
      </w:r>
      <w:r>
        <w:t xml:space="preserve">may occupy pre-domain status in policy discourse, so the gaps measured here describe divergence within a category that barely exists on the policy side. A future Level 0 measurement — tracking co-occurrence of AI and SDG terms in institutional agendas over time — would convert this inference into a Level-1-style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that composition estimates are stable, but it does not, on its own, show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(i.e., carries no significance marker at the</w:t>
      </w:r>
      <w:r>
        <w:t xml:space="preserve"> </w:t>
      </w:r>
      <m:oMath>
        <m:r>
          <m:t>p</m:t>
        </m:r>
        <m:r>
          <m:rPr>
            <m:sty m:val="p"/>
          </m:rPr>
          <m:t>&lt;</m:t>
        </m:r>
        <m:r>
          <m:t>.05</m:t>
        </m:r>
      </m:oMath>
      <w:r>
        <w:t xml:space="preserve"> </w:t>
      </w:r>
      <w:r>
        <w:t xml:space="preserve">/</w:t>
      </w:r>
      <w:r>
        <w:t xml:space="preserve"> </w:t>
      </w:r>
      <m:oMath>
        <m:r>
          <m:t>p</m:t>
        </m:r>
        <m:r>
          <m:rPr>
            <m:sty m:val="p"/>
          </m:rPr>
          <m:t>&lt;</m:t>
        </m:r>
        <m:r>
          <m:t>.10</m:t>
        </m:r>
      </m:oMath>
      <w:r>
        <w:t xml:space="preserve"> </w:t>
      </w:r>
      <w:r>
        <w:t xml:space="preserve">thresholds applied throughout; see Table </w:t>
      </w:r>
      <w:hyperlink w:anchor="tab:distributional-h1">
        <w:r>
          <w:rPr>
            <w:rStyle w:val="Hyperlink"/>
          </w:rPr>
          <w:t xml:space="preserve">12</w:t>
        </w:r>
      </w:hyperlink>
      <w:r>
        <w:t xml:space="preserve"> </w:t>
      </w:r>
      <w:r>
        <w:t xml:space="preserve">notes), regardless of raw</w:t>
      </w:r>
      <w:r>
        <w:t xml:space="preserve"> </w:t>
      </w:r>
      <m:oMath>
        <m:r>
          <m:t>ρ</m:t>
        </m:r>
      </m:oMath>
      <w:r>
        <w:t xml:space="preserve"> </w:t>
      </w:r>
      <w:r>
        <w:t xml:space="preserve">magnitude, with two exceptions: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and C2ST AUC is a near-miss whose H1a (</w:t>
      </w:r>
      <m:oMath>
        <m:r>
          <m:t>ρ</m:t>
        </m:r>
        <m:r>
          <m:rPr>
            <m:sty m:val="p"/>
          </m:rPr>
          <m:t>=</m:t>
        </m:r>
        <m:r>
          <m:rPr>
            <m:sty m:val="p"/>
          </m:rPr>
          <m:t>+</m:t>
        </m:r>
        <m:r>
          <m:t>0.270</m:t>
        </m:r>
      </m:oMath>
      <w:r>
        <w:t xml:space="preserve">) and H1c (</w:t>
      </w:r>
      <m:oMath>
        <m:r>
          <m:t>ρ</m:t>
        </m:r>
        <m:r>
          <m:rPr>
            <m:sty m:val="p"/>
          </m:rPr>
          <m:t>=</m:t>
        </m:r>
        <m:r>
          <m:rPr>
            <m:sty m:val="p"/>
          </m:rPr>
          <m:t>+</m:t>
        </m:r>
        <m:r>
          <m:t>0.375</m:t>
        </m:r>
      </m:oMath>
      <w:r>
        <w:t xml:space="preserve">) are the largest non-significant magnitudes in the grid despite negative ranking agreement (</w:t>
      </w:r>
      <m:oMath>
        <m:r>
          <m:t>ρ</m:t>
        </m:r>
        <m:r>
          <m:rPr>
            <m:sty m:val="p"/>
          </m:rPr>
          <m:t>=</m:t>
        </m:r>
        <m:r>
          <m:rPr>
            <m:sty m:val="p"/>
          </m:rPr>
          <m:t>−</m:t>
        </m:r>
        <m:r>
          <m:t>0.164</m:t>
        </m:r>
      </m:oMath>
      <w:r>
        <w:t xml:space="preserve">, Table </w:t>
      </w:r>
      <w:hyperlink w:anchor="tab:distributional-gap">
        <w:r>
          <w:rPr>
            <w:rStyle w:val="Hyperlink"/>
          </w:rPr>
          <w:t xml:space="preserve">10</w:t>
        </w:r>
      </w:hyperlink>
      <w:r>
        <w:t xml:space="preserve">), remaining just above the</w:t>
      </w:r>
      <w:r>
        <w:t xml:space="preserve"> </w:t>
      </w:r>
      <m:oMath>
        <m:r>
          <m:t>p</m:t>
        </m:r>
        <m:r>
          <m:rPr>
            <m:sty m:val="p"/>
          </m:rPr>
          <m:t>&lt;</m:t>
        </m:r>
        <m:r>
          <m:t>.10</m:t>
        </m:r>
      </m:oMath>
      <w:r>
        <w:t xml:space="preserve"> </w:t>
      </w:r>
      <w:r>
        <w:t xml:space="preserve">threshold.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each family’s reliable SDGs only, UNGDC:</w:t>
      </w:r>
      <w:r>
        <w:t xml:space="preserve"> </w:t>
      </w:r>
      <m:oMath>
        <m:r>
          <m:t>n</m:t>
        </m:r>
        <m:r>
          <m:rPr>
            <m:sty m:val="p"/>
          </m:rPr>
          <m:t>=</m:t>
        </m:r>
        <m:r>
          <m:t>15</m:t>
        </m:r>
      </m:oMath>
      <w:r>
        <w:t xml:space="preserve">) confirms the null is not an artefact of comparing an AI-specific research intersection with a broader policy union: the curated AI/SDG construction reproduces the full-corpus pattern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0.600</m:t>
        </m:r>
      </m:oMath>
      <w:r>
        <w:t xml:space="preserve">,</w:t>
      </w:r>
      <w:r>
        <w:t xml:space="preserve"> </w:t>
      </w:r>
      <m:oMath>
        <m:r>
          <m:t>p</m:t>
        </m:r>
        <m:r>
          <m:rPr>
            <m:sty m:val="p"/>
          </m:rPr>
          <m:t>=</m:t>
        </m:r>
        <m:r>
          <m:t>0.014</m:t>
        </m:r>
      </m:oMath>
      <w:r>
        <w:t xml:space="preserve">;</w:t>
      </w:r>
      <w:r>
        <w:t xml:space="preserve"> </w:t>
      </w:r>
      <m:oMath>
        <m:r>
          <m:t>ρ</m:t>
        </m:r>
        <m:r>
          <m:rPr>
            <m:sty m:val="p"/>
          </m:rPr>
          <m:t>=</m:t>
        </m:r>
        <m:r>
          <m:t>0.420</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t xml:space="preserve">The Coverage gap adj. column of Table </w:t>
      </w:r>
      <w:hyperlink w:anchor="tab:policy-source-family-h25">
        <w:r>
          <w:rPr>
            <w:rStyle w:val="Hyperlink"/>
          </w:rPr>
          <w:t xml:space="preserve">33</w:t>
        </w:r>
      </w:hyperlink>
      <w:r>
        <w:t xml:space="preserve"> </w:t>
      </w:r>
      <w:r>
        <w:t xml:space="preserve">repeats the coverage-gap predictor against the register-adjusted semantic gap (Section </w:t>
      </w:r>
      <w:hyperlink w:anchor="sec:register-adjustment-inlp">
        <w:r>
          <w:rPr>
            <w:rStyle w:val="Hyperlink"/>
          </w:rPr>
          <w:t xml:space="preserve">3.8</w:t>
        </w:r>
      </w:hyperlink>
      <w:r>
        <w:t xml:space="preserve">). The full-corpus row reproduces the main-text decomposition estimate (</w:t>
      </w:r>
      <m:oMath>
        <m:r>
          <m:t>ρ</m:t>
        </m:r>
        <m:r>
          <m:rPr>
            <m:sty m:val="p"/>
          </m:rPr>
          <m:t>=</m:t>
        </m:r>
        <m:r>
          <m:t>0.544</m:t>
        </m:r>
      </m:oMath>
      <w:r>
        <w:t xml:space="preserve">,</w:t>
      </w:r>
      <w:r>
        <w:t xml:space="preserve"> </w:t>
      </w:r>
      <m:oMath>
        <m:r>
          <m:t>p</m:t>
        </m:r>
        <m:r>
          <m:rPr>
            <m:sty m:val="p"/>
          </m:rPr>
          <m:t>=</m:t>
        </m:r>
        <m:r>
          <m:t>0.025</m:t>
        </m:r>
      </m:oMath>
      <w:r>
        <w:t xml:space="preserve">), confirming that the projection is applied consistently here. The positive adjusted association appears in the SDGi family (</w:t>
      </w:r>
      <m:oMath>
        <m:r>
          <m:t>ρ</m:t>
        </m:r>
        <m:r>
          <m:rPr>
            <m:sty m:val="p"/>
          </m:rPr>
          <m:t>=</m:t>
        </m:r>
        <m:r>
          <m:t>0.498</m:t>
        </m:r>
      </m:oMath>
      <w:r>
        <w:t xml:space="preserve">,</w:t>
      </w:r>
      <w:r>
        <w:t xml:space="preserve"> </w:t>
      </w:r>
      <m:oMath>
        <m:r>
          <m:t>p</m:t>
        </m:r>
        <m:r>
          <m:rPr>
            <m:sty m:val="p"/>
          </m:rPr>
          <m:t>=</m:t>
        </m:r>
        <m:r>
          <m:t>0.044</m:t>
        </m:r>
      </m:oMath>
      <w:r>
        <w:t xml:space="preserve">) and the full corpus (</w:t>
      </w:r>
      <m:oMath>
        <m:r>
          <m:t>ρ</m:t>
        </m:r>
        <m:r>
          <m:rPr>
            <m:sty m:val="p"/>
          </m:rPr>
          <m:t>=</m:t>
        </m:r>
        <m:r>
          <m:t>0.544</m:t>
        </m:r>
      </m:oMath>
      <w:r>
        <w:t xml:space="preserve">,</w:t>
      </w:r>
      <w:r>
        <w:t xml:space="preserve"> </w:t>
      </w:r>
      <m:oMath>
        <m:r>
          <m:t>p</m:t>
        </m:r>
        <m:r>
          <m:rPr>
            <m:sty m:val="p"/>
          </m:rPr>
          <m:t>=</m:t>
        </m:r>
        <m:r>
          <m:t>0.025</m:t>
        </m:r>
      </m:oMath>
      <w:r>
        <w:t xml:space="preserve">), but not under symmetric scope: the curated AI/SDG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as is UNGDC (</w:t>
      </w:r>
      <m:oMath>
        <m:r>
          <m:t>ρ</m:t>
        </m:r>
        <m:r>
          <m:rPr>
            <m:sty m:val="p"/>
          </m:rPr>
          <m:t>=</m:t>
        </m:r>
        <m:r>
          <m:t>0.357</m:t>
        </m:r>
      </m:oMath>
      <w:r>
        <w:t xml:space="preserve">,</w:t>
      </w:r>
      <w:r>
        <w:t xml:space="preserve"> </w:t>
      </w:r>
      <m:oMath>
        <m:r>
          <m:t>p</m:t>
        </m:r>
        <m:r>
          <m:rPr>
            <m:sty m:val="p"/>
          </m:rPr>
          <m:t>=</m:t>
        </m:r>
        <m:r>
          <m:t>0.191</m:t>
        </m:r>
      </m:oMath>
      <w:r>
        <w:t xml:space="preserve">). Two qualifications bound this result. First, the curated family’s document-weighted profile spans only 94 documents, so its policy share varies over a narrower range than the full corpus at the same</w:t>
      </w:r>
      <w:r>
        <w:t xml:space="preserve"> </w:t>
      </w:r>
      <m:oMath>
        <m:r>
          <m:t>n</m:t>
        </m:r>
        <m:r>
          <m:rPr>
            <m:sty m:val="p"/>
          </m:rPr>
          <m:t>=</m:t>
        </m:r>
        <m:r>
          <m:t>17</m:t>
        </m:r>
      </m:oMath>
      <w:r>
        <w:t xml:space="preserve">, which attenuates rank correlations. Second, the adjusted gaps carry the register-removal caveat of Appendix </w:t>
      </w:r>
      <w:hyperlink w:anchor="app:register-validation">
        <w:r>
          <w:rPr>
            <w:rStyle w:val="Hyperlink"/>
          </w:rPr>
          <w:t xml:space="preserve">13.2</w:t>
        </w:r>
      </w:hyperlink>
      <w:r>
        <w:t xml:space="preserve">: what INLP removes is broader than measurable register. The symmetric-scope column therefore bounds the reach of the positive adjusted association rather than overturning its full-corpus estimate.</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2026-08-27T11:27:23Z</dcterms:created>
  <dcterms:modified xsi:type="dcterms:W3CDTF">2026-08-27T11:27:23Z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