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11</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clearly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12</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treats the weak agreement as evidence against the mean-direction centroid. The study cannot separate the two explanations and reports both distribution-aware and centroid results (Appendix </w:t>
      </w:r>
      <w:hyperlink w:anchor="app:distributional-table">
        <w:r>
          <w:rPr>
            <w:rStyle w:val="Hyperlink"/>
          </w:rPr>
          <w:t xml:space="preserve">10</w:t>
        </w:r>
      </w:hyperlink>
      <w:r>
        <w:t xml:space="preserve">).</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13.2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(register = raw</w:t>
      </w:r>
      <w:r>
        <w:t xml:space="preserve"> </w:t>
      </w:r>
      <m:oMath>
        <m:r>
          <m:rPr>
            <m:sty m:val="p"/>
          </m:rPr>
          <m:t>−</m:t>
        </m:r>
      </m:oMath>
      <w:r>
        <w:t xml:space="preserve"> </w:t>
      </w:r>
      <w:r>
        <w:t xml:space="preserve">adjusted). They move together, so the claim concerns their combined pattern. No multiple-comparison correction is applied to them.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14.7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w:t>
      </w:r>
      <w:r>
        <w:t xml:space="preserve">(Section </w:t>
      </w:r>
      <w:hyperlink w:anchor="sec:prev-biblio">
        <w:r>
          <w:rPr>
            <w:rStyle w:val="Hyperlink"/>
          </w:rPr>
          <w:t xml:space="preserve">2.1</w:t>
        </w:r>
      </w:hyperlink>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pPr>
      <w:r>
        <w:t xml:space="preserve">Coverage predictor vs within-SDG semantic gap, one point per SDG.</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 The framework reports the two as independent axes.</w:t>
      </w:r>
    </w:p>
    <w:p>
      <w:pPr>
        <w:pStyle w:val="BodyText"/>
      </w:pPr>
      <w:r>
        <w:t xml:space="preserve">The positive adjusted correlation (</w:t>
      </w:r>
      <m:oMath>
        <m:r>
          <m:t>ρ</m:t>
        </m:r>
        <m:r>
          <m:rPr>
            <m:sty m:val="p"/>
          </m:rPr>
          <m:t>=</m:t>
        </m:r>
        <m:r>
          <m:rPr>
            <m:sty m:val="p"/>
          </m:rPr>
          <m:t>+</m:t>
        </m:r>
        <m:r>
          <m:t>0.544</m:t>
        </m:r>
      </m:oMath>
      <w:r>
        <w:t xml:space="preserve">,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mixes topic, register, and convention, and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as a dedicated means-of-implementation goal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It is a plausible extension motivating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largely a register artifact: they track the register component, not the adjusted semantic gap (Appendix </w:t>
      </w:r>
      <w:hyperlink w:anchor="app:distributional-table">
        <w:r>
          <w:rPr>
            <w:rStyle w:val="Hyperlink"/>
          </w:rPr>
          <w:t xml:space="preserve">10</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alongside the 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7</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8.1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but with only 2,312 publications, roughly a third of the counts for SDG 3 (6,829) and SDG 7 (6,683)),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14.5</w:t>
        </w:r>
      </w:hyperlink>
      <w:r>
        <w:t xml:space="preserve">. The pooled regression of Appendix </w:t>
      </w:r>
      <w:hyperlink w:anchor="app:regression">
        <w:r>
          <w:rPr>
            <w:rStyle w:val="Hyperlink"/>
          </w:rPr>
          <w:t xml:space="preserve">15</w:t>
        </w:r>
      </w:hyperlink>
      <w:r>
        <w:t xml:space="preserve"> </w:t>
      </w:r>
      <w:r>
        <w:t xml:space="preserve">additionally includes it as an assignment-method configuration under each encoder.</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15</w:t>
        </w:r>
      </w:hyperlink>
      <w:r>
        <w:t xml:space="preserve"> </w:t>
      </w:r>
      <w:r>
        <w:t xml:space="preserve">pools it across encoders.</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13.2</w:t>
        </w:r>
      </w:hyperlink>
      <w:r>
        <w:t xml:space="preserve"> </w:t>
      </w:r>
      <w:r>
        <w:t xml:space="preserve">applies.</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3"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2"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08">
        <w:r>
          <w:rPr>
            <w:rStyle w:val="Hyperlink"/>
          </w:rPr>
          <w:t xml:space="preserve">https://www.ipcc.ch/report/ar6/wg2/</w:t>
        </w:r>
      </w:hyperlink>
      <w:r>
        <w:t xml:space="preserve">.</w:t>
      </w:r>
    </w:p>
    <w:bookmarkEnd w:id="209"/>
    <w:bookmarkStart w:id="211"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0">
        <w:r>
          <w:rPr>
            <w:rStyle w:val="Hyperlink"/>
          </w:rPr>
          <w:t xml:space="preserve">10.1177/00223433241275335</w:t>
        </w:r>
      </w:hyperlink>
      <w:r>
        <w:t xml:space="preserve">.</w:t>
      </w:r>
    </w:p>
    <w:bookmarkEnd w:id="211"/>
    <w:bookmarkStart w:id="213"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2">
        <w:r>
          <w:rPr>
            <w:rStyle w:val="Hyperlink"/>
          </w:rPr>
          <w:t xml:space="preserve">10.1162/qss_a_00304</w:t>
        </w:r>
      </w:hyperlink>
      <w:r>
        <w:t xml:space="preserve">.</w:t>
      </w:r>
    </w:p>
    <w:bookmarkEnd w:id="213"/>
    <w:bookmarkStart w:id="21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4">
        <w:r>
          <w:rPr>
            <w:rStyle w:val="Hyperlink"/>
          </w:rPr>
          <w:t xml:space="preserve">10.1002/sd.1582</w:t>
        </w:r>
      </w:hyperlink>
      <w:r>
        <w:t xml:space="preserve">.</w:t>
      </w:r>
    </w:p>
    <w:bookmarkEnd w:id="215"/>
    <w:bookmarkStart w:id="21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16">
        <w:r>
          <w:rPr>
            <w:rStyle w:val="Hyperlink"/>
          </w:rPr>
          <w:t xml:space="preserve">https://nlp.stanford.edu/IR-book/</w:t>
        </w:r>
      </w:hyperlink>
      <w:r>
        <w:t xml:space="preserve">.</w:t>
      </w:r>
    </w:p>
    <w:bookmarkEnd w:id="217"/>
    <w:bookmarkStart w:id="21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18">
        <w:r>
          <w:rPr>
            <w:rStyle w:val="Hyperlink"/>
          </w:rPr>
          <w:t xml:space="preserve">10.1016/j.ecoinf.2026.103669</w:t>
        </w:r>
      </w:hyperlink>
      <w:r>
        <w:t xml:space="preserve">.</w:t>
      </w:r>
    </w:p>
    <w:bookmarkEnd w:id="219"/>
    <w:bookmarkStart w:id="22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0">
        <w:r>
          <w:rPr>
            <w:rStyle w:val="Hyperlink"/>
          </w:rPr>
          <w:t xml:space="preserve">10.1109/ACCESS.2024.3516500</w:t>
        </w:r>
      </w:hyperlink>
      <w:r>
        <w:t xml:space="preserve">.</w:t>
      </w:r>
    </w:p>
    <w:bookmarkEnd w:id="221"/>
    <w:bookmarkStart w:id="22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2">
        <w:r>
          <w:rPr>
            <w:rStyle w:val="Hyperlink"/>
          </w:rPr>
          <w:t xml:space="preserve">10.1038/534320a</w:t>
        </w:r>
      </w:hyperlink>
      <w:r>
        <w:t xml:space="preserve">.</w:t>
      </w:r>
    </w:p>
    <w:bookmarkEnd w:id="223"/>
    <w:bookmarkStart w:id="22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224">
        <w:r>
          <w:rPr>
            <w:rStyle w:val="Hyperlink"/>
          </w:rPr>
          <w:t xml:space="preserve">10.18653/v1/W17-4903</w:t>
        </w:r>
      </w:hyperlink>
      <w:r>
        <w:t xml:space="preserve">.</w:t>
      </w:r>
    </w:p>
    <w:bookmarkEnd w:id="225"/>
    <w:bookmarkStart w:id="22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26">
        <w:r>
          <w:rPr>
            <w:rStyle w:val="Hyperlink"/>
          </w:rPr>
          <w:t xml:space="preserve">https://oecd.ai/en/partner-data-methodological-note</w:t>
        </w:r>
      </w:hyperlink>
      <w:r>
        <w:t xml:space="preserve">.</w:t>
      </w:r>
    </w:p>
    <w:bookmarkEnd w:id="227"/>
    <w:bookmarkStart w:id="22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28">
        <w:r>
          <w:rPr>
            <w:rStyle w:val="Hyperlink"/>
          </w:rPr>
          <w:t xml:space="preserve">10.48550/arXiv.2205.01833</w:t>
        </w:r>
      </w:hyperlink>
      <w:r>
        <w:t xml:space="preserve">.</w:t>
      </w:r>
    </w:p>
    <w:bookmarkEnd w:id="229"/>
    <w:bookmarkStart w:id="23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0">
        <w:r>
          <w:rPr>
            <w:rStyle w:val="Hyperlink"/>
          </w:rPr>
          <w:t xml:space="preserve">10.48550/arXiv.2211.11252</w:t>
        </w:r>
      </w:hyperlink>
      <w:r>
        <w:t xml:space="preserve">.</w:t>
      </w:r>
    </w:p>
    <w:bookmarkEnd w:id="231"/>
    <w:bookmarkStart w:id="23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2">
        <w:r>
          <w:rPr>
            <w:rStyle w:val="Hyperlink"/>
          </w:rPr>
          <w:t xml:space="preserve">10.18653/v1/2020.acl-main.647</w:t>
        </w:r>
      </w:hyperlink>
      <w:r>
        <w:t xml:space="preserve">.</w:t>
      </w:r>
    </w:p>
    <w:bookmarkEnd w:id="233"/>
    <w:bookmarkStart w:id="23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4">
        <w:r>
          <w:rPr>
            <w:rStyle w:val="Hyperlink"/>
          </w:rPr>
          <w:t xml:space="preserve">10.18653/v1/D19-1410</w:t>
        </w:r>
      </w:hyperlink>
      <w:r>
        <w:t xml:space="preserve">.</w:t>
      </w:r>
    </w:p>
    <w:bookmarkEnd w:id="235"/>
    <w:bookmarkStart w:id="23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36">
        <w:r>
          <w:rPr>
            <w:rStyle w:val="Hyperlink"/>
          </w:rPr>
          <w:t xml:space="preserve">10.1017/S0003055422001228</w:t>
        </w:r>
      </w:hyperlink>
      <w:r>
        <w:t xml:space="preserve">.</w:t>
      </w:r>
    </w:p>
    <w:bookmarkEnd w:id="237"/>
    <w:bookmarkStart w:id="23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38">
        <w:r>
          <w:rPr>
            <w:rStyle w:val="Hyperlink"/>
          </w:rPr>
          <w:t xml:space="preserve">10.51593/20230</w:t>
        </w:r>
      </w:hyperlink>
      <w:r>
        <w:t xml:space="preserve">.</w:t>
      </w:r>
    </w:p>
    <w:bookmarkEnd w:id="239"/>
    <w:bookmarkStart w:id="24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0">
        <w:r>
          <w:rPr>
            <w:rStyle w:val="Hyperlink"/>
          </w:rPr>
          <w:t xml:space="preserve">https://github.com/SDGClassification/benchmark</w:t>
        </w:r>
      </w:hyperlink>
      <w:r>
        <w:t xml:space="preserve">.</w:t>
      </w:r>
    </w:p>
    <w:bookmarkEnd w:id="241"/>
    <w:bookmarkStart w:id="24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2">
        <w:r>
          <w:rPr>
            <w:rStyle w:val="Hyperlink"/>
          </w:rPr>
          <w:t xml:space="preserve">https://huggingface.co/datasets/UNDP/sdgi-corpus</w:t>
        </w:r>
      </w:hyperlink>
      <w:r>
        <w:t xml:space="preserve">.</w:t>
      </w:r>
    </w:p>
    <w:bookmarkEnd w:id="243"/>
    <w:bookmarkStart w:id="24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4"/>
    <w:bookmarkStart w:id="24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5"/>
    <w:bookmarkStart w:id="24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46">
        <w:r>
          <w:rPr>
            <w:rStyle w:val="Hyperlink"/>
          </w:rPr>
          <w:t xml:space="preserve">10.1002/sd.2706</w:t>
        </w:r>
      </w:hyperlink>
      <w:r>
        <w:t xml:space="preserve">.</w:t>
      </w:r>
    </w:p>
    <w:bookmarkEnd w:id="247"/>
    <w:bookmarkStart w:id="24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48">
        <w:r>
          <w:rPr>
            <w:rStyle w:val="Hyperlink"/>
          </w:rPr>
          <w:t xml:space="preserve">10.1007/s00146-025-02181-5</w:t>
        </w:r>
      </w:hyperlink>
      <w:r>
        <w:t xml:space="preserve">.</w:t>
      </w:r>
    </w:p>
    <w:bookmarkEnd w:id="249"/>
    <w:bookmarkStart w:id="25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0">
        <w:r>
          <w:rPr>
            <w:rStyle w:val="Hyperlink"/>
          </w:rPr>
          <w:t xml:space="preserve">10.48550/arXiv.2505.00174</w:t>
        </w:r>
      </w:hyperlink>
      <w:r>
        <w:t xml:space="preserve">.</w:t>
      </w:r>
    </w:p>
    <w:bookmarkEnd w:id="251"/>
    <w:bookmarkStart w:id="25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2">
        <w:r>
          <w:rPr>
            <w:rStyle w:val="Hyperlink"/>
          </w:rPr>
          <w:t xml:space="preserve">10.1145/3630106.3659035</w:t>
        </w:r>
      </w:hyperlink>
      <w:r>
        <w:t xml:space="preserve">.</w:t>
      </w:r>
    </w:p>
    <w:bookmarkEnd w:id="253"/>
    <w:bookmarkStart w:id="25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4">
        <w:r>
          <w:rPr>
            <w:rStyle w:val="Hyperlink"/>
          </w:rPr>
          <w:t xml:space="preserve">10.5281/zenodo.3798385</w:t>
        </w:r>
      </w:hyperlink>
      <w:r>
        <w:t xml:space="preserve">.</w:t>
      </w:r>
    </w:p>
    <w:bookmarkEnd w:id="255"/>
    <w:bookmarkStart w:id="25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56">
        <w:r>
          <w:rPr>
            <w:rStyle w:val="Hyperlink"/>
          </w:rPr>
          <w:t xml:space="preserve">10.1038/s41467-019-14108-y</w:t>
        </w:r>
      </w:hyperlink>
      <w:r>
        <w:t xml:space="preserve">.</w:t>
      </w:r>
    </w:p>
    <w:bookmarkEnd w:id="257"/>
    <w:bookmarkStart w:id="25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58">
        <w:r>
          <w:rPr>
            <w:rStyle w:val="Hyperlink"/>
          </w:rPr>
          <w:t xml:space="preserve">10.5281/zenodo.7523032</w:t>
        </w:r>
      </w:hyperlink>
      <w:r>
        <w:t xml:space="preserve">.</w:t>
      </w:r>
    </w:p>
    <w:bookmarkEnd w:id="259"/>
    <w:bookmarkStart w:id="26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0">
        <w:r>
          <w:rPr>
            <w:rStyle w:val="Hyperlink"/>
          </w:rPr>
          <w:t xml:space="preserve">10.1016/j.array.2025.100419</w:t>
        </w:r>
      </w:hyperlink>
      <w:r>
        <w:t xml:space="preserve">.</w:t>
      </w:r>
    </w:p>
    <w:bookmarkEnd w:id="261"/>
    <w:bookmarkEnd w:id="262"/>
    <w:bookmarkEnd w:id="263"/>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2026-08-27T13:44:09Z</dcterms:created>
  <dcterms:modified xsi:type="dcterms:W3CDTF">2026-08-27T13:44:09Z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