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6.png" ContentType="image/png"/>
  <Override PartName="/word/media/rId246.png" ContentType="image/png"/>
  <Override PartName="/word/media/rId256.png" ContentType="image/png"/>
  <Override PartName="/word/media/rId288.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4.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Research and policy can address the same Sustainable Development Goal while framing it in different ways. Existing assessments of research–policy alignment usually measure whether both sides mention the same goals, but this does not show whether they discuss those goals similarly. This paper asks how academic AI-for-sustainability research and policy discourse differ in both the SDGs they prioritise and the way they discuss each SDG.</w:t>
      </w:r>
    </w:p>
    <w:p>
      <w:pPr>
        <w:pStyle w:val="BodyText"/>
      </w:pPr>
      <w:r>
        <w:t xml:space="preserve">The study compares a large corpus of research abstracts with policy documents covering all 17 SDGs. It measures each corpus’s distribution of attention across the goals and compares research and policy language within each SDG. The analysis separates differences associated with substantive topics from differences associated with corpus-specific writing conventions. The framework uses supervised text classification and embeddings, with checks across alternative encoders, classifiers, retrieval strategies, sampling levels, and policy-source collections.</w:t>
      </w:r>
    </w:p>
    <w:p>
      <w:pPr>
        <w:pStyle w:val="BodyText"/>
      </w:pPr>
      <w:r>
        <w:t xml:space="preserve">The results show different coverage profiles. Research concentrates especially on SDGs 3, 4, 9, and 16, whereas policy discourse places greater emphasis on SDGs 16, 17, and 13. Differences in coverage alone do not explain the raw semantic differences between the two corpora. After adjustment for corpus-associated linguistic variation, the relationship between coverage and semantic divergence becomes more apparent. The adjustment also changes the ranking of some goals, most notably SDG 17, showing that writing conventions can either inflate or conceal substantive differences.</w:t>
      </w:r>
    </w:p>
    <w:p>
      <w:pPr>
        <w:pStyle w:val="BodyText"/>
      </w:pPr>
      <w:r>
        <w:t xml:space="preserve">These findings show that shared SDG labels are insufficient evidence of research–policy alignment. Alignment should be assessed along at least two dimensions: which goals each community prioritises and how each community frames those goals. The framework provides a reproducible way to identify where apparent semantic disagreement reflects substantive differences, corpus-associated language, or both.</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p>
      <w:pPr>
        <w:pStyle w:val="BodyText"/>
      </w:pPr>
      <w:r>
        <w:rPr>
          <w:bCs/>
          <w:b/>
        </w:rPr>
        <w:t xml:space="preserve">Technical Summary</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r>
        <w:br w:type="page"/>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r>
        <w:br w:type="page"/>
      </w:r>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interaction">
        <w:r>
          <w:rPr>
            <w:rStyle w:val="Hyperlink"/>
          </w:rPr>
          <w:t xml:space="preserve">Table 4: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5: Concept-retrieved corpus — per-SDG reference values (semantic-gap and coverage-predictor families).</w:t>
        </w:r>
      </w:hyperlink>
    </w:p>
    <w:p>
      <w:pPr>
        <w:pStyle w:val="BodyText"/>
      </w:pPr>
      <w:hyperlink w:anchor="tab:sdg4-lexical-audit">
        <w:r>
          <w:rPr>
            <w:rStyle w:val="Hyperlink"/>
          </w:rPr>
          <w:t xml:space="preserve">Table 6: SDG 4 lexical artefact audit.</w:t>
        </w:r>
      </w:hyperlink>
    </w:p>
    <w:p>
      <w:pPr>
        <w:pStyle w:val="BodyText"/>
      </w:pPr>
      <w:hyperlink w:anchor="Xb5f46f72c0b4de0e21636b87797eca5bfe52583">
        <w:r>
          <w:rPr>
            <w:rStyle w:val="Hyperlink"/>
          </w:rPr>
          <w:t xml:space="preserve">Table 7: Distinctive TF-IDF terms for all 17 SDGs.</w:t>
        </w:r>
      </w:hyperlink>
    </w:p>
    <w:p>
      <w:pPr>
        <w:pStyle w:val="BodyText"/>
      </w:pPr>
      <w:hyperlink w:anchor="tab:distributional-gap">
        <w:r>
          <w:rPr>
            <w:rStyle w:val="Hyperlink"/>
          </w:rPr>
          <w:t xml:space="preserve">Table 8: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rPr>
            <w:rStyle w:val="Hyperlink"/>
          </w:rPr>
          <w:t xml:space="preserve">).</w:t>
        </w:r>
      </w:hyperlink>
    </w:p>
    <w:p>
      <w:pPr>
        <w:pStyle w:val="BodyText"/>
      </w:pPr>
      <w:hyperlink w:anchor="tab:distributional-h1">
        <w:r>
          <w:rPr>
            <w:rStyle w:val="Hyperlink"/>
          </w:rP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rPr>
            <w:rStyle w:val="Hyperlink"/>
          </w:rPr>
          <w:t xml:space="preserve">.</w:t>
        </w:r>
      </w:hyperlink>
    </w:p>
    <w:p>
      <w:pPr>
        <w:pStyle w:val="BodyText"/>
      </w:pPr>
      <w:hyperlink w:anchor="tab:model-selection-appendix">
        <w:r>
          <w:rPr>
            <w:rStyle w:val="Hyperlink"/>
          </w:rPr>
          <w:t xml:space="preserve">Table 11: Model selection ranking (full): 5-fold GroupKFold cross-validated macro-F1 across all 32 candidates (16 MLP + 16 LR).</w:t>
        </w:r>
      </w:hyperlink>
    </w:p>
    <w:p>
      <w:pPr>
        <w:pStyle w:val="BodyText"/>
      </w:pPr>
      <w:hyperlink w:anchor="tab:register-sample-design">
        <w:r>
          <w:rPr>
            <w:rStyle w:val="Hyperlink"/>
          </w:rPr>
          <w:t xml:space="preserve">Table 12: Validation sample construction: the two designs.</w:t>
        </w:r>
      </w:hyperlink>
    </w:p>
    <w:p>
      <w:pPr>
        <w:pStyle w:val="BodyText"/>
      </w:pPr>
      <w:hyperlink w:anchor="tab:register-feature-contrasts">
        <w:r>
          <w:rPr>
            <w:rStyle w:val="Hyperlink"/>
          </w:rPr>
          <w:t xml:space="preserve">Table 13: Corpus register-feature contrasts (original sample).</w:t>
        </w:r>
      </w:hyperlink>
    </w:p>
    <w:p>
      <w:pPr>
        <w:pStyle w:val="BodyText"/>
      </w:pPr>
      <w:hyperlink w:anchor="tab:register-subspace">
        <w:r>
          <w:rPr>
            <w:rStyle w:val="Hyperlink"/>
          </w:rPr>
          <w:t xml:space="preserve">Table 14: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15: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16: 17-way SDG (topic) selectivity before and after register removal (original per-SDG-dedup sample, draw 1).</w:t>
        </w:r>
      </w:hyperlink>
    </w:p>
    <w:p>
      <w:pPr>
        <w:pStyle w:val="BodyText"/>
      </w:pPr>
      <w:hyperlink w:anchor="tab:cross-sensitivity-robustness">
        <w:r>
          <w:rPr>
            <w:rStyle w:val="Hyperlink"/>
          </w:rPr>
          <w:t xml:space="preserve">Table 17: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18: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19: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21: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22: Cross-sensitivity robustness of within-SDG coverage-gap rankings across policy source and retrieval strategy.</w:t>
        </w:r>
      </w:hyperlink>
    </w:p>
    <w:p>
      <w:pPr>
        <w:pStyle w:val="BodyText"/>
      </w:pPr>
      <w:hyperlink w:anchor="tab:reference-minilm">
        <w:r>
          <w:rPr>
            <w:rStyle w:val="Hyperlink"/>
          </w:rPr>
          <w:t xml:space="preserve">Table 23: MiniLM track — per-SDG reference values (semantic-gap and coverage-predictor families).</w:t>
        </w:r>
      </w:hyperlink>
    </w:p>
    <w:p>
      <w:pPr>
        <w:pStyle w:val="BodyText"/>
      </w:pPr>
      <w:hyperlink w:anchor="tab:reference-scibert">
        <w:r>
          <w:rPr>
            <w:rStyle w:val="Hyperlink"/>
          </w:rPr>
          <w:t xml:space="preserve">Table 24: SciBERT track — per-SDG reference values (semantic-gap and coverage-predictor families).</w:t>
        </w:r>
      </w:hyperlink>
    </w:p>
    <w:p>
      <w:pPr>
        <w:pStyle w:val="BodyText"/>
      </w:pPr>
      <w:hyperlink w:anchor="tab:app-assignment-method-comparison">
        <w:r>
          <w:rPr>
            <w:rStyle w:val="Hyperlink"/>
          </w:rPr>
          <w:t xml:space="preserve">Table 25: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26: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27: Per-SDG policy source-family sensitivity: coverage share and semantic gap.</w:t>
        </w:r>
      </w:hyperlink>
    </w:p>
    <w:p>
      <w:pPr>
        <w:pStyle w:val="BodyText"/>
      </w:pPr>
      <w:hyperlink w:anchor="tab:policy-source-family-h25">
        <w:r>
          <w:rPr>
            <w:rStyle w:val="Hyperlink"/>
          </w:rPr>
          <w:t xml:space="preserve">Table 28: Per-family interaction test: coverage predictors vs the within-SDG semantic gap, raw and register-adjusted.</w:t>
        </w:r>
      </w:hyperlink>
    </w:p>
    <w:p>
      <w:pPr>
        <w:pStyle w:val="BodyText"/>
      </w:pPr>
      <w:hyperlink w:anchor="tab:k1-specification-grid">
        <w:r>
          <w:rPr>
            <w:rStyle w:val="Hyperlink"/>
          </w:rPr>
          <w:t xml:space="preserve">Table 29: Pooled OLS: coverage predictors and the within-SDG semantic gap rank across 24 configurations.</w:t>
        </w:r>
      </w:hyperlink>
    </w:p>
    <w:p>
      <w:pPr>
        <w:pStyle w:val="BodyText"/>
      </w:pPr>
      <w:hyperlink w:anchor="tab:ai-declaration">
        <w:r>
          <w:rPr>
            <w:rStyle w:val="Hyperlink"/>
          </w:rPr>
          <w:t xml:space="preserve">Table 30: Declaration of AI use.</w:t>
        </w:r>
      </w:hyperlink>
    </w:p>
    <w:p>
      <w:r>
        <w:br w:type="page"/>
      </w:r>
    </w:p>
    <w:bookmarkStart w:id="21" w:name="sec:intro"/>
    <w:p>
      <w:pPr>
        <w:pStyle w:val="Heading1"/>
        <w:keepNext/>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p>
      <w:r>
        <w:br w:type="page"/>
      </w:r>
    </w:p>
    <w:bookmarkEnd w:id="21"/>
    <w:bookmarkStart w:id="31" w:name="sec:litreview"/>
    <w:p>
      <w:pPr>
        <w:pStyle w:val="Heading1"/>
        <w:keepNext/>
      </w:pPr>
      <w:r>
        <w:t xml:space="preserve">2 Literature Review</w:t>
      </w:r>
    </w:p>
    <w:bookmarkStart w:id="22" w:name="sec:prev-biblio"/>
    <w:p>
      <w:pPr>
        <w:pStyle w:val="Heading2"/>
        <w:keepNext/>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keepNext/>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keepNext/>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keepNext/>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keepNext/>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p>
      <w:r>
        <w:br w:type="page"/>
      </w:r>
    </w:p>
    <w:bookmarkEnd w:id="30"/>
    <w:bookmarkEnd w:id="31"/>
    <w:bookmarkStart w:id="46" w:name="sec:method"/>
    <w:p>
      <w:pPr>
        <w:pStyle w:val="Heading1"/>
        <w:keepNext/>
      </w:pPr>
      <w:r>
        <w:t xml:space="preserve">3 Methodology</w:t>
      </w:r>
    </w:p>
    <w:p>
      <w:pPr>
        <w:pStyle w:val="FirstParagraph"/>
      </w:pPr>
      <w:r>
        <w:t xml:space="preserve">This study uses publicly available text data and requires no ethical approval.</w:t>
      </w:r>
    </w:p>
    <w:bookmarkStart w:id="32" w:name="sec:segmentation"/>
    <w:p>
      <w:pPr>
        <w:pStyle w:val="Heading2"/>
        <w:keepNext/>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keepNext/>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keepNext/>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keepNext/>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keepNext/>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keepNext/>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keepNext/>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17</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keepNext/>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keepNext/>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p>
      <w:r>
        <w:br w:type="page"/>
      </w:r>
    </w:p>
    <w:bookmarkEnd w:id="45"/>
    <w:bookmarkEnd w:id="46"/>
    <w:bookmarkStart w:id="71" w:name="sec:results"/>
    <w:p>
      <w:pPr>
        <w:pStyle w:val="Heading1"/>
        <w:keepNext/>
      </w:pPr>
      <w:r>
        <w:t xml:space="preserve">4 Results</w:t>
      </w:r>
    </w:p>
    <w:bookmarkStart w:id="49" w:name="sec:validation"/>
    <w:p>
      <w:pPr>
        <w:pStyle w:val="Heading2"/>
        <w:keepNext/>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keepNext/>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3" w:name="sec:semantic-gap"/>
    <w:p>
      <w:pPr>
        <w:pStyle w:val="Heading2"/>
        <w:keepNext/>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17</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Figures </w:t>
      </w:r>
      <w:hyperlink w:anchor="fig:coverage_profiles">
        <w:r>
          <w:rPr>
            <w:rStyle w:val="Hyperlink"/>
          </w:rPr>
          <w:t xml:space="preserve">3</w:t>
        </w:r>
      </w:hyperlink>
      <w:r>
        <w:t xml:space="preserve"> </w:t>
      </w:r>
      <w:r>
        <w:t xml:space="preserve">and </w:t>
      </w:r>
      <w:hyperlink w:anchor="fig:semantic_gap">
        <w:r>
          <w:rPr>
            <w:rStyle w:val="Hyperlink"/>
          </w:rPr>
          <w:t xml:space="preserve">5</w:t>
        </w:r>
      </w:hyperlink>
      <w:r>
        <w:t xml:space="preserve"> </w:t>
      </w:r>
      <w:r>
        <w:t xml:space="preserve">report the per-SDG coverage-predictor and semantic-gap values underlying the interaction tests.</w:t>
      </w:r>
    </w:p>
    <w:bookmarkEnd w:id="63"/>
    <w:bookmarkStart w:id="69" w:name="sec:interaction"/>
    <w:p>
      <w:pPr>
        <w:pStyle w:val="Heading2"/>
        <w:keepNext/>
      </w:pPr>
      <w:r>
        <w:t xml:space="preserve">4.4 Coverage–Semantic Interaction: Results</w:t>
      </w:r>
    </w:p>
    <w:p>
      <w:pPr>
        <w:pStyle w:val="FirstParagraph"/>
      </w:pPr>
      <w:r>
        <w:t xml:space="preserve">Table </w:t>
      </w:r>
      <w:hyperlink w:anchor="tab:interaction">
        <w:r>
          <w:rPr>
            <w:rStyle w:val="Hyperlink"/>
          </w:rPr>
          <w:t xml:space="preserve">4</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4" w:name="tab:interaction"/>
    <w:p>
      <w:pPr>
        <w:pStyle w:val="TableCaption"/>
        <w:keepNext/>
      </w:pPr>
      <w:r>
        <w:t xml:space="preserve">Table 4: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Raw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4"/>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28</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8" w:name="fig:typology_scatter"/>
    <w:p>
      <w:pPr>
        <w:pStyle w:val="CaptionedFigure"/>
      </w:pPr>
      <w:r>
        <w:drawing>
          <wp:inline>
            <wp:extent cx="5334000" cy="5738836"/>
            <wp:effectExtent b="0" l="0" r="0" t="0"/>
            <wp:docPr descr="" title="" id="66" name="Picture"/>
            <a:graphic>
              <a:graphicData uri="http://schemas.openxmlformats.org/drawingml/2006/picture">
                <pic:pic>
                  <pic:nvPicPr>
                    <pic:cNvPr descr="fig9_h1_grid.png" id="67" name="Picture"/>
                    <pic:cNvPicPr>
                      <a:picLocks noChangeArrowheads="1" noChangeAspect="1"/>
                    </pic:cNvPicPr>
                  </pic:nvPicPr>
                  <pic:blipFill>
                    <a:blip r:embed="rId65"/>
                    <a:stretch>
                      <a:fillRect/>
                    </a:stretch>
                  </pic:blipFill>
                  <pic:spPr bwMode="auto">
                    <a:xfrm>
                      <a:off x="0" y="0"/>
                      <a:ext cx="5334000" cy="5738836"/>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8"/>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69"/>
    <w:bookmarkStart w:id="70" w:name="sec:robustness"/>
    <w:p>
      <w:pPr>
        <w:pStyle w:val="Heading2"/>
        <w:keepNext/>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17</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18</w:t>
        </w:r>
      </w:hyperlink>
      <w:r>
        <w:t xml:space="preserve">). The same holds for coverage (Table </w:t>
      </w:r>
      <w:hyperlink w:anchor="tab:cross-sensitivity-coverage">
        <w:r>
          <w:rPr>
            <w:rStyle w:val="Hyperlink"/>
          </w:rPr>
          <w:t xml:space="preserve">22</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21</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19</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19</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p>
      <w:r>
        <w:br w:type="page"/>
      </w:r>
    </w:p>
    <w:bookmarkEnd w:id="70"/>
    <w:bookmarkEnd w:id="71"/>
    <w:bookmarkStart w:id="78" w:name="sec:discussion"/>
    <w:p>
      <w:pPr>
        <w:pStyle w:val="Heading1"/>
        <w:keepNext/>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4</w:t>
        </w:r>
      </w:hyperlink>
      <w:r>
        <w:t xml:space="preserve">).</w:t>
      </w:r>
    </w:p>
    <w:bookmarkStart w:id="72" w:name="sec:discussion-cancellation"/>
    <w:p>
      <w:pPr>
        <w:pStyle w:val="Heading2"/>
        <w:keepNext/>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4</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21</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2"/>
    <w:bookmarkStart w:id="73" w:name="two-communities-two-dimensions"/>
    <w:p>
      <w:pPr>
        <w:pStyle w:val="Heading2"/>
        <w:keepNext/>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4</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4</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3"/>
    <w:bookmarkStart w:id="74" w:name="X4c808c234078a0e9b2cd8fadd33758f5597bbdf"/>
    <w:p>
      <w:pPr>
        <w:pStyle w:val="Heading2"/>
        <w:keepNext/>
      </w:pPr>
      <w:r>
        <w:t xml:space="preserve">5.3 The register decomposition: what the raw gap actually measures</w:t>
      </w:r>
    </w:p>
    <w:p>
      <w:pPr>
        <w:pStyle w:val="FirstParagraph"/>
      </w:pPr>
      <w:r>
        <w:t xml:space="preserve">For 16 of 17 SDGs, the register component is positive (+0.076 to +0.261, Fig. </w:t>
      </w:r>
      <w:hyperlink w:anchor="fig:semantic_gap">
        <w:r>
          <w:rPr>
            <w:rStyle w:val="Hyperlink"/>
          </w:rPr>
          <w:t xml:space="preserve">5</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4"/>
    <w:bookmarkStart w:id="75" w:name="sec:level0"/>
    <w:p>
      <w:pPr>
        <w:pStyle w:val="Heading2"/>
        <w:keepNext/>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5"/>
    <w:bookmarkStart w:id="76" w:name="sec:limitations"/>
    <w:p>
      <w:pPr>
        <w:pStyle w:val="Heading2"/>
        <w:keepNext/>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4</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6"/>
    <w:bookmarkStart w:id="77" w:name="sec:framework-contribution"/>
    <w:p>
      <w:pPr>
        <w:pStyle w:val="Heading2"/>
        <w:keepNext/>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17</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p>
      <w:r>
        <w:br w:type="page"/>
      </w:r>
    </w:p>
    <w:bookmarkEnd w:id="77"/>
    <w:bookmarkEnd w:id="78"/>
    <w:bookmarkStart w:id="79" w:name="sec:conclusion"/>
    <w:p>
      <w:pPr>
        <w:pStyle w:val="Heading1"/>
        <w:keepNext/>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p>
      <w:r>
        <w:br w:type="page"/>
      </w:r>
    </w:p>
    <w:bookmarkEnd w:id="79"/>
    <w:p>
      <w:pPr>
        <w:pStyle w:val="Heading1"/>
        <w:keepNext/>
      </w:pPr>
      <w:r>
        <w:t xml:space="preserve">Reference list</w:t>
      </w:r>
    </w:p>
    <w:bookmarkStart w:id="225" w:name="refs"/>
    <w:bookmarkStart w:id="81"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0">
        <w:r>
          <w:rPr>
            <w:rStyle w:val="Hyperlink"/>
          </w:rPr>
          <w:t xml:space="preserve">10.3982/ECTA12675</w:t>
        </w:r>
      </w:hyperlink>
      <w:r>
        <w:t xml:space="preserve">.</w:t>
      </w:r>
    </w:p>
    <w:bookmarkEnd w:id="81"/>
    <w:bookmarkStart w:id="83"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2">
        <w:r>
          <w:rPr>
            <w:rStyle w:val="Hyperlink"/>
          </w:rPr>
          <w:t xml:space="preserve">https://arxiv.org/abs/1610.01644</w:t>
        </w:r>
      </w:hyperlink>
      <w:r>
        <w:t xml:space="preserve">.</w:t>
      </w:r>
    </w:p>
    <w:bookmarkEnd w:id="83"/>
    <w:bookmarkStart w:id="84" w:name="ref-AllenAI2019Scibert"/>
    <w:p>
      <w:pPr>
        <w:pStyle w:val="Bibliography"/>
        <w:ind w:firstLine="-720" w:left="720"/>
      </w:pPr>
      <w:r>
        <w:t xml:space="preserve">Allen Institute for AI (2019)</w:t>
      </w:r>
      <w:r>
        <w:t xml:space="preserve"> </w:t>
      </w:r>
      <w:r>
        <w:rPr>
          <w:iCs/>
          <w:i/>
        </w:rPr>
        <w:t xml:space="preserve">SciBERT</w:t>
      </w:r>
      <w:r>
        <w:t xml:space="preserve">.</w:t>
      </w:r>
    </w:p>
    <w:bookmarkEnd w:id="84"/>
    <w:bookmarkStart w:id="86"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5">
        <w:r>
          <w:rPr>
            <w:rStyle w:val="Hyperlink"/>
          </w:rPr>
          <w:t xml:space="preserve">10.1162/qss_a_00071</w:t>
        </w:r>
      </w:hyperlink>
      <w:r>
        <w:t xml:space="preserve">.</w:t>
      </w:r>
    </w:p>
    <w:bookmarkEnd w:id="86"/>
    <w:bookmarkStart w:id="88"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7">
        <w:r>
          <w:rPr>
            <w:rStyle w:val="Hyperlink"/>
          </w:rPr>
          <w:t xml:space="preserve">10.31341/jios.44.2.2</w:t>
        </w:r>
      </w:hyperlink>
      <w:r>
        <w:t xml:space="preserve">.</w:t>
      </w:r>
    </w:p>
    <w:bookmarkEnd w:id="88"/>
    <w:bookmarkStart w:id="90"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89">
        <w:r>
          <w:rPr>
            <w:rStyle w:val="Hyperlink"/>
          </w:rPr>
          <w:t xml:space="preserve">10.3389/frsus.2021.620743</w:t>
        </w:r>
      </w:hyperlink>
      <w:r>
        <w:t xml:space="preserve">.</w:t>
      </w:r>
    </w:p>
    <w:bookmarkEnd w:id="90"/>
    <w:bookmarkStart w:id="92"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1">
        <w:r>
          <w:rPr>
            <w:rStyle w:val="Hyperlink"/>
          </w:rPr>
          <w:t xml:space="preserve">10.48550/arXiv.1903.10676</w:t>
        </w:r>
      </w:hyperlink>
      <w:r>
        <w:t xml:space="preserve">.</w:t>
      </w:r>
    </w:p>
    <w:bookmarkEnd w:id="92"/>
    <w:bookmarkStart w:id="94"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3">
        <w:r>
          <w:rPr>
            <w:rStyle w:val="Hyperlink"/>
          </w:rPr>
          <w:t xml:space="preserve">10.2307/271073</w:t>
        </w:r>
      </w:hyperlink>
      <w:r>
        <w:t xml:space="preserve">.</w:t>
      </w:r>
    </w:p>
    <w:bookmarkEnd w:id="94"/>
    <w:bookmarkStart w:id="96"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5">
        <w:r>
          <w:rPr>
            <w:rStyle w:val="Hyperlink"/>
          </w:rPr>
          <w:t xml:space="preserve">10.1080/08039410.2016.1252424</w:t>
        </w:r>
      </w:hyperlink>
      <w:r>
        <w:t xml:space="preserve">.</w:t>
      </w:r>
    </w:p>
    <w:bookmarkEnd w:id="96"/>
    <w:bookmarkStart w:id="98"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7">
        <w:r>
          <w:rPr>
            <w:rStyle w:val="Hyperlink"/>
          </w:rPr>
          <w:t xml:space="preserve">10.1017/CBO9780511621024</w:t>
        </w:r>
      </w:hyperlink>
      <w:r>
        <w:t xml:space="preserve">.</w:t>
      </w:r>
    </w:p>
    <w:bookmarkEnd w:id="98"/>
    <w:bookmarkStart w:id="100"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99">
        <w:r>
          <w:rPr>
            <w:rStyle w:val="Hyperlink"/>
          </w:rPr>
          <w:t xml:space="preserve">10.1017/CBO9780511814358</w:t>
        </w:r>
      </w:hyperlink>
      <w:r>
        <w:t xml:space="preserve">.</w:t>
      </w:r>
    </w:p>
    <w:bookmarkEnd w:id="100"/>
    <w:bookmarkStart w:id="102"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1">
        <w:r>
          <w:rPr>
            <w:rStyle w:val="Hyperlink"/>
          </w:rPr>
          <w:t xml:space="preserve">https://arxiv.org/abs/1607.06520</w:t>
        </w:r>
      </w:hyperlink>
      <w:r>
        <w:t xml:space="preserve">.</w:t>
      </w:r>
    </w:p>
    <w:bookmarkEnd w:id="102"/>
    <w:bookmarkStart w:id="104"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3">
        <w:r>
          <w:rPr>
            <w:rStyle w:val="Hyperlink"/>
          </w:rPr>
          <w:t xml:space="preserve">10.1007/s10851-014-0506-3</w:t>
        </w:r>
      </w:hyperlink>
      <w:r>
        <w:t xml:space="preserve">.</w:t>
      </w:r>
    </w:p>
    <w:bookmarkEnd w:id="104"/>
    <w:bookmarkStart w:id="106"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5">
        <w:r>
          <w:rPr>
            <w:rStyle w:val="Hyperlink"/>
          </w:rPr>
          <w:t xml:space="preserve">10.1109/34.9108</w:t>
        </w:r>
      </w:hyperlink>
      <w:r>
        <w:t xml:space="preserve">.</w:t>
      </w:r>
    </w:p>
    <w:bookmarkEnd w:id="106"/>
    <w:bookmarkStart w:id="108"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7">
        <w:r>
          <w:rPr>
            <w:rStyle w:val="Hyperlink"/>
          </w:rPr>
          <w:t xml:space="preserve">10.1007/s11192-016-2115-y</w:t>
        </w:r>
      </w:hyperlink>
      <w:r>
        <w:t xml:space="preserve">.</w:t>
      </w:r>
    </w:p>
    <w:bookmarkEnd w:id="108"/>
    <w:bookmarkStart w:id="110"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09">
        <w:r>
          <w:rPr>
            <w:rStyle w:val="Hyperlink"/>
          </w:rPr>
          <w:t xml:space="preserve">10.18653/v1/N19-1181</w:t>
        </w:r>
      </w:hyperlink>
      <w:r>
        <w:t xml:space="preserve">.</w:t>
      </w:r>
    </w:p>
    <w:bookmarkEnd w:id="110"/>
    <w:bookmarkStart w:id="112"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1">
        <w:r>
          <w:rPr>
            <w:rStyle w:val="Hyperlink"/>
          </w:rPr>
          <w:t xml:space="preserve">10.1177/000276427902200308</w:t>
        </w:r>
      </w:hyperlink>
      <w:r>
        <w:t xml:space="preserve">.</w:t>
      </w:r>
    </w:p>
    <w:bookmarkEnd w:id="112"/>
    <w:bookmarkStart w:id="114"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3">
        <w:r>
          <w:rPr>
            <w:rStyle w:val="Hyperlink"/>
          </w:rPr>
          <w:t xml:space="preserve">10.1073/pnas.1231332100</w:t>
        </w:r>
      </w:hyperlink>
      <w:r>
        <w:t xml:space="preserve">.</w:t>
      </w:r>
    </w:p>
    <w:bookmarkEnd w:id="114"/>
    <w:bookmarkStart w:id="116"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5">
        <w:r>
          <w:rPr>
            <w:rStyle w:val="Hyperlink"/>
          </w:rPr>
          <w:t xml:space="preserve">https://arxiv.org/abs/1805.01070</w:t>
        </w:r>
      </w:hyperlink>
      <w:r>
        <w:t xml:space="preserve">.</w:t>
      </w:r>
    </w:p>
    <w:bookmarkEnd w:id="116"/>
    <w:bookmarkStart w:id="118"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7">
        <w:r>
          <w:rPr>
            <w:rStyle w:val="Hyperlink"/>
          </w:rPr>
          <w:t xml:space="preserve">10.1109/TIT.1967.1053964</w:t>
        </w:r>
      </w:hyperlink>
      <w:r>
        <w:t xml:space="preserve">.</w:t>
      </w:r>
    </w:p>
    <w:bookmarkEnd w:id="118"/>
    <w:bookmarkStart w:id="120"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19">
        <w:r>
          <w:rPr>
            <w:rStyle w:val="Hyperlink"/>
          </w:rPr>
          <w:t xml:space="preserve">10.1038/s42256-021-00296-0</w:t>
        </w:r>
      </w:hyperlink>
      <w:r>
        <w:t xml:space="preserve">.</w:t>
      </w:r>
    </w:p>
    <w:bookmarkEnd w:id="120"/>
    <w:bookmarkStart w:id="121"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1"/>
    <w:bookmarkStart w:id="123"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2">
        <w:r>
          <w:rPr>
            <w:rStyle w:val="Hyperlink"/>
          </w:rPr>
          <w:t xml:space="preserve">10.1162/tacl_a_00359</w:t>
        </w:r>
      </w:hyperlink>
      <w:r>
        <w:t xml:space="preserve">.</w:t>
      </w:r>
    </w:p>
    <w:bookmarkEnd w:id="123"/>
    <w:bookmarkStart w:id="125"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4">
        <w:r>
          <w:rPr>
            <w:rStyle w:val="Hyperlink"/>
          </w:rPr>
          <w:t xml:space="preserve">10.18653/v1/D19-1006</w:t>
        </w:r>
      </w:hyperlink>
      <w:r>
        <w:t xml:space="preserve">.</w:t>
      </w:r>
    </w:p>
    <w:bookmarkEnd w:id="125"/>
    <w:bookmarkStart w:id="127"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6">
        <w:r>
          <w:rPr>
            <w:rStyle w:val="Hyperlink"/>
          </w:rPr>
          <w:t xml:space="preserve">https://eur-lex.europa.eu/legal-content/EN/TXT/?uri=CELEX:32024R1689</w:t>
        </w:r>
      </w:hyperlink>
      <w:r>
        <w:t xml:space="preserve">.</w:t>
      </w:r>
    </w:p>
    <w:bookmarkEnd w:id="127"/>
    <w:bookmarkStart w:id="129"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8">
        <w:r>
          <w:rPr>
            <w:rStyle w:val="Hyperlink"/>
          </w:rPr>
          <w:t xml:space="preserve">10.1080/13552074.2016.1145895</w:t>
        </w:r>
      </w:hyperlink>
      <w:r>
        <w:t xml:space="preserve">.</w:t>
      </w:r>
    </w:p>
    <w:bookmarkEnd w:id="129"/>
    <w:bookmarkStart w:id="131"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0">
        <w:r>
          <w:rPr>
            <w:rStyle w:val="Hyperlink"/>
          </w:rPr>
          <w:t xml:space="preserve">10.4135/9781446221853</w:t>
        </w:r>
      </w:hyperlink>
      <w:r>
        <w:t xml:space="preserve">.</w:t>
      </w:r>
    </w:p>
    <w:bookmarkEnd w:id="131"/>
    <w:bookmarkStart w:id="133"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2">
        <w:r>
          <w:rPr>
            <w:rStyle w:val="Hyperlink"/>
          </w:rPr>
          <w:t xml:space="preserve">10.1109/ACCESS.2025.3595894</w:t>
        </w:r>
      </w:hyperlink>
      <w:r>
        <w:t xml:space="preserve">.</w:t>
      </w:r>
    </w:p>
    <w:bookmarkEnd w:id="133"/>
    <w:bookmarkStart w:id="135"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4">
        <w:r>
          <w:rPr>
            <w:rStyle w:val="Hyperlink"/>
          </w:rPr>
          <w:t xml:space="preserve">10.1038/s41893-025-01598-6</w:t>
        </w:r>
      </w:hyperlink>
      <w:r>
        <w:t xml:space="preserve">.</w:t>
      </w:r>
    </w:p>
    <w:bookmarkEnd w:id="135"/>
    <w:bookmarkStart w:id="137"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6">
        <w:r>
          <w:rPr>
            <w:rStyle w:val="Hyperlink"/>
          </w:rPr>
          <w:t xml:space="preserve">10.18653/v1/N19-2010</w:t>
        </w:r>
      </w:hyperlink>
      <w:r>
        <w:t xml:space="preserve">.</w:t>
      </w:r>
    </w:p>
    <w:bookmarkEnd w:id="137"/>
    <w:bookmarkStart w:id="139"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8">
        <w:r>
          <w:rPr>
            <w:rStyle w:val="Hyperlink"/>
          </w:rPr>
          <w:t xml:space="preserve">10.3389/frai.2024.1472411</w:t>
        </w:r>
      </w:hyperlink>
      <w:r>
        <w:t xml:space="preserve">.</w:t>
      </w:r>
    </w:p>
    <w:bookmarkEnd w:id="139"/>
    <w:bookmarkStart w:id="141"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0">
        <w:r>
          <w:rPr>
            <w:rStyle w:val="Hyperlink"/>
          </w:rPr>
          <w:t xml:space="preserve">10.24948/2017.01</w:t>
        </w:r>
      </w:hyperlink>
      <w:r>
        <w:t xml:space="preserve">.</w:t>
      </w:r>
    </w:p>
    <w:bookmarkEnd w:id="141"/>
    <w:bookmarkStart w:id="143"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2">
        <w:r>
          <w:rPr>
            <w:rStyle w:val="Hyperlink"/>
          </w:rPr>
          <w:t xml:space="preserve">10.1177/016224390102600401</w:t>
        </w:r>
      </w:hyperlink>
      <w:r>
        <w:t xml:space="preserve">.</w:t>
      </w:r>
    </w:p>
    <w:bookmarkEnd w:id="143"/>
    <w:bookmarkStart w:id="145"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4">
        <w:r>
          <w:rPr>
            <w:rStyle w:val="Hyperlink"/>
          </w:rPr>
          <w:t xml:space="preserve">10.1017/S0020818300001442</w:t>
        </w:r>
      </w:hyperlink>
      <w:r>
        <w:t xml:space="preserve">.</w:t>
      </w:r>
    </w:p>
    <w:bookmarkEnd w:id="145"/>
    <w:bookmarkStart w:id="147"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6">
        <w:r>
          <w:rPr>
            <w:rStyle w:val="Hyperlink"/>
          </w:rPr>
          <w:t xml:space="preserve">10.1080/00437956.1954.11659520</w:t>
        </w:r>
      </w:hyperlink>
      <w:r>
        <w:t xml:space="preserve">.</w:t>
      </w:r>
    </w:p>
    <w:bookmarkEnd w:id="147"/>
    <w:bookmarkStart w:id="149"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8">
        <w:r>
          <w:rPr>
            <w:rStyle w:val="Hyperlink"/>
          </w:rPr>
          <w:t xml:space="preserve">10.1007/978-0-387-84858-7</w:t>
        </w:r>
      </w:hyperlink>
      <w:r>
        <w:t xml:space="preserve">.</w:t>
      </w:r>
    </w:p>
    <w:bookmarkEnd w:id="149"/>
    <w:bookmarkStart w:id="151"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0">
        <w:r>
          <w:rPr>
            <w:rStyle w:val="Hyperlink"/>
          </w:rPr>
          <w:t xml:space="preserve">10.1007/s43681-023-00259-8</w:t>
        </w:r>
      </w:hyperlink>
      <w:r>
        <w:t xml:space="preserve">.</w:t>
      </w:r>
    </w:p>
    <w:bookmarkEnd w:id="151"/>
    <w:bookmarkStart w:id="153"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2">
        <w:r>
          <w:rPr>
            <w:rStyle w:val="Hyperlink"/>
          </w:rPr>
          <w:t xml:space="preserve">10.17632/7ydfs62gd6.2</w:t>
        </w:r>
      </w:hyperlink>
      <w:r>
        <w:t xml:space="preserve">.</w:t>
      </w:r>
    </w:p>
    <w:bookmarkEnd w:id="153"/>
    <w:bookmarkStart w:id="155"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4">
        <w:r>
          <w:rPr>
            <w:rStyle w:val="Hyperlink"/>
          </w:rPr>
          <w:t xml:space="preserve">10.1002/csr.2202</w:t>
        </w:r>
      </w:hyperlink>
      <w:r>
        <w:t xml:space="preserve">.</w:t>
      </w:r>
    </w:p>
    <w:bookmarkEnd w:id="155"/>
    <w:bookmarkStart w:id="157"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6">
        <w:r>
          <w:rPr>
            <w:rStyle w:val="Hyperlink"/>
          </w:rPr>
          <w:t xml:space="preserve">10.1093/bjps/55.1.1</w:t>
        </w:r>
      </w:hyperlink>
      <w:r>
        <w:t xml:space="preserve">.</w:t>
      </w:r>
    </w:p>
    <w:bookmarkEnd w:id="157"/>
    <w:bookmarkStart w:id="159"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8">
        <w:r>
          <w:rPr>
            <w:rStyle w:val="Hyperlink"/>
          </w:rPr>
          <w:t xml:space="preserve">https://www.ipcc.ch/report/ar6/wg2/</w:t>
        </w:r>
      </w:hyperlink>
      <w:r>
        <w:t xml:space="preserve">.</w:t>
      </w:r>
    </w:p>
    <w:bookmarkEnd w:id="159"/>
    <w:bookmarkStart w:id="161"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0">
        <w:r>
          <w:rPr>
            <w:rStyle w:val="Hyperlink"/>
          </w:rPr>
          <w:t xml:space="preserve">10.1177/00223433241275335</w:t>
        </w:r>
      </w:hyperlink>
      <w:r>
        <w:t xml:space="preserve">.</w:t>
      </w:r>
    </w:p>
    <w:bookmarkEnd w:id="161"/>
    <w:bookmarkStart w:id="163"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2">
        <w:r>
          <w:rPr>
            <w:rStyle w:val="Hyperlink"/>
          </w:rPr>
          <w:t xml:space="preserve">https://arxiv.org/abs/1808.04339</w:t>
        </w:r>
      </w:hyperlink>
      <w:r>
        <w:t xml:space="preserve">.</w:t>
      </w:r>
    </w:p>
    <w:bookmarkEnd w:id="163"/>
    <w:bookmarkStart w:id="165"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4">
        <w:r>
          <w:rPr>
            <w:rStyle w:val="Hyperlink"/>
          </w:rPr>
          <w:t xml:space="preserve">10.1162/qss_a_00304</w:t>
        </w:r>
      </w:hyperlink>
      <w:r>
        <w:t xml:space="preserve">.</w:t>
      </w:r>
    </w:p>
    <w:bookmarkEnd w:id="165"/>
    <w:bookmarkStart w:id="166"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6"/>
    <w:bookmarkStart w:id="168"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7">
        <w:r>
          <w:rPr>
            <w:rStyle w:val="Hyperlink"/>
          </w:rPr>
          <w:t xml:space="preserve">10.1017/CBO9781139171434.009</w:t>
        </w:r>
      </w:hyperlink>
      <w:r>
        <w:t xml:space="preserve">.</w:t>
      </w:r>
    </w:p>
    <w:bookmarkEnd w:id="168"/>
    <w:bookmarkStart w:id="170"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69">
        <w:r>
          <w:rPr>
            <w:rStyle w:val="Hyperlink"/>
          </w:rPr>
          <w:t xml:space="preserve">10.1002/sd.1582</w:t>
        </w:r>
      </w:hyperlink>
      <w:r>
        <w:t xml:space="preserve">.</w:t>
      </w:r>
    </w:p>
    <w:bookmarkEnd w:id="170"/>
    <w:bookmarkStart w:id="172"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1">
        <w:r>
          <w:rPr>
            <w:rStyle w:val="Hyperlink"/>
          </w:rPr>
          <w:t xml:space="preserve">10.1017/CBO9780511809071</w:t>
        </w:r>
      </w:hyperlink>
      <w:r>
        <w:t xml:space="preserve">.</w:t>
      </w:r>
    </w:p>
    <w:bookmarkEnd w:id="172"/>
    <w:bookmarkStart w:id="174"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3">
        <w:r>
          <w:rPr>
            <w:rStyle w:val="Hyperlink"/>
          </w:rPr>
          <w:t xml:space="preserve">10.1016/j.ecoinf.2026.103669</w:t>
        </w:r>
      </w:hyperlink>
      <w:r>
        <w:t xml:space="preserve">.</w:t>
      </w:r>
    </w:p>
    <w:bookmarkEnd w:id="174"/>
    <w:bookmarkStart w:id="176"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5">
        <w:r>
          <w:rPr>
            <w:rStyle w:val="Hyperlink"/>
          </w:rPr>
          <w:t xml:space="preserve">10.1109/ACCESS.2024.3516500</w:t>
        </w:r>
      </w:hyperlink>
      <w:r>
        <w:t xml:space="preserve">.</w:t>
      </w:r>
    </w:p>
    <w:bookmarkEnd w:id="176"/>
    <w:bookmarkStart w:id="178"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7">
        <w:r>
          <w:rPr>
            <w:rStyle w:val="Hyperlink"/>
          </w:rPr>
          <w:t xml:space="preserve">10.1038/534320a</w:t>
        </w:r>
      </w:hyperlink>
      <w:r>
        <w:t xml:space="preserve">.</w:t>
      </w:r>
    </w:p>
    <w:bookmarkEnd w:id="178"/>
    <w:bookmarkStart w:id="180"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79">
        <w:r>
          <w:rPr>
            <w:rStyle w:val="Hyperlink"/>
          </w:rPr>
          <w:t xml:space="preserve">10.18653/v1/W17-4903</w:t>
        </w:r>
      </w:hyperlink>
      <w:r>
        <w:t xml:space="preserve">.</w:t>
      </w:r>
    </w:p>
    <w:bookmarkEnd w:id="180"/>
    <w:bookmarkStart w:id="182"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1">
        <w:r>
          <w:rPr>
            <w:rStyle w:val="Hyperlink"/>
          </w:rPr>
          <w:t xml:space="preserve">https://oecd.ai/en/partner-data-methodological-note</w:t>
        </w:r>
      </w:hyperlink>
      <w:r>
        <w:t xml:space="preserve">.</w:t>
      </w:r>
    </w:p>
    <w:bookmarkEnd w:id="182"/>
    <w:bookmarkStart w:id="184"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3">
        <w:r>
          <w:rPr>
            <w:rStyle w:val="Hyperlink"/>
          </w:rPr>
          <w:t xml:space="preserve">10.48550/arXiv.2205.01833</w:t>
        </w:r>
      </w:hyperlink>
      <w:r>
        <w:t xml:space="preserve">.</w:t>
      </w:r>
    </w:p>
    <w:bookmarkEnd w:id="184"/>
    <w:bookmarkStart w:id="186"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5">
        <w:r>
          <w:rPr>
            <w:rStyle w:val="Hyperlink"/>
          </w:rPr>
          <w:t xml:space="preserve">10.48550/arXiv.2211.11252</w:t>
        </w:r>
      </w:hyperlink>
      <w:r>
        <w:t xml:space="preserve">.</w:t>
      </w:r>
    </w:p>
    <w:bookmarkEnd w:id="186"/>
    <w:bookmarkStart w:id="188"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7">
        <w:r>
          <w:rPr>
            <w:rStyle w:val="Hyperlink"/>
          </w:rPr>
          <w:t xml:space="preserve">10.18653/v1/2020.acl-main.647</w:t>
        </w:r>
      </w:hyperlink>
      <w:r>
        <w:t xml:space="preserve">.</w:t>
      </w:r>
    </w:p>
    <w:bookmarkEnd w:id="188"/>
    <w:bookmarkStart w:id="190"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89">
        <w:r>
          <w:rPr>
            <w:rStyle w:val="Hyperlink"/>
          </w:rPr>
          <w:t xml:space="preserve">10.18653/v1/D19-1410</w:t>
        </w:r>
      </w:hyperlink>
      <w:r>
        <w:t xml:space="preserve">.</w:t>
      </w:r>
    </w:p>
    <w:bookmarkEnd w:id="190"/>
    <w:bookmarkStart w:id="192"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1">
        <w:r>
          <w:rPr>
            <w:rStyle w:val="Hyperlink"/>
          </w:rPr>
          <w:t xml:space="preserve">10.1017/S0003055422001228</w:t>
        </w:r>
      </w:hyperlink>
      <w:r>
        <w:t xml:space="preserve">.</w:t>
      </w:r>
    </w:p>
    <w:bookmarkEnd w:id="192"/>
    <w:bookmarkStart w:id="194"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3">
        <w:r>
          <w:rPr>
            <w:rStyle w:val="Hyperlink"/>
          </w:rPr>
          <w:t xml:space="preserve">10.1023/A:1026543900054</w:t>
        </w:r>
      </w:hyperlink>
      <w:r>
        <w:t xml:space="preserve">.</w:t>
      </w:r>
    </w:p>
    <w:bookmarkEnd w:id="194"/>
    <w:bookmarkStart w:id="196"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5">
        <w:r>
          <w:rPr>
            <w:rStyle w:val="Hyperlink"/>
          </w:rPr>
          <w:t xml:space="preserve">10.51593/20230</w:t>
        </w:r>
      </w:hyperlink>
      <w:r>
        <w:t xml:space="preserve">.</w:t>
      </w:r>
    </w:p>
    <w:bookmarkEnd w:id="196"/>
    <w:bookmarkStart w:id="198"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7">
        <w:r>
          <w:rPr>
            <w:rStyle w:val="Hyperlink"/>
          </w:rPr>
          <w:t xml:space="preserve">https://github.com/SDGClassification/benchmark</w:t>
        </w:r>
      </w:hyperlink>
      <w:r>
        <w:t xml:space="preserve">.</w:t>
      </w:r>
    </w:p>
    <w:bookmarkEnd w:id="198"/>
    <w:bookmarkStart w:id="200"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199">
        <w:r>
          <w:rPr>
            <w:rStyle w:val="Hyperlink"/>
          </w:rPr>
          <w:t xml:space="preserve">https://huggingface.co/datasets/UNDP/sdgi-corpus</w:t>
        </w:r>
      </w:hyperlink>
      <w:r>
        <w:t xml:space="preserve">.</w:t>
      </w:r>
    </w:p>
    <w:bookmarkEnd w:id="200"/>
    <w:bookmarkStart w:id="202"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1">
        <w:r>
          <w:rPr>
            <w:rStyle w:val="Hyperlink"/>
          </w:rPr>
          <w:t xml:space="preserve">10.1214/13-AOS1140</w:t>
        </w:r>
      </w:hyperlink>
      <w:r>
        <w:t xml:space="preserve">.</w:t>
      </w:r>
    </w:p>
    <w:bookmarkEnd w:id="202"/>
    <w:bookmarkStart w:id="203"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3"/>
    <w:bookmarkStart w:id="204"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4"/>
    <w:bookmarkStart w:id="206"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5">
        <w:r>
          <w:rPr>
            <w:rStyle w:val="Hyperlink"/>
          </w:rPr>
          <w:t xml:space="preserve">10.1002/sd.2706</w:t>
        </w:r>
      </w:hyperlink>
      <w:r>
        <w:t xml:space="preserve">.</w:t>
      </w:r>
    </w:p>
    <w:bookmarkEnd w:id="206"/>
    <w:bookmarkStart w:id="208"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7">
        <w:r>
          <w:rPr>
            <w:rStyle w:val="Hyperlink"/>
          </w:rPr>
          <w:t xml:space="preserve">10.1007/s00146-025-02181-5</w:t>
        </w:r>
      </w:hyperlink>
      <w:r>
        <w:t xml:space="preserve">.</w:t>
      </w:r>
    </w:p>
    <w:bookmarkEnd w:id="208"/>
    <w:bookmarkStart w:id="210"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09">
        <w:r>
          <w:rPr>
            <w:rStyle w:val="Hyperlink"/>
          </w:rPr>
          <w:t xml:space="preserve">10.48550/arXiv.2505.00174</w:t>
        </w:r>
      </w:hyperlink>
      <w:r>
        <w:t xml:space="preserve">.</w:t>
      </w:r>
    </w:p>
    <w:bookmarkEnd w:id="210"/>
    <w:bookmarkStart w:id="212"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1">
        <w:r>
          <w:rPr>
            <w:rStyle w:val="Hyperlink"/>
          </w:rPr>
          <w:t xml:space="preserve">10.1016/j.jspi.2013.03.018</w:t>
        </w:r>
      </w:hyperlink>
      <w:r>
        <w:t xml:space="preserve">.</w:t>
      </w:r>
    </w:p>
    <w:bookmarkEnd w:id="212"/>
    <w:bookmarkStart w:id="214"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3">
        <w:r>
          <w:rPr>
            <w:rStyle w:val="Hyperlink"/>
          </w:rPr>
          <w:t xml:space="preserve">10.1145/3630106.3659035</w:t>
        </w:r>
      </w:hyperlink>
      <w:r>
        <w:t xml:space="preserve">.</w:t>
      </w:r>
    </w:p>
    <w:bookmarkEnd w:id="214"/>
    <w:bookmarkStart w:id="216"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5">
        <w:r>
          <w:rPr>
            <w:rStyle w:val="Hyperlink"/>
          </w:rPr>
          <w:t xml:space="preserve">10.5281/zenodo.3798385</w:t>
        </w:r>
      </w:hyperlink>
      <w:r>
        <w:t xml:space="preserve">.</w:t>
      </w:r>
    </w:p>
    <w:bookmarkEnd w:id="216"/>
    <w:bookmarkStart w:id="218"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7">
        <w:r>
          <w:rPr>
            <w:rStyle w:val="Hyperlink"/>
          </w:rPr>
          <w:t xml:space="preserve">10.1007/978-3-540-71050-9</w:t>
        </w:r>
      </w:hyperlink>
      <w:r>
        <w:t xml:space="preserve">.</w:t>
      </w:r>
    </w:p>
    <w:bookmarkEnd w:id="218"/>
    <w:bookmarkStart w:id="220"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19">
        <w:r>
          <w:rPr>
            <w:rStyle w:val="Hyperlink"/>
          </w:rPr>
          <w:t xml:space="preserve">10.1038/s41467-019-14108-y</w:t>
        </w:r>
      </w:hyperlink>
      <w:r>
        <w:t xml:space="preserve">.</w:t>
      </w:r>
    </w:p>
    <w:bookmarkEnd w:id="220"/>
    <w:bookmarkStart w:id="222"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1">
        <w:r>
          <w:rPr>
            <w:rStyle w:val="Hyperlink"/>
          </w:rPr>
          <w:t xml:space="preserve">10.5281/zenodo.7523032</w:t>
        </w:r>
      </w:hyperlink>
      <w:r>
        <w:t xml:space="preserve">.</w:t>
      </w:r>
    </w:p>
    <w:bookmarkEnd w:id="222"/>
    <w:bookmarkStart w:id="224"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3">
        <w:r>
          <w:rPr>
            <w:rStyle w:val="Hyperlink"/>
          </w:rPr>
          <w:t xml:space="preserve">10.1016/j.array.2025.100419</w:t>
        </w:r>
      </w:hyperlink>
      <w:r>
        <w:t xml:space="preserve">.</w:t>
      </w:r>
    </w:p>
    <w:bookmarkEnd w:id="224"/>
    <w:bookmarkEnd w:id="225"/>
    <w:p>
      <w:r>
        <w:br w:type="page"/>
      </w:r>
    </w:p>
    <w:bookmarkStart w:id="231" w:name="app:concept-retrieval-sensitivity"/>
    <w:p>
      <w:pPr>
        <w:pStyle w:val="Heading1"/>
        <w:keepNext/>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17</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4</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29" w:name="fig:concept-coverage"/>
    <w:p>
      <w:pPr>
        <w:pStyle w:val="CaptionedFigure"/>
      </w:pPr>
      <w:r>
        <w:drawing>
          <wp:inline>
            <wp:extent cx="4800600" cy="4346489"/>
            <wp:effectExtent b="0" l="0" r="0" t="0"/>
            <wp:docPr descr="" title="" id="227" name="Picture"/>
            <a:graphic>
              <a:graphicData uri="http://schemas.openxmlformats.org/drawingml/2006/picture">
                <pic:pic>
                  <pic:nvPicPr>
                    <pic:cNvPr descr="fig10_concept_coverage.png" id="228" name="Picture"/>
                    <pic:cNvPicPr>
                      <a:picLocks noChangeArrowheads="1" noChangeAspect="1"/>
                    </pic:cNvPicPr>
                  </pic:nvPicPr>
                  <pic:blipFill>
                    <a:blip r:embed="rId226"/>
                    <a:stretch>
                      <a:fillRect/>
                    </a:stretch>
                  </pic:blipFill>
                  <pic:spPr bwMode="auto">
                    <a:xfrm>
                      <a:off x="0" y="0"/>
                      <a:ext cx="4800600" cy="4346489"/>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29"/>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5</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4</w:t>
        </w:r>
      </w:hyperlink>
      <w:r>
        <w:t xml:space="preserve">) and the cross-sensitivity tables.</w:t>
      </w:r>
    </w:p>
    <w:bookmarkStart w:id="230" w:name="tab:reference-concept"/>
    <w:p>
      <w:pPr>
        <w:pStyle w:val="TableCaption"/>
        <w:keepNext/>
      </w:pPr>
      <w:r>
        <w:t xml:space="preserve">Table 5: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0"/>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p>
      <w:r>
        <w:br w:type="page"/>
      </w:r>
    </w:p>
    <w:bookmarkEnd w:id="231"/>
    <w:bookmarkStart w:id="239" w:name="app:centroid-diagnostics"/>
    <w:p>
      <w:pPr>
        <w:pStyle w:val="Heading1"/>
        <w:keepNext/>
      </w:pPr>
      <w:r>
        <w:t xml:space="preserve">B Diagnostics for Reference Classifier</w:t>
      </w:r>
    </w:p>
    <w:bookmarkStart w:id="233" w:name="app:sdg4-lexical-audit"/>
    <w:p>
      <w:pPr>
        <w:pStyle w:val="Heading2"/>
        <w:keepNext/>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6</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2" w:name="tab:sdg4-lexical-audit"/>
    <w:p>
      <w:pPr>
        <w:pStyle w:val="TableCaption"/>
        <w:keepNext/>
      </w:pPr>
      <w:r>
        <w:t xml:space="preserve">Table 6: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2"/>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3"/>
    <w:bookmarkStart w:id="238" w:name="app:centroid-similarity"/>
    <w:p>
      <w:pPr>
        <w:pStyle w:val="Heading2"/>
        <w:keepNext/>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7" w:name="fig:centroid-similarity-matrix"/>
    <w:p>
      <w:pPr>
        <w:pStyle w:val="CaptionedFigure"/>
      </w:pPr>
      <w:r>
        <w:drawing>
          <wp:inline>
            <wp:extent cx="5334000" cy="4593515"/>
            <wp:effectExtent b="0" l="0" r="0" t="0"/>
            <wp:docPr descr="" title="" id="235" name="Picture"/>
            <a:graphic>
              <a:graphicData uri="http://schemas.openxmlformats.org/drawingml/2006/picture">
                <pic:pic>
                  <pic:nvPicPr>
                    <pic:cNvPr descr="fig8_centroid_similarity_heatmap.png" id="236" name="Picture"/>
                    <pic:cNvPicPr>
                      <a:picLocks noChangeArrowheads="1" noChangeAspect="1"/>
                    </pic:cNvPicPr>
                  </pic:nvPicPr>
                  <pic:blipFill>
                    <a:blip r:embed="rId234"/>
                    <a:stretch>
                      <a:fillRect/>
                    </a:stretch>
                  </pic:blipFill>
                  <pic:spPr bwMode="auto">
                    <a:xfrm>
                      <a:off x="0" y="0"/>
                      <a:ext cx="5334000" cy="4593515"/>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7"/>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p>
      <w:r>
        <w:br w:type="page"/>
      </w:r>
    </w:p>
    <w:bookmarkEnd w:id="238"/>
    <w:bookmarkEnd w:id="239"/>
    <w:bookmarkStart w:id="241" w:name="app:semantic-gap-text-interpretability"/>
    <w:p>
      <w:pPr>
        <w:pStyle w:val="Heading1"/>
        <w:keepNext/>
      </w:pPr>
      <w:r>
        <w:t xml:space="preserve">C Lexical Illustration of the Semantic Gap</w:t>
      </w:r>
    </w:p>
    <w:p>
      <w:pPr>
        <w:pStyle w:val="FirstParagraph"/>
      </w:pPr>
      <w:r>
        <w:t xml:space="preserve">Table </w:t>
      </w:r>
      <w:hyperlink w:anchor="Xb5f46f72c0b4de0e21636b87797eca5bfe52583">
        <w:r>
          <w:rPr>
            <w:rStyle w:val="Hyperlink"/>
          </w:rPr>
          <w:t xml:space="preserve">7</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0" w:name="Xb5f46f72c0b4de0e21636b87797eca5bfe52583"/>
    <w:p>
      <w:pPr>
        <w:pStyle w:val="TableCaption"/>
        <w:keepNext/>
      </w:pPr>
      <w:r>
        <w:t xml:space="preserve">Table 7: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7: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0"/>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p>
      <w:r>
        <w:br w:type="page"/>
      </w:r>
    </w:p>
    <w:bookmarkEnd w:id="241"/>
    <w:bookmarkStart w:id="245" w:name="app:distributional-table"/>
    <w:p>
      <w:pPr>
        <w:pStyle w:val="Heading1"/>
        <w:keepNext/>
      </w:pPr>
      <w:r>
        <w:t xml:space="preserve">D Distance-Functional Robustness Table</w:t>
      </w:r>
    </w:p>
    <w:p>
      <w:pPr>
        <w:pStyle w:val="FirstParagraph"/>
      </w:pPr>
      <w:r>
        <w:t xml:space="preserve">Table </w:t>
      </w:r>
      <w:hyperlink w:anchor="tab:distributional-gap">
        <w:r>
          <w:rPr>
            <w:rStyle w:val="Hyperlink"/>
          </w:rPr>
          <w:t xml:space="preserve">8</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2" w:name="tab:distributional-gap"/>
    <w:p>
      <w:pPr>
        <w:pStyle w:val="TableCaption"/>
        <w:keepNext/>
      </w:pPr>
      <w:r>
        <w:t xml:space="preserve">Table 8: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2"/>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3" w:name="tab:distributional-gap-cont"/>
    <w:p>
      <w:pPr>
        <w:pStyle w:val="TableCaption"/>
        <w:keepNext/>
      </w:pPr>
      <w:r>
        <w:t xml:space="preserve">Table 9: Per-SDG research–policy gap under distribution-aware metrics versus the canonical centroid gap (Part 2 of 2: sampled metrics; continuation of Table </w:t>
      </w:r>
      <w:hyperlink w:anchor="tab:distributional-gap">
        <w:r>
          <w:rPr>
            <w:rStyle w:val="Hyperlink"/>
          </w:rPr>
          <w:t xml:space="preserve">8</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2 of 2: sampled metrics; continuation of Table 8)."/>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3"/>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10</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4" w:name="tab:distributional-h1"/>
    <w:p>
      <w:pPr>
        <w:pStyle w:val="TableCaption"/>
        <w:keepNext/>
      </w:pPr>
      <w:r>
        <w:t xml:space="preserve">Table 10: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4</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H1a–H1d coverage-predictor vs semantic-gap Spearman correlations under distribution-aware semantic gaps (adjusted embeddings). Distributional gaps replace the centroid gap as the outcome vector; predictors and test are identical to Table 4."/>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4"/>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p>
      <w:r>
        <w:br w:type="page"/>
      </w:r>
    </w:p>
    <w:bookmarkEnd w:id="245"/>
    <w:bookmarkStart w:id="251" w:name="app:sample-stability"/>
    <w:p>
      <w:pPr>
        <w:pStyle w:val="Heading1"/>
        <w:keepNext/>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49" w:name="fig:sample-stability"/>
    <w:p>
      <w:pPr>
        <w:pStyle w:val="CaptionedFigure"/>
      </w:pPr>
      <w:r>
        <w:drawing>
          <wp:inline>
            <wp:extent cx="4693920" cy="4759495"/>
            <wp:effectExtent b="0" l="0" r="0" t="0"/>
            <wp:docPr descr="" title="" id="247" name="Picture"/>
            <a:graphic>
              <a:graphicData uri="http://schemas.openxmlformats.org/drawingml/2006/picture">
                <pic:pic>
                  <pic:nvPicPr>
                    <pic:cNvPr descr="fig11_sample_stability.png" id="248" name="Picture"/>
                    <pic:cNvPicPr>
                      <a:picLocks noChangeArrowheads="1" noChangeAspect="1"/>
                    </pic:cNvPicPr>
                  </pic:nvPicPr>
                  <pic:blipFill>
                    <a:blip r:embed="rId246"/>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49"/>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0" w:name="app:balanced-subset-stability"/>
      <w:bookmarkEnd w:id="250"/>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p>
      <w:r>
        <w:br w:type="page"/>
      </w:r>
    </w:p>
    <w:bookmarkEnd w:id="251"/>
    <w:bookmarkStart w:id="253" w:name="app:model-selection"/>
    <w:p>
      <w:pPr>
        <w:pStyle w:val="Heading1"/>
        <w:keepNext/>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2" w:name="tab:model-selection-appendix"/>
    <w:p>
      <w:pPr>
        <w:pStyle w:val="TableCaption"/>
        <w:keepNext/>
      </w:pPr>
      <w:r>
        <w:t xml:space="preserve">Table 11: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2"/>
    <w:p>
      <w:r>
        <w:br w:type="page"/>
      </w:r>
    </w:p>
    <w:bookmarkEnd w:id="253"/>
    <w:bookmarkStart w:id="276" w:name="app:register-removal"/>
    <w:p>
      <w:pPr>
        <w:pStyle w:val="Heading1"/>
        <w:keepNext/>
      </w:pPr>
      <w:r>
        <w:t xml:space="preserve">G Register Removal: Convergence and Validation</w:t>
      </w:r>
    </w:p>
    <w:bookmarkStart w:id="261" w:name="app:register-robustness"/>
    <w:p>
      <w:pPr>
        <w:pStyle w:val="Heading2"/>
        <w:keepNext/>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4" w:name="sampling-design."/>
    <w:p>
      <w:pPr>
        <w:pStyle w:val="Heading4"/>
        <w:keepNext/>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4"/>
    <w:bookmarkStart w:id="255" w:name="app:register-inlp"/>
    <w:p>
      <w:pPr>
        <w:pStyle w:val="Heading4"/>
        <w:keepNext/>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Fig. </w:t>
      </w:r>
      <w:hyperlink w:anchor="fig:semantic_gap">
        <w:r>
          <w:rPr>
            <w:rStyle w:val="Hyperlink"/>
          </w:rPr>
          <w:t xml:space="preserve">5</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5"/>
    <w:bookmarkStart w:id="260" w:name="cross-config-replication."/>
    <w:p>
      <w:pPr>
        <w:pStyle w:val="Heading4"/>
        <w:keepNext/>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59" w:name="fig:register-convergence"/>
    <w:p>
      <w:pPr>
        <w:pStyle w:val="CaptionedFigure"/>
      </w:pPr>
      <w:r>
        <w:drawing>
          <wp:inline>
            <wp:extent cx="4693920" cy="4884214"/>
            <wp:effectExtent b="0" l="0" r="0" t="0"/>
            <wp:docPr descr="" title="" id="257" name="Picture"/>
            <a:graphic>
              <a:graphicData uri="http://schemas.openxmlformats.org/drawingml/2006/picture">
                <pic:pic>
                  <pic:nvPicPr>
                    <pic:cNvPr descr="fig12_register_convergence.png" id="258" name="Picture"/>
                    <pic:cNvPicPr>
                      <a:picLocks noChangeArrowheads="1" noChangeAspect="1"/>
                    </pic:cNvPicPr>
                  </pic:nvPicPr>
                  <pic:blipFill>
                    <a:blip r:embed="rId256"/>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59"/>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0"/>
    <w:bookmarkEnd w:id="261"/>
    <w:bookmarkStart w:id="275" w:name="app:register-validation"/>
    <w:p>
      <w:pPr>
        <w:pStyle w:val="Heading2"/>
        <w:keepNext/>
      </w:pPr>
      <w:r>
        <w:t xml:space="preserve">G.2 Construct Validation</w:t>
      </w:r>
    </w:p>
    <w:bookmarkStart w:id="262" w:name="sec:regval-purpose"/>
    <w:p>
      <w:pPr>
        <w:pStyle w:val="Heading3"/>
        <w:keepNext/>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2"/>
    <w:bookmarkStart w:id="265" w:name="sec:regval-operationalisation"/>
    <w:p>
      <w:pPr>
        <w:pStyle w:val="Heading3"/>
        <w:keepNext/>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12</w:t>
        </w:r>
      </w:hyperlink>
      <w:r>
        <w:t xml:space="preserve">).</w:t>
      </w:r>
    </w:p>
    <w:bookmarkStart w:id="263" w:name="tab:register-sample-design"/>
    <w:p>
      <w:pPr>
        <w:pStyle w:val="TableCaption"/>
        <w:keepNext/>
      </w:pPr>
      <w:r>
        <w:t xml:space="preserve">Table 12: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3"/>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13</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4" w:name="tab:register-feature-contrasts"/>
    <w:p>
      <w:pPr>
        <w:pStyle w:val="TableCaption"/>
        <w:keepNext/>
      </w:pPr>
      <w:r>
        <w:t xml:space="preserve">Table 13: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4"/>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5"/>
    <w:bookmarkStart w:id="266" w:name="sec:regval-discrimination"/>
    <w:p>
      <w:pPr>
        <w:pStyle w:val="Heading3"/>
        <w:keepNext/>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15</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15</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6"/>
    <w:bookmarkStart w:id="267" w:name="sec:regval-topic"/>
    <w:p>
      <w:pPr>
        <w:pStyle w:val="Heading3"/>
        <w:keepNext/>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16</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7"/>
    <w:bookmarkStart w:id="269" w:name="sec:regval-subspace"/>
    <w:p>
      <w:pPr>
        <w:pStyle w:val="Heading3"/>
        <w:keepNext/>
      </w:pPr>
      <w:r>
        <w:t xml:space="preserve">G.2.5 Characterisation of the Removed Subspace</w:t>
      </w:r>
    </w:p>
    <w:p>
      <w:pPr>
        <w:pStyle w:val="FirstParagraph"/>
      </w:pPr>
      <w:r>
        <w:t xml:space="preserve">The tests above show that the removed component separates the corpora while preserving topic information. Two direction-space tests on the frozen SDG-balanced sample used to train </w:t>
      </w:r>
      <m:oMath>
        <m:r>
          <m:t>G</m:t>
        </m:r>
      </m:oMath>
      <w:r>
        <w:t xml:space="preserve"> </w:t>
      </w:r>
      <w:r>
        <w:t xml:space="preserve">examine its structure.</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shows no preferential alignment with the independent SDG-topic directions, which argues against substantial SDG-topic leakage.</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These results argue against topic leakage. The direction generalises across unseen SDGs, which is consistent with a corpus-level component rather than an SDG-specific direction.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14</w:t>
        </w:r>
      </w:hyperlink>
      <w:r>
        <w:t xml:space="preserve">).</w:t>
      </w:r>
    </w:p>
    <w:p>
      <w:pPr>
        <w:pStyle w:val="BodyText"/>
      </w:pPr>
      <w:r>
        <w:rPr>
          <w:bCs/>
          <w:b/>
        </w:rPr>
        <w:t xml:space="preserve">Lexical signature and interpretive limits.</w:t>
      </w:r>
      <w:r>
        <w:t xml:space="preserve"> </w:t>
      </w:r>
      <w:r>
        <w:t xml:space="preserve">The removed subspace’s word-level projection is weak and inconclusive. It does not provide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This modest gap indicates limited alignment with any specific vocabulary. The highest-scoring words combine a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with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does not establish a policy-domain vocabulary. P1 and P2 support the narrower interpretation that the removed subspace captures corpus-associated variation that is partly register-like.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The projection also differs from the Biber surface-register features targeted by the manual score in G.2.2: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8" w:name="tab:register-subspace"/>
    <w:p>
      <w:pPr>
        <w:pStyle w:val="TableCaption"/>
        <w:keepNext/>
      </w:pPr>
      <w:r>
        <w:t xml:space="preserve">Table 14: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8"/>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69"/>
    <w:bookmarkStart w:id="270" w:name="sec:regval-residual"/>
    <w:p>
      <w:pPr>
        <w:pStyle w:val="Heading3"/>
        <w:keepNext/>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0"/>
    <w:bookmarkStart w:id="271" w:name="sec:regval-conclusion"/>
    <w:p>
      <w:pPr>
        <w:pStyle w:val="Heading3"/>
        <w:keepNext/>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15</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16</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14</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is supported in qualified form: the removed subspace carries corpus-associated information, shows no preferential alignment with SDG-topic directions, and generalises across held-out SDGs. These results support interpreting it as partly register-like, while they do not establish a pure register axis. A full-vocabulary scan (P0b) places the top projection only modestly above a random subspace (0.527 vs 0.401), and the highest-scoring words combine socioeconomic and governance terms with rare morphological items. The word list does not establish a policy-domain vocabulary.</w:t>
      </w:r>
    </w:p>
    <w:bookmarkEnd w:id="271"/>
    <w:bookmarkStart w:id="274" w:name="sec:regval-limitations"/>
    <w:p>
      <w:pPr>
        <w:pStyle w:val="Heading3"/>
        <w:keepNext/>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15</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characterised at the direction level (P1/P2). The word-level lexical signal (P0b) is weak and noisy, so it does not establish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best treated as corpus-associated and register-like rather than as a pure register axis. Open only whether a finer sub-lexical decomposition would recover more structure.</w:t>
      </w:r>
    </w:p>
    <w:bookmarkStart w:id="272" w:name="tab:register-validation-accuracy"/>
    <w:p>
      <w:pPr>
        <w:pStyle w:val="TableCaption"/>
        <w:keepNext/>
      </w:pPr>
      <w:r>
        <w:t xml:space="preserve">Table 15: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2"/>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3" w:name="tab:register-validation-selectivity"/>
    <w:p>
      <w:pPr>
        <w:pStyle w:val="TableCaption"/>
        <w:keepNext/>
      </w:pPr>
      <w:r>
        <w:t xml:space="preserve">Table 16: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3"/>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p>
      <w:r>
        <w:br w:type="page"/>
      </w:r>
    </w:p>
    <w:bookmarkEnd w:id="274"/>
    <w:bookmarkEnd w:id="275"/>
    <w:bookmarkEnd w:id="276"/>
    <w:bookmarkStart w:id="300" w:name="app:cross-method-section"/>
    <w:p>
      <w:pPr>
        <w:pStyle w:val="Heading1"/>
        <w:keepNext/>
      </w:pPr>
      <w:r>
        <w:t xml:space="preserve">H Supplementary Cross-Method Data</w:t>
      </w:r>
    </w:p>
    <w:bookmarkStart w:id="277" w:name="app:cross-method-gap-values"/>
    <w:p>
      <w:pPr>
        <w:pStyle w:val="Heading2"/>
        <w:keepNext/>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17</w:t>
        </w:r>
      </w:hyperlink>
      <w:r>
        <w:t xml:space="preserve"> </w:t>
      </w:r>
      <w:r>
        <w:t xml:space="preserve">and </w:t>
      </w:r>
      <w:hyperlink w:anchor="tab:cross-sensitivity-coverage">
        <w:r>
          <w:rPr>
            <w:rStyle w:val="Hyperlink"/>
          </w:rPr>
          <w:t xml:space="preserve">22</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7"/>
    <w:bookmarkStart w:id="280" w:name="sec:cross-sensitivity"/>
    <w:p>
      <w:pPr>
        <w:pStyle w:val="Heading2"/>
        <w:keepNext/>
      </w:pPr>
      <w:r>
        <w:t xml:space="preserve">H.2 Rank Robustness: Cross-Sensitivity and Encoder Sensitivity</w:t>
      </w:r>
    </w:p>
    <w:p>
      <w:pPr>
        <w:pStyle w:val="FirstParagraph"/>
      </w:pPr>
      <w:r>
        <w:t xml:space="preserve">Tables </w:t>
      </w:r>
      <w:hyperlink w:anchor="tab:cross-sensitivity-robustness">
        <w:r>
          <w:rPr>
            <w:rStyle w:val="Hyperlink"/>
          </w:rPr>
          <w:t xml:space="preserve">17</w:t>
        </w:r>
      </w:hyperlink>
      <w:r>
        <w:t xml:space="preserve"> </w:t>
      </w:r>
      <w:r>
        <w:t xml:space="preserve">(adjusted) and </w:t>
      </w:r>
      <w:hyperlink w:anchor="tab:cross-sensitivity-robustness-raw">
        <w:r>
          <w:rPr>
            <w:rStyle w:val="Hyperlink"/>
          </w:rPr>
          <w:t xml:space="preserve">18</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19</w:t>
        </w:r>
      </w:hyperlink>
      <w:r>
        <w:t xml:space="preserve">, </w:t>
      </w:r>
      <w:hyperlink w:anchor="tab:encoder-sensitivity-semantic-raw">
        <w:r>
          <w:rPr>
            <w:rStyle w:val="Hyperlink"/>
          </w:rPr>
          <w:t xml:space="preserve">20</w:t>
        </w:r>
      </w:hyperlink>
      <w:r>
        <w:t xml:space="preserve">, and </w:t>
      </w:r>
      <w:hyperlink w:anchor="tab:encoder-sensitivity-coverage">
        <w:r>
          <w:rPr>
            <w:rStyle w:val="Hyperlink"/>
          </w:rPr>
          <w:t xml:space="preserve">21</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8" w:name="tab:cross-sensitivity-robustness"/>
    <w:p>
      <w:pPr>
        <w:pStyle w:val="TableCaption"/>
        <w:keepNext/>
      </w:pPr>
      <w:r>
        <w:t xml:space="preserve">Table 17: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8"/>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79" w:name="tab:cross-sensitivity-robustness-raw"/>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79"/>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0"/>
    <w:bookmarkStart w:id="285" w:name="sec:encoder-sensitivity"/>
    <w:p>
      <w:pPr>
        <w:pStyle w:val="Heading2"/>
        <w:keepNext/>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1" w:name="tab:encoder-sensitivity-semantic"/>
    <w:p>
      <w:pPr>
        <w:pStyle w:val="TableCaption"/>
        <w:keepNext/>
      </w:pPr>
      <w:r>
        <w:t xml:space="preserve">Table 19: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1"/>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2" w:name="tab:encoder-sensitivity-semantic-raw"/>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2"/>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3" w:name="tab:encoder-sensitivity-coverage"/>
    <w:p>
      <w:pPr>
        <w:pStyle w:val="TableCaption"/>
        <w:keepNext/>
      </w:pPr>
      <w:r>
        <w:t xml:space="preserve">Table 21: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3"/>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4" w:name="tab:cross-sensitivity-coverage"/>
    <w:p>
      <w:pPr>
        <w:pStyle w:val="TableCaption"/>
        <w:keepNext/>
      </w:pPr>
      <w:r>
        <w:t xml:space="preserve">Table 22: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5"/>
    <w:bookmarkStart w:id="292" w:name="app:reference-tables"/>
    <w:p>
      <w:pPr>
        <w:pStyle w:val="Heading2"/>
        <w:keepNext/>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The table reports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6" w:name="tab:reference-minilm"/>
    <w:p>
      <w:pPr>
        <w:pStyle w:val="TableCaption"/>
        <w:keepNext/>
      </w:pPr>
      <w:r>
        <w:t xml:space="preserve">Table 23: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6"/>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7" w:name="tab:reference-scibert"/>
    <w:p>
      <w:pPr>
        <w:pStyle w:val="TableCaption"/>
        <w:keepNext/>
      </w:pPr>
      <w:r>
        <w:t xml:space="preserve">Table 24: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The semantic-gap and coverage-predictor structure is retained.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1" w:name="fig:cross-method-values"/>
    <w:p>
      <w:pPr>
        <w:pStyle w:val="CaptionedFigure"/>
      </w:pPr>
      <w:r>
        <w:drawing>
          <wp:inline>
            <wp:extent cx="5334000" cy="5119166"/>
            <wp:effectExtent b="0" l="0" r="0" t="0"/>
            <wp:docPr descr="" title="" id="289" name="Picture"/>
            <a:graphic>
              <a:graphicData uri="http://schemas.openxmlformats.org/drawingml/2006/picture">
                <pic:pic>
                  <pic:nvPicPr>
                    <pic:cNvPr descr="fig13_cross_method_heatmap.png" id="290" name="Picture"/>
                    <pic:cNvPicPr>
                      <a:picLocks noChangeArrowheads="1" noChangeAspect="1"/>
                    </pic:cNvPicPr>
                  </pic:nvPicPr>
                  <pic:blipFill>
                    <a:blip r:embed="rId288"/>
                    <a:stretch>
                      <a:fillRect/>
                    </a:stretch>
                  </pic:blipFill>
                  <pic:spPr bwMode="auto">
                    <a:xfrm>
                      <a:off x="0" y="0"/>
                      <a:ext cx="5334000" cy="5119166"/>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1"/>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2"/>
    <w:bookmarkStart w:id="294" w:name="app:assignment-method-comparison"/>
    <w:p>
      <w:pPr>
        <w:pStyle w:val="Heading2"/>
        <w:keepNext/>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25</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3" w:name="tab:app-assignment-method-comparison"/>
    <w:p>
      <w:pPr>
        <w:pStyle w:val="TableCaption"/>
        <w:keepNext/>
      </w:pPr>
      <w:r>
        <w:t xml:space="preserve">Table 25: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3"/>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25</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4"/>
    <w:bookmarkStart w:id="296" w:name="app:raw-value-correlation"/>
    <w:p>
      <w:pPr>
        <w:pStyle w:val="Heading2"/>
        <w:keepNext/>
      </w:pPr>
      <w:r>
        <w:t xml:space="preserve">H.6 Raw-Value Correlation: Metric-Sensitivity Companion</w:t>
      </w:r>
    </w:p>
    <w:p>
      <w:pPr>
        <w:pStyle w:val="FirstParagraph"/>
      </w:pPr>
      <w:r>
        <w:t xml:space="preserve">Table </w:t>
      </w:r>
      <w:hyperlink w:anchor="tab:raw-value-correlation">
        <w:r>
          <w:rPr>
            <w:rStyle w:val="Hyperlink"/>
          </w:rPr>
          <w:t xml:space="preserve">26</w:t>
        </w:r>
      </w:hyperlink>
      <w:r>
        <w:t xml:space="preserve"> </w:t>
      </w:r>
      <w:r>
        <w:t xml:space="preserve">repeats the H1a–H1d grid of Table </w:t>
      </w:r>
      <w:hyperlink w:anchor="tab:interaction">
        <w:r>
          <w:rPr>
            <w:rStyle w:val="Hyperlink"/>
          </w:rPr>
          <w:t xml:space="preserve">4</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26</w:t>
        </w:r>
      </w:hyperlink>
      <w:r>
        <w:t xml:space="preserve">) and is stable across metrics. The raw-value specification therefore confirms, rather than threatens, the rank-based result.</w:t>
      </w:r>
    </w:p>
    <w:bookmarkStart w:id="295" w:name="tab:raw-value-correlation"/>
    <w:p>
      <w:pPr>
        <w:pStyle w:val="TableCaption"/>
        <w:keepNext/>
      </w:pPr>
      <w:r>
        <w:t xml:space="preserve">Table 26: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5"/>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4</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4</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6"/>
    <w:bookmarkStart w:id="299" w:name="app:policy-source-data"/>
    <w:p>
      <w:pPr>
        <w:pStyle w:val="Heading2"/>
        <w:keepNext/>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27</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7" w:name="tab:policy-source-family"/>
    <w:p>
      <w:pPr>
        <w:pStyle w:val="TableCaption"/>
        <w:keepNext/>
      </w:pPr>
      <w:r>
        <w:t xml:space="preserve">Table 27: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7"/>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28</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8" w:name="tab:policy-source-family-h25"/>
    <w:p>
      <w:pPr>
        <w:pStyle w:val="TableCaption"/>
        <w:keepNext/>
      </w:pPr>
      <w:r>
        <w:t xml:space="preserve">Table 28: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8"/>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p>
      <w:r>
        <w:br w:type="page"/>
      </w:r>
    </w:p>
    <w:bookmarkEnd w:id="299"/>
    <w:bookmarkEnd w:id="300"/>
    <w:bookmarkStart w:id="302" w:name="app:regression"/>
    <w:p>
      <w:pPr>
        <w:pStyle w:val="Heading1"/>
        <w:keepNext/>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29</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4</w:t>
        </w:r>
      </w:hyperlink>
      <w:r>
        <w:t xml:space="preserve">, which stay positive for SciBERT.</w:t>
      </w:r>
    </w:p>
    <w:bookmarkStart w:id="301" w:name="tab:k1-specification-grid"/>
    <w:p>
      <w:pPr>
        <w:pStyle w:val="TableCaption"/>
        <w:keepNext/>
      </w:pPr>
      <w:r>
        <w:t xml:space="preserve">Table 29: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1"/>
    <w:p>
      <w:r>
        <w:br w:type="page"/>
      </w:r>
    </w:p>
    <w:bookmarkEnd w:id="302"/>
    <w:bookmarkStart w:id="304" w:name="declaration-of-ai-use"/>
    <w:p>
      <w:pPr>
        <w:pStyle w:val="Heading1"/>
        <w:keepNext/>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3" w:name="tab:ai-declaration"/>
    <w:p>
      <w:pPr>
        <w:pStyle w:val="TableCaption"/>
        <w:keepNext/>
      </w:pPr>
      <w:r>
        <w:t xml:space="preserve">Table 30: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single" w:sz="8" w:space="0" w:color="auto"/>
          <w:insideV w:val="none" w:sz="0" w:space="0" w:color="auto"/>
        </w:tblBorders>
        <w:tblCaption w:val="Table 30: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3"/>
    <w:bookmarkEnd w:id="304"/>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6" Target="media/rId226.png" /><Relationship Type="http://schemas.openxmlformats.org/officeDocument/2006/relationships/image" Id="rId246" Target="media/rId246.png" /><Relationship Type="http://schemas.openxmlformats.org/officeDocument/2006/relationships/image" Id="rId256" Target="media/rId256.png" /><Relationship Type="http://schemas.openxmlformats.org/officeDocument/2006/relationships/image" Id="rId288" Target="media/rId288.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4" Target="media/rId234.png" /><Relationship Type="http://schemas.openxmlformats.org/officeDocument/2006/relationships/image" Id="rId65" Target="media/rId65.png" /><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1" Target="https://arxiv.org/abs/1607.06520" TargetMode="External" /><Relationship Type="http://schemas.openxmlformats.org/officeDocument/2006/relationships/hyperlink" Id="rId82" Target="https://arxiv.org/abs/1610.01644" TargetMode="External" /><Relationship Type="http://schemas.openxmlformats.org/officeDocument/2006/relationships/hyperlink" Id="rId115" Target="https://arxiv.org/abs/1805.01070" TargetMode="External" /><Relationship Type="http://schemas.openxmlformats.org/officeDocument/2006/relationships/hyperlink" Id="rId162" Target="https://arxiv.org/abs/1808.04339" TargetMode="External" /><Relationship Type="http://schemas.openxmlformats.org/officeDocument/2006/relationships/hyperlink" Id="rId154" Target="https://doi.org/10.1002/csr.2202" TargetMode="External" /><Relationship Type="http://schemas.openxmlformats.org/officeDocument/2006/relationships/hyperlink" Id="rId169" Target="https://doi.org/10.1002/sd.1582" TargetMode="External" /><Relationship Type="http://schemas.openxmlformats.org/officeDocument/2006/relationships/hyperlink" Id="rId205" Target="https://doi.org/10.1002/sd.2706" TargetMode="External" /><Relationship Type="http://schemas.openxmlformats.org/officeDocument/2006/relationships/hyperlink" Id="rId148" Target="https://doi.org/10.1007/978-0-387-84858-7" TargetMode="External" /><Relationship Type="http://schemas.openxmlformats.org/officeDocument/2006/relationships/hyperlink" Id="rId217" Target="https://doi.org/10.1007/978-3-540-71050-9" TargetMode="External" /><Relationship Type="http://schemas.openxmlformats.org/officeDocument/2006/relationships/hyperlink" Id="rId207" Target="https://doi.org/10.1007/s00146-025-02181-5" TargetMode="External" /><Relationship Type="http://schemas.openxmlformats.org/officeDocument/2006/relationships/hyperlink" Id="rId103" Target="https://doi.org/10.1007/s10851-014-0506-3" TargetMode="External" /><Relationship Type="http://schemas.openxmlformats.org/officeDocument/2006/relationships/hyperlink" Id="rId107" Target="https://doi.org/10.1007/s11192-016-2115-y" TargetMode="External" /><Relationship Type="http://schemas.openxmlformats.org/officeDocument/2006/relationships/hyperlink" Id="rId150" Target="https://doi.org/10.1007/s43681-023-00259-8" TargetMode="External" /><Relationship Type="http://schemas.openxmlformats.org/officeDocument/2006/relationships/hyperlink" Id="rId223" Target="https://doi.org/10.1016/j.array.2025.100419" TargetMode="External" /><Relationship Type="http://schemas.openxmlformats.org/officeDocument/2006/relationships/hyperlink" Id="rId173" Target="https://doi.org/10.1016/j.ecoinf.2026.103669" TargetMode="External" /><Relationship Type="http://schemas.openxmlformats.org/officeDocument/2006/relationships/hyperlink" Id="rId211" Target="https://doi.org/10.1016/j.jspi.2013.03.018" TargetMode="External" /><Relationship Type="http://schemas.openxmlformats.org/officeDocument/2006/relationships/hyperlink" Id="rId97" Target="https://doi.org/10.1017/CBO9780511621024" TargetMode="External" /><Relationship Type="http://schemas.openxmlformats.org/officeDocument/2006/relationships/hyperlink" Id="rId171" Target="https://doi.org/10.1017/CBO9780511809071" TargetMode="External" /><Relationship Type="http://schemas.openxmlformats.org/officeDocument/2006/relationships/hyperlink" Id="rId99" Target="https://doi.org/10.1017/CBO9780511814358" TargetMode="External" /><Relationship Type="http://schemas.openxmlformats.org/officeDocument/2006/relationships/hyperlink" Id="rId167" Target="https://doi.org/10.1017/CBO9781139171434.009" TargetMode="External" /><Relationship Type="http://schemas.openxmlformats.org/officeDocument/2006/relationships/hyperlink" Id="rId191" Target="https://doi.org/10.1017/S0003055422001228" TargetMode="External" /><Relationship Type="http://schemas.openxmlformats.org/officeDocument/2006/relationships/hyperlink" Id="rId144" Target="https://doi.org/10.1017/S0020818300001442" TargetMode="External" /><Relationship Type="http://schemas.openxmlformats.org/officeDocument/2006/relationships/hyperlink" Id="rId193" Target="https://doi.org/10.1023/A:1026543900054" TargetMode="External" /><Relationship Type="http://schemas.openxmlformats.org/officeDocument/2006/relationships/hyperlink" Id="rId177" Target="https://doi.org/10.1038/534320a" TargetMode="External" /><Relationship Type="http://schemas.openxmlformats.org/officeDocument/2006/relationships/hyperlink" Id="rId219" Target="https://doi.org/10.1038/s41467-019-14108-y" TargetMode="External" /><Relationship Type="http://schemas.openxmlformats.org/officeDocument/2006/relationships/hyperlink" Id="rId134" Target="https://doi.org/10.1038/s41893-025-01598-6" TargetMode="External" /><Relationship Type="http://schemas.openxmlformats.org/officeDocument/2006/relationships/hyperlink" Id="rId119" Target="https://doi.org/10.1038/s42256-021-00296-0" TargetMode="External" /><Relationship Type="http://schemas.openxmlformats.org/officeDocument/2006/relationships/hyperlink" Id="rId113" Target="https://doi.org/10.1073/pnas.1231332100" TargetMode="External" /><Relationship Type="http://schemas.openxmlformats.org/officeDocument/2006/relationships/hyperlink" Id="rId146" Target="https://doi.org/10.1080/00437956.1954.11659520" TargetMode="External" /><Relationship Type="http://schemas.openxmlformats.org/officeDocument/2006/relationships/hyperlink" Id="rId95" Target="https://doi.org/10.1080/08039410.2016.1252424" TargetMode="External" /><Relationship Type="http://schemas.openxmlformats.org/officeDocument/2006/relationships/hyperlink" Id="rId128" Target="https://doi.org/10.1080/13552074.2016.1145895" TargetMode="External" /><Relationship Type="http://schemas.openxmlformats.org/officeDocument/2006/relationships/hyperlink" Id="rId156" Target="https://doi.org/10.1093/bjps/55.1.1" TargetMode="External" /><Relationship Type="http://schemas.openxmlformats.org/officeDocument/2006/relationships/hyperlink" Id="rId105" Target="https://doi.org/10.1109/34.9108" TargetMode="External" /><Relationship Type="http://schemas.openxmlformats.org/officeDocument/2006/relationships/hyperlink" Id="rId175" Target="https://doi.org/10.1109/ACCESS.2024.3516500" TargetMode="External" /><Relationship Type="http://schemas.openxmlformats.org/officeDocument/2006/relationships/hyperlink" Id="rId132" Target="https://doi.org/10.1109/ACCESS.2025.3595894" TargetMode="External" /><Relationship Type="http://schemas.openxmlformats.org/officeDocument/2006/relationships/hyperlink" Id="rId117" Target="https://doi.org/10.1109/TIT.1967.1053964" TargetMode="External" /><Relationship Type="http://schemas.openxmlformats.org/officeDocument/2006/relationships/hyperlink" Id="rId213" Target="https://doi.org/10.1145/3630106.3659035" TargetMode="External" /><Relationship Type="http://schemas.openxmlformats.org/officeDocument/2006/relationships/hyperlink" Id="rId85" Target="https://doi.org/10.1162/qss_a_00071" TargetMode="External" /><Relationship Type="http://schemas.openxmlformats.org/officeDocument/2006/relationships/hyperlink" Id="rId164" Target="https://doi.org/10.1162/qss_a_00304" TargetMode="External" /><Relationship Type="http://schemas.openxmlformats.org/officeDocument/2006/relationships/hyperlink" Id="rId122" Target="https://doi.org/10.1162/tacl_a_00359" TargetMode="External" /><Relationship Type="http://schemas.openxmlformats.org/officeDocument/2006/relationships/hyperlink" Id="rId111" Target="https://doi.org/10.1177/000276427902200308" TargetMode="External" /><Relationship Type="http://schemas.openxmlformats.org/officeDocument/2006/relationships/hyperlink" Id="rId160" Target="https://doi.org/10.1177/00223433241275335" TargetMode="External" /><Relationship Type="http://schemas.openxmlformats.org/officeDocument/2006/relationships/hyperlink" Id="rId142" Target="https://doi.org/10.1177/016224390102600401" TargetMode="External" /><Relationship Type="http://schemas.openxmlformats.org/officeDocument/2006/relationships/hyperlink" Id="rId201" Target="https://doi.org/10.1214/13-AOS1140" TargetMode="External" /><Relationship Type="http://schemas.openxmlformats.org/officeDocument/2006/relationships/hyperlink" Id="rId152" Target="https://doi.org/10.17632/7ydfs62gd6.2" TargetMode="External" /><Relationship Type="http://schemas.openxmlformats.org/officeDocument/2006/relationships/hyperlink" Id="rId187" Target="https://doi.org/10.18653/v1/2020.acl-main.647" TargetMode="External" /><Relationship Type="http://schemas.openxmlformats.org/officeDocument/2006/relationships/hyperlink" Id="rId124" Target="https://doi.org/10.18653/v1/D19-1006" TargetMode="External" /><Relationship Type="http://schemas.openxmlformats.org/officeDocument/2006/relationships/hyperlink" Id="rId189" Target="https://doi.org/10.18653/v1/D19-1410" TargetMode="External" /><Relationship Type="http://schemas.openxmlformats.org/officeDocument/2006/relationships/hyperlink" Id="rId109" Target="https://doi.org/10.18653/v1/N19-1181" TargetMode="External" /><Relationship Type="http://schemas.openxmlformats.org/officeDocument/2006/relationships/hyperlink" Id="rId136" Target="https://doi.org/10.18653/v1/N19-2010" TargetMode="External" /><Relationship Type="http://schemas.openxmlformats.org/officeDocument/2006/relationships/hyperlink" Id="rId179" Target="https://doi.org/10.18653/v1/W17-4903" TargetMode="External" /><Relationship Type="http://schemas.openxmlformats.org/officeDocument/2006/relationships/hyperlink" Id="rId93" Target="https://doi.org/10.2307/271073" TargetMode="External" /><Relationship Type="http://schemas.openxmlformats.org/officeDocument/2006/relationships/hyperlink" Id="rId140" Target="https://doi.org/10.24948/2017.01" TargetMode="External" /><Relationship Type="http://schemas.openxmlformats.org/officeDocument/2006/relationships/hyperlink" Id="rId87" Target="https://doi.org/10.31341/jios.44.2.2" TargetMode="External" /><Relationship Type="http://schemas.openxmlformats.org/officeDocument/2006/relationships/hyperlink" Id="rId138" Target="https://doi.org/10.3389/frai.2024.1472411" TargetMode="External" /><Relationship Type="http://schemas.openxmlformats.org/officeDocument/2006/relationships/hyperlink" Id="rId89" Target="https://doi.org/10.3389/frsus.2021.620743" TargetMode="External" /><Relationship Type="http://schemas.openxmlformats.org/officeDocument/2006/relationships/hyperlink" Id="rId80" Target="https://doi.org/10.3982/ECTA12675" TargetMode="External" /><Relationship Type="http://schemas.openxmlformats.org/officeDocument/2006/relationships/hyperlink" Id="rId130" Target="https://doi.org/10.4135/9781446221853" TargetMode="External" /><Relationship Type="http://schemas.openxmlformats.org/officeDocument/2006/relationships/hyperlink" Id="rId91" Target="https://doi.org/10.48550/arXiv.1903.10676" TargetMode="External" /><Relationship Type="http://schemas.openxmlformats.org/officeDocument/2006/relationships/hyperlink" Id="rId183" Target="https://doi.org/10.48550/arXiv.2205.01833" TargetMode="External" /><Relationship Type="http://schemas.openxmlformats.org/officeDocument/2006/relationships/hyperlink" Id="rId185" Target="https://doi.org/10.48550/arXiv.2211.11252" TargetMode="External" /><Relationship Type="http://schemas.openxmlformats.org/officeDocument/2006/relationships/hyperlink" Id="rId209" Target="https://doi.org/10.48550/arXiv.2505.00174" TargetMode="External" /><Relationship Type="http://schemas.openxmlformats.org/officeDocument/2006/relationships/hyperlink" Id="rId195" Target="https://doi.org/10.51593/20230" TargetMode="External" /><Relationship Type="http://schemas.openxmlformats.org/officeDocument/2006/relationships/hyperlink" Id="rId215" Target="https://doi.org/10.5281/zenodo.3798385" TargetMode="External" /><Relationship Type="http://schemas.openxmlformats.org/officeDocument/2006/relationships/hyperlink" Id="rId221" Target="https://doi.org/10.5281/zenodo.7523032" TargetMode="External" /><Relationship Type="http://schemas.openxmlformats.org/officeDocument/2006/relationships/hyperlink" Id="rId126" Target="https://eur-lex.europa.eu/legal-content/EN/TXT/?uri=CELEX:32024R1689" TargetMode="External" /><Relationship Type="http://schemas.openxmlformats.org/officeDocument/2006/relationships/hyperlink" Id="rId197"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199" Target="https://huggingface.co/datasets/UNDP/sdgi-corpus" TargetMode="External" /><Relationship Type="http://schemas.openxmlformats.org/officeDocument/2006/relationships/hyperlink" Id="rId181" Target="https://oecd.ai/en/partner-data-methodological-note" TargetMode="External" /><Relationship Type="http://schemas.openxmlformats.org/officeDocument/2006/relationships/hyperlink" Id="rId15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2026-08-28T21:52:13Z</dcterms:created>
  <dcterms:modified xsi:type="dcterms:W3CDTF">2026-08-28T21:52:13Z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