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5.png" ContentType="image/png"/>
  <Override PartName="/word/media/rId58.png" ContentType="image/png"/>
  <Override PartName="/word/media/rId42.png" ContentType="image/png"/>
  <Override PartName="/word/media/rId92.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Don’t</w:t>
      </w:r>
      <w:r>
        <w:rPr>
          <w:bCs/>
          <w:b/>
        </w:rPr>
        <w:t xml:space="preserve"> </w:t>
      </w:r>
      <w:r>
        <w:rPr>
          <w:bCs/>
          <w:b/>
        </w:rPr>
        <w:t xml:space="preserve">Mean</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SDG-labelled, 3</w:t>
      </w:r>
      <w:r>
        <w:t xml:space="preserve">,</w:t>
      </w:r>
      <w:r>
        <w:t xml:space="preserve">105</w:t>
      </w:r>
      <w:r>
        <w:t xml:space="preserve">,</w:t>
      </w:r>
      <w:r>
        <w:t xml:space="preserve">144 research, and 40</w:t>
      </w:r>
      <w:r>
        <w:t xml:space="preserve">,</w:t>
      </w:r>
      <w:r>
        <w:t xml:space="preserve">597 policy text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which arguably contains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and register semantic centroids and gaps are recalculated using the respective values. Correlation tests between H1a) absolute coverage gap, H1b) signed coverage gap,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research-side’s high coverage of SDGs 3, 4, 11, 16 established by prior findings. Policy-side ranking (top SDGs: 13, 16, and 17) is established here for the first time. The raw coverage-semantic correlation is null (</w:t>
      </w:r>
      <m:oMath>
        <m:r>
          <m:t>ρ</m:t>
        </m:r>
        <m:r>
          <m:rPr>
            <m:sty m:val="p"/>
          </m:rPr>
          <m:t>=</m:t>
        </m:r>
        <m:r>
          <m:rPr>
            <m:sty m:val="p"/>
          </m:rPr>
          <m:t>−</m:t>
        </m:r>
        <m:r>
          <m:t>0.012</m:t>
        </m:r>
      </m:oMath>
      <w:r>
        <w:t xml:space="preserve">, p = 0.959). However, decomposition hints at a cancellation: the adjusted semantic gap is positively associated with coverage (</w:t>
      </w:r>
      <m:oMath>
        <m:r>
          <m:t>ρ</m:t>
        </m:r>
        <m:r>
          <m:rPr>
            <m:sty m:val="p"/>
          </m:rPr>
          <m:t>=</m:t>
        </m:r>
        <m:r>
          <m:t>0.544</m:t>
        </m:r>
      </m:oMath>
      <w:r>
        <w:t xml:space="preserve">, p = 0.025) while the register component is negatively associated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Those results are generally stable across encoders, classifier family, retrieval strategy, segment cap, and policy-source family.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empirically unfounded.</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its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p>
      <w:pPr>
        <w:pStyle w:val="FirstParagraph"/>
      </w:pPr>
      <w:r>
        <w:t xml:space="preserve"> </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but no operational framework specifies how</w:t>
      </w:r>
      <w:r>
        <w:t xml:space="preserve"> </w:t>
      </w:r>
      <w:r>
        <w:t xml:space="preserve">(Nilsson et al., 2016)</w:t>
      </w:r>
      <w:r>
        <w:t xml:space="preserve">, with the exception of SDG 17.</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and capacity building, excluding it from cross-goal mapping because its targets are implementation infrastructure rather than substantive domains.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doesn’t generally occupy.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criticized: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not just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policy-document uptake, but does not compare the two corpora directly on these dimensions;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research–policy dominance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operationalization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guaranteeing that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17.18%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sampled randomly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size is also adequately larger than existing SDG-classification works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 The 2018 start reflects the post-AlexNet emergence of deep learning as AI research’s dominant approach</w:t>
      </w:r>
      <w:r>
        <w:t xml:space="preserve"> </w:t>
      </w:r>
      <w:r>
        <w:t xml:space="preserve">(Krizhevsky et al.,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et al., 2019)</w:t>
      </w:r>
      <w:r>
        <w:t xml:space="preserve"> </w:t>
      </w:r>
      <w:r>
        <w:t xml:space="preserve">or field-of-study membership</w:t>
      </w:r>
      <w:r>
        <w:t xml:space="preserve"> </w:t>
      </w:r>
      <w:r>
        <w:t xml:space="preserve">(OECD, 2024; Priem et al., 2022; Wang et al., 2020)</w:t>
      </w:r>
      <w:r>
        <w:t xml:space="preserv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Those specific</w:t>
      </w:r>
      <w:r>
        <w:t xml:space="preserve"> </w:t>
      </w:r>
      <w:r>
        <w:t xml:space="preserve">‘</w:t>
      </w:r>
      <w:r>
        <w:t xml:space="preserve">learning</w:t>
      </w:r>
      <w:r>
        <w:t xml:space="preserve">’</w:t>
      </w:r>
      <w:r>
        <w:t xml:space="preserve"> </w:t>
      </w:r>
      <w:r>
        <w:t xml:space="preserve">terms likely inflate what gets counted as SDG4 (Education).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is documented transparently instead of fixed, due to time constraints.</w:t>
      </w:r>
    </w:p>
    <w:p>
      <w:pPr>
        <w:pStyle w:val="BodyText"/>
      </w:pPr>
      <w:r>
        <w:t xml:space="preserve">After deduplication and removal of records lacking usable abstracts and the 20-word minimum, the research corpus survives as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An important asymmetry follows: the research corpus is a tight intersection of AI and SDG content while the policy corpus (Section </w:t>
      </w:r>
      <w:hyperlink w:anchor="sec:policy-corpus">
        <w:r>
          <w:rPr>
            <w:rStyle w:val="Hyperlink"/>
          </w:rPr>
          <w:t xml:space="preserve">3.4</w:t>
        </w:r>
      </w:hyperlink>
      <w:r>
        <w:t xml:space="preserve">)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hyperparameter rationale, and the MLP robustness comparison are reported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considered: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MLP shows negligible performance improvement compared to the lost interpretability.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is not a flat set of documents: its 40</w:t>
      </w:r>
      <w:r>
        <w:t xml:space="preserve">,</w:t>
      </w:r>
      <w:r>
        <w:t xml:space="preserve">597 segments are grouped into 6</w:t>
      </w:r>
      <w:r>
        <w:t xml:space="preserve">,</w:t>
      </w:r>
      <w:r>
        <w:t xml:space="preserve">367 source documents of very different lengths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Concretely: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m:t>
        </m:r>
      </m:oMath>
      <w:r>
        <w:t xml:space="preserve">–</w:t>
      </w:r>
      <m:oMath>
        <m:r>
          <m:t>0.69</m:t>
        </m:r>
      </m:oMath>
      <w:r>
        <w:t xml:space="preserve">), while Gaussian-2-Wasserstein, squared MMD, Sinkhorn, C2ST, and Grassmann show weak or negative agreement (</w:t>
      </w:r>
      <m:oMath>
        <m:r>
          <m:t>ρ</m:t>
        </m:r>
        <m:r>
          <m:rPr>
            <m:sty m:val="p"/>
          </m:rPr>
          <m:t>≤</m:t>
        </m:r>
        <m:r>
          <m:t>0.26</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nothing about corpus identity remains linearly predictable. Projecting out the directions that carry the most corpus signal is the gentlest way to do this.</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tangled with SDG topic in the raw embeddings. The key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Draw</w:t>
      </w:r>
      <w:r>
        <w:t xml:space="preserve"> </w:t>
      </w:r>
      <m:oMath>
        <m:sSub>
          <m:e>
            <m:r>
              <m:t>n</m:t>
            </m:r>
          </m:e>
          <m:sub>
            <m:r>
              <m:rPr>
                <m:nor/>
                <m:sty m:val="p"/>
              </m:rPr>
              <m:t>target</m:t>
            </m:r>
          </m:sub>
        </m:sSub>
      </m:oMath>
      <w:r>
        <w:t xml:space="preserve"> </w:t>
      </w:r>
      <w:r>
        <w:t xml:space="preserve">texts per SDG per corpus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critical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substantial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twice: once on the adjusted embeddings and once on the removed component (</w:t>
      </w:r>
      <m:oMath>
        <m:r>
          <m:rPr>
            <m:sty m:val="b"/>
          </m:rPr>
          <m:t>x</m:t>
        </m:r>
        <m:r>
          <m:rPr>
            <m:sty m:val="p"/>
          </m:rPr>
          <m:t>−</m:t>
        </m:r>
        <m:r>
          <m:rPr>
            <m:sty m:val="b"/>
          </m:rPr>
          <m:t>x</m:t>
        </m:r>
        <m:r>
          <m:rPr>
            <m:sty m:val="p"/>
          </m:rPr>
          <m:t>′</m:t>
        </m:r>
      </m:oMath>
      <w:r>
        <w:t xml:space="preserve">), yielding respectively the within-SDG adjusted gap and the register component.</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research–policy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There might be criticism that</w:t>
      </w:r>
      <w:r>
        <w:t xml:space="preserve"> </w:t>
      </w:r>
      <m:oMath>
        <m:r>
          <m:t>n</m:t>
        </m:r>
        <m:r>
          <m:rPr>
            <m:sty m:val="p"/>
          </m:rPr>
          <m:t>=</m:t>
        </m:r>
        <m:r>
          <m:t>17</m:t>
        </m:r>
      </m:oMath>
      <w:r>
        <w:t xml:space="preserve"> </w:t>
      </w:r>
      <w:r>
        <w:t xml:space="preserve">is poor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so no sample-size power argument is needed</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8" w:name="sec:results"/>
    <w:p>
      <w:pPr>
        <w:pStyle w:val="Heading1"/>
      </w:pPr>
      <w:r>
        <w:t xml:space="preserve">Results</w:t>
      </w:r>
    </w:p>
    <w:p>
      <w:pPr>
        <w:pStyle w:val="FirstParagraph"/>
      </w:pPr>
      <w:r>
        <w:t xml:space="preserve">This section reports validation, coverage gaps, semantic gaps, H1 tests, and robustness without interpretation.</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SDG17 examples (Section </w:t>
      </w:r>
      <w:hyperlink w:anchor="sec:supervised-classifier">
        <w:r>
          <w:rPr>
            <w:rStyle w:val="Hyperlink"/>
          </w:rPr>
          <w:t xml:space="preserve">3.5</w:t>
        </w:r>
      </w:hyperlink>
      <w:r>
        <w:t xml:space="preserve">), performance doesn’t degrade (Table above, Appendix </w:t>
      </w:r>
      <w:hyperlink w:anchor="app:centroid-similarity">
        <w:r>
          <w:rPr>
            <w:rStyle w:val="Hyperlink"/>
          </w:rPr>
          <w:t xml:space="preserve">8.2</w:t>
        </w:r>
      </w:hyperlink>
      <w:r>
        <w:t xml:space="preserve">), which suggests the other four sources (SDGi, Aurora, Benchmark, IISD Hub) carry enough SDG17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One thing that can be concluded is that nearest-centroid assignment is too simple for the linearity of separation between SDGs in the 768d embedding space, while MLP is too unnecessarily complex without significant added benefit.</w:t>
      </w:r>
    </w:p>
    <w:bookmarkEnd w:id="49"/>
    <w:bookmarkStart w:id="54"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author thinks the top ranking SDGs make intuitive sense.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flat,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segmentation">
        <w:r>
          <w:rPr>
            <w:rStyle w:val="Hyperlink"/>
          </w:rPr>
          <w:t xml:space="preserve">3.1</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w:t>
      </w:r>
      <w:r>
        <w:rPr>
          <w:rStyle w:val="FootnoteReference"/>
        </w:rPr>
        <w:footnoteReference w:id="53"/>
      </w:r>
      <w:r>
        <w:t xml:space="preserve"> </w:t>
      </w:r>
      <w:r>
        <w:t xml:space="preserve">(10.8),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4"/>
    <w:bookmarkStart w:id="62"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(left) separates research and policy clouds, while the adjusted space (right) shows no major separation between them. It might not be clear from the rough visualisation in the PCA maps, but while the adjusted space removes mostly research-policy differences, it retains the separability between SDGs fully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random research draws comparable in size to the policy corpus: across 100 independent 50</w:t>
      </w:r>
      <w:r>
        <w:t xml:space="preserve">,</w:t>
      </w:r>
      <w:r>
        <w:t xml:space="preserve">000-paper draws it reproduces the full-corpus ordering at Spearman</w:t>
      </w:r>
      <w:r>
        <w:t xml:space="preserve"> </w:t>
      </w:r>
      <m:oMath>
        <m:r>
          <m:t>ρ</m:t>
        </m:r>
        <m:r>
          <m:rPr>
            <m:sty m:val="p"/>
          </m:rPr>
          <m:t>=</m:t>
        </m:r>
        <m:r>
          <m:t>0.986</m:t>
        </m:r>
        <m:r>
          <m:t>​</m:t>
        </m:r>
      </m:oMath>
      <w:r>
        <w:t xml:space="preserve"> </w:t>
      </w:r>
      <w:r>
        <w:t xml:space="preserve">(SD 0.009), so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9" name="Picture"/>
            <a:graphic>
              <a:graphicData uri="http://schemas.openxmlformats.org/drawingml/2006/picture">
                <pic:pic>
                  <pic:nvPicPr>
                    <pic:cNvPr descr="fig4_semantic_gap.png" id="60" name="Picture"/>
                    <pic:cNvPicPr>
                      <a:picLocks noChangeArrowheads="1" noChangeAspect="1"/>
                    </pic:cNvPicPr>
                  </pic:nvPicPr>
                  <pic:blipFill>
                    <a:blip r:embed="rId58"/>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The register decomposition confirms that register uniformly inflates the raw gap, except for SDG 17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high- and low-gap cases.</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1"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1"/>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2"/>
    <w:bookmarkStart w:id="76"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consolidated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3"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3"/>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 cancels the topic signal (</w:t>
      </w:r>
      <m:oMath>
        <m:r>
          <m:t>ρ</m:t>
        </m:r>
        <m:r>
          <m:rPr>
            <m:sty m:val="p"/>
          </m:rPr>
          <m:t>=</m:t>
        </m:r>
        <m:r>
          <m:t>0.544</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operates through the policy side: where policy heavily covers an SDG, topic divergence is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cancellation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props up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cancellation pattern holds: research share remains uncorrelated with the gap (</w:t>
      </w:r>
      <m:oMath>
        <m:r>
          <m:t>ρ</m:t>
        </m:r>
        <m:r>
          <m:rPr>
            <m:sty m:val="p"/>
          </m:rPr>
          <m:t>=</m:t>
        </m:r>
        <m:r>
          <m:rPr>
            <m:sty m:val="p"/>
          </m:rPr>
          <m:t>−</m:t>
        </m:r>
        <m:r>
          <m:t>0.06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one point per SDG; open grey markers are the raw baseline, solid blue the adjusted (canonical) gap. The raw and adjusted gaps share the same vertical scale across all four panels. Panel (a) is the H1a test (absolute coverage gap): large coverage gaps span the full range of adjusted semantic gaps, so no single SDG drives the weak H1a association. The directional panels show the asymmetry: H1b (signed dominance) and H1c (research coverage) show no consistent adjusted-direction trend, while H1d (policy coverage) rises with the adjusted gap, confirming that the coverage–framing linkage operates through the policy side.</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5" name="Picture"/>
                  <a:graphic>
                    <a:graphicData uri="http://schemas.openxmlformats.org/drawingml/2006/picture">
                      <pic:pic>
                        <pic:nvPicPr>
                          <pic:cNvPr descr="fig9_h1a_scatter.png" id="66" name="Picture"/>
                          <pic:cNvPicPr>
                            <a:picLocks noChangeArrowheads="1" noChangeAspect="1"/>
                          </pic:cNvPicPr>
                        </pic:nvPicPr>
                        <pic:blipFill>
                          <a:blip r:embed="rId64"/>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8" name="Picture"/>
                  <a:graphic>
                    <a:graphicData uri="http://schemas.openxmlformats.org/drawingml/2006/picture">
                      <pic:pic>
                        <pic:nvPicPr>
                          <pic:cNvPr descr="fig9_h1b_scatter.png" id="69" name="Picture"/>
                          <pic:cNvPicPr>
                            <a:picLocks noChangeArrowheads="1" noChangeAspect="1"/>
                          </pic:cNvPicPr>
                        </pic:nvPicPr>
                        <pic:blipFill>
                          <a:blip r:embed="rId67"/>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1" name="Picture"/>
                  <a:graphic>
                    <a:graphicData uri="http://schemas.openxmlformats.org/drawingml/2006/picture">
                      <pic:pic>
                        <pic:nvPicPr>
                          <pic:cNvPr descr="fig9_h1c_scatter.png" id="72" name="Picture"/>
                          <pic:cNvPicPr>
                            <a:picLocks noChangeArrowheads="1" noChangeAspect="1"/>
                          </pic:cNvPicPr>
                        </pic:nvPicPr>
                        <pic:blipFill>
                          <a:blip r:embed="rId70"/>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4" name="Picture"/>
                  <a:graphic>
                    <a:graphicData uri="http://schemas.openxmlformats.org/drawingml/2006/picture">
                      <pic:pic>
                        <pic:nvPicPr>
                          <pic:cNvPr descr="fig9_h1d_scatter.png" id="75" name="Picture"/>
                          <pic:cNvPicPr>
                            <a:picLocks noChangeArrowheads="1" noChangeAspect="1"/>
                          </pic:cNvPicPr>
                        </pic:nvPicPr>
                        <pic:blipFill>
                          <a:blip r:embed="rId73"/>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Solid blue = adjusted gap (canonical, after INLP register removal); open grey = raw baseline. (a) absolute coverage gap; (b) signed dominance; (c) research coverage; (d) policy coverage.</w:t>
      </w:r>
    </w:p>
    <w:bookmarkEnd w:id="76"/>
    <w:bookmarkStart w:id="77"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m:t>
        </m:r>
      </m:oMath>
      <w:r>
        <w:t xml:space="preserve">; vs. MiniLM–LR</w:t>
      </w:r>
      <w:r>
        <w:t xml:space="preserve"> </w:t>
      </w:r>
      <m:oMath>
        <m:r>
          <m:t>ρ</m:t>
        </m:r>
        <m:r>
          <m:rPr>
            <m:sty m:val="p"/>
          </m:rPr>
          <m:t>=</m:t>
        </m:r>
        <m:r>
          <m:t>0.89</m:t>
        </m:r>
      </m:oMath>
      <w:r>
        <w:t xml:space="preserve">; Table </w:t>
      </w:r>
      <w:hyperlink w:anchor="tab:encoder-sensitivity-coverage">
        <w:r>
          <w:rPr>
            <w:rStyle w:val="Hyperlink"/>
          </w:rPr>
          <w:t xml:space="preserve">24</w:t>
        </w:r>
      </w:hyperlink>
      <w:r>
        <w:t xml:space="preserve">). Semantic-gap magnitude is encoder-dependent (SciBERT: 0.04 vs. MPNet: 0.34)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cancellation replicates across all configs and policy-source families. Pooled OLS confirms the adjusted association (Appendix </w:t>
      </w:r>
      <w:hyperlink w:anchor="app:regression">
        <w:r>
          <w:rPr>
            <w:rStyle w:val="Hyperlink"/>
          </w:rPr>
          <w:t xml:space="preserve">15</w:t>
        </w:r>
      </w:hyperlink>
      <w:r>
        <w:t xml:space="preserve">).</w:t>
      </w:r>
    </w:p>
    <w:bookmarkEnd w:id="77"/>
    <w:bookmarkEnd w:id="78"/>
    <w:bookmarkStart w:id="85" w:name="sec:discussion"/>
    <w:p>
      <w:pPr>
        <w:pStyle w:val="Heading1"/>
      </w:pPr>
      <w:r>
        <w:t xml:space="preserve">Discussion</w:t>
      </w:r>
    </w:p>
    <w:p>
      <w:pPr>
        <w:pStyle w:val="FirstParagraph"/>
      </w:pPr>
      <w:r>
        <w:t xml:space="preserve">The headline result is a cancellation: the raw correlation is null because register and topic offset (</w:t>
      </w:r>
      <m:oMath>
        <m:r>
          <m:t>ρ</m:t>
        </m:r>
        <m:r>
          <m:rPr>
            <m:sty m:val="p"/>
          </m:rPr>
          <m:t>=</m:t>
        </m:r>
        <m:r>
          <m:t>0.544</m:t>
        </m:r>
      </m:oMath>
      <w:r>
        <w:t xml:space="preserve"> </w:t>
      </w:r>
      <w:r>
        <w:t xml:space="preserve">vs. </w:t>
      </w:r>
      <m:oMath>
        <m:r>
          <m:t>ρ</m:t>
        </m:r>
        <m:r>
          <m:rPr>
            <m:sty m:val="p"/>
          </m:rPr>
          <m:t>=</m:t>
        </m:r>
        <m:r>
          <m:rPr>
            <m:sty m:val="p"/>
          </m:rPr>
          <m:t>−</m:t>
        </m:r>
        <m:r>
          <m:t>0.390</m:t>
        </m:r>
      </m:oMath>
      <w:r>
        <w:t xml:space="preserve">; Table </w:t>
      </w:r>
      <w:hyperlink w:anchor="tab:interaction">
        <w:r>
          <w:rPr>
            <w:rStyle w:val="Hyperlink"/>
          </w:rPr>
          <w:t xml:space="preserve">5</w:t>
        </w:r>
      </w:hyperlink>
      <w:r>
        <w:t xml:space="preserve">).</w:t>
      </w:r>
    </w:p>
    <w:bookmarkStart w:id="79" w:name="sec:discussion-cancellation"/>
    <w:p>
      <w:pPr>
        <w:pStyle w:val="Heading2"/>
      </w:pPr>
      <w:r>
        <w:t xml:space="preserve">Semantic cancellation effect</w:t>
      </w:r>
    </w:p>
    <w:p>
      <w:pPr>
        <w:pStyle w:val="FirstParagraph"/>
      </w:pPr>
      <w:r>
        <w:t xml:space="preserve">Three potential confounds could be ruled out before the cancellation can be interpreted substantively.</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This is structurally precluded, not merely mitigated, by the stratification design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Because the classifier that learns each removed direction never sees coverage-proportional samples, coverage cannot leak into which direction gets learned or removed.</w:t>
      </w:r>
    </w:p>
    <w:p>
      <w:pPr>
        <w:pStyle w:val="BodyText"/>
      </w:pPr>
      <w:r>
        <w:rPr>
          <w:bCs/>
          <w:b/>
        </w:rPr>
        <w:t xml:space="preserve">Cross-configuration replication.</w:t>
      </w:r>
      <w:r>
        <w:t xml:space="preserve"> </w:t>
      </w:r>
      <w:r>
        <w:t xml:space="preserve">The cancellation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validates the register interpretation.</w:t>
      </w:r>
      <w:r>
        <w:t xml:space="preserve"> </w:t>
      </w:r>
      <w:r>
        <w:t xml:space="preserve">SciBERT compresses the raw gap from 0.34 to 0.04 (88% reduction) while preserving coverage (</w:t>
      </w:r>
      <m:oMath>
        <m:r>
          <m:t>ρ</m:t>
        </m:r>
        <m:r>
          <m:rPr>
            <m:sty m:val="p"/>
          </m:rPr>
          <m:t>=</m:t>
        </m:r>
        <m:r>
          <m:t>0.93</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exactly what the decomposition predicts.</w:t>
      </w:r>
    </w:p>
    <w:bookmarkEnd w:id="79"/>
    <w:bookmarkStart w:id="80"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not puzzling: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The raw null is the expected result of two distinct knowledge cultures coexisting without deep integration.</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moderate semantic gap, while SDG 17 has moderate coverage but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the framing reflects academic norms of knowledge production:</w:t>
      </w:r>
      <w:r>
        <w:t xml:space="preserve"> </w:t>
      </w:r>
      <w:r>
        <w:t xml:space="preserve">“</w:t>
      </w:r>
      <w:r>
        <w:t xml:space="preserve">problems set and solved in a context governed by the, largely academic, interests of a specific community</w:t>
      </w:r>
      <w:r>
        <w:t xml:space="preserve">”</w:t>
      </w:r>
      <w:r>
        <w:t xml:space="preserve"> </w:t>
      </w:r>
      <w:r>
        <w:t xml:space="preserve">(Gibbons et al., 1994, p.3)</w:t>
      </w:r>
      <w:r>
        <w:t xml:space="preserve">. Where policy dominates (SDGs 13, 16, 17), the framing reflects institutional norms of coordination:</w:t>
      </w:r>
      <w:r>
        <w:t xml:space="preserve"> </w:t>
      </w:r>
      <w:r>
        <w:t xml:space="preserve">“</w:t>
      </w:r>
      <w:r>
        <w:t xml:space="preserve">knowledge carried out in a context of application</w:t>
      </w:r>
      <w:r>
        <w:t xml:space="preserve">”</w:t>
      </w:r>
      <w:r>
        <w:t xml:space="preserve"> </w:t>
      </w:r>
      <w:r>
        <w:t xml:space="preserve">(Gibbons et al., 1994, p.3)</w:t>
      </w:r>
      <w:r>
        <w:t xml:space="preserve">. The coverage-semantic linkage is the empirical manifestation of two communities framing the same goals differently when attention (measured as coverage) diverges between them.</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 of 9 configurations. The linkage operates through the policy side: where policy heavily covers an SDG, framing divergence is wider,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Where policy attention is concentrated (SDGs 13, 16, 17), the institutional framing that drives salience simultaneously distances the discourse from research norms of credibility, widening the adjusted gap. The mechanism is structural, not communicative: where policy dominates an SDG, the Mode 2 framing prevails and the gap widens.</w:t>
      </w:r>
    </w:p>
    <w:bookmarkEnd w:id="80"/>
    <w:bookmarkStart w:id="81"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The implication is clear: any SDG-mapping study that uses raw embedding distances without register adjustment will overestimate semantic divergence. The raw gap is a composite of topic, register, and convention; only the adjusted gap isolates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is where framing power operates most invisibly: partnership language sounds like either community, but the coordination logic belongs exclusively to policy.</w:t>
      </w:r>
      <w:r>
        <w:t xml:space="preserve"> </w:t>
      </w:r>
      <w:r>
        <w:t xml:space="preserve">Le Blanc (2015)</w:t>
      </w:r>
      <w:r>
        <w:t xml:space="preserve"> </w:t>
      </w:r>
      <w:r>
        <w:t xml:space="preserve">and</w:t>
      </w:r>
      <w:r>
        <w:t xml:space="preserve"> </w:t>
      </w:r>
      <w:r>
        <w:t xml:space="preserve">Griggs et al. (2017)</w:t>
      </w:r>
      <w:r>
        <w:t xml:space="preserve"> </w:t>
      </w:r>
      <w:r>
        <w:t xml:space="preserve">describe SDG 17 as</w:t>
      </w:r>
      <w:r>
        <w:t xml:space="preserve"> </w:t>
      </w:r>
      <w:r>
        <w:t xml:space="preserve">“</w:t>
      </w:r>
      <w:r>
        <w:t xml:space="preserve">implementation infrastructure rather than substantive domains</w:t>
      </w:r>
      <w:r>
        <w:t xml:space="preserve">”</w:t>
      </w:r>
      <w:r>
        <w:t xml:space="preserve">; the register inversion confirms this empirically.</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1"/>
    <w:bookmarkStart w:id="82"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 tight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is evidence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This claim should be read carefully:</w:t>
      </w:r>
      <w:r>
        <w:t xml:space="preserve"> </w:t>
      </w: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implementation infrastructure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2"/>
    <w:bookmarkStart w:id="83"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to rule out a sample-size or statistical-power concern, but it does not, on its own, establish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substantially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seven negatives elsewhere),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substantial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3"/>
    <w:bookmarkStart w:id="84"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common sense, and the results confirm it: coverage and framing are separable, with only a modest, hedged correlation 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et al., 2020)</w:t>
      </w:r>
      <w:r>
        <w:t xml:space="preserve">; this paper shows coverage and framing are separable dimensions (Section </w:t>
      </w:r>
      <w:hyperlink w:anchor="sec:semantic-gap">
        <w:r>
          <w:rPr>
            <w:rStyle w:val="Hyperlink"/>
          </w:rPr>
          <w:t xml:space="preserve">4.3</w:t>
        </w:r>
      </w:hyperlink>
      <w:r>
        <w:t xml:space="preserve">).</w:t>
      </w:r>
    </w:p>
    <w:bookmarkEnd w:id="84"/>
    <w:bookmarkEnd w:id="85"/>
    <w:bookmarkStart w:id="86" w:name="sec:conclusion"/>
    <w:p>
      <w:pPr>
        <w:pStyle w:val="Heading1"/>
      </w:pPr>
      <w:r>
        <w:t xml:space="preserve">Conclusion</w:t>
      </w:r>
    </w:p>
    <w:p>
      <w:pPr>
        <w:pStyle w:val="FirstParagraph"/>
      </w:pPr>
      <w:r>
        <w:t xml:space="preserve">The Introduction asked whether shared SDG labels between academic AI research and institutional policy discourse indicate genuine alignment. Not without examining framing.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cancellation: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Mode 2 knowledge production</w:t>
      </w:r>
      <w:r>
        <w:t xml:space="preserve"> </w:t>
      </w:r>
      <w:r>
        <w:t xml:space="preserve">(Gibbons et al., 1994)</w:t>
      </w:r>
      <w:r>
        <w:t xml:space="preserve"> </w:t>
      </w:r>
      <w:r>
        <w:t xml:space="preserve">shapes the discourse in contexts of application, producing framings that are structurally further from research norms; this is the expected consequence of two distinct knowledge cultures producing different framings of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itself is diagnostic: the difficulty of building a symmetric AI-SDG policy corpus reflects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simply different knowledge cultures pursuing different mandates, requires qualitative, institutional, and deliberative methods that lie beyond the scope of embedding analysis.</w:t>
      </w:r>
    </w:p>
    <w:bookmarkEnd w:id="86"/>
    <w:bookmarkStart w:id="89"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established in Appendix </w:t>
      </w:r>
      <w:hyperlink w:anchor="app:sample-stability">
        <w:r>
          <w:rPr>
            <w:rStyle w:val="Hyperlink"/>
          </w:rPr>
          <w:t xml:space="preserve">11</w:t>
        </w:r>
      </w:hyperlink>
      <w:r>
        <w:t xml:space="preserve"> </w:t>
      </w:r>
      <w:r>
        <w:t xml:space="preserve">(coverage-profile standard deviation 0.001 and mean within-SDG semantic gap 0.342, within 0.002 of the full-corpus estimate of 0.340 at 50</w:t>
      </w:r>
      <w:r>
        <w:t xml:space="preserve">,</w:t>
      </w:r>
      <w:r>
        <w:t xml:space="preserve">000 papers)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3</w:t>
      </w:r>
      <w:r>
        <w:t xml:space="preserve">,</w:t>
      </w:r>
      <w:r>
        <w:t xml:space="preserve">105</w:t>
      </w:r>
      <w:r>
        <w:t xml:space="preserve">,</w:t>
      </w:r>
      <w:r>
        <w:t xml:space="preserve">144-segment research corpus,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0.87</m:t>
        </m:r>
      </m:oMath>
      <w:r>
        <w:t xml:space="preserve">; semantic-gap rank</w:t>
      </w:r>
      <w:r>
        <w:t xml:space="preserve"> </w:t>
      </w:r>
      <m:oMath>
        <m:r>
          <m:t>ρ</m:t>
        </m:r>
        <m:r>
          <m:rPr>
            <m:sty m:val="p"/>
          </m:rPr>
          <m:t>=</m:t>
        </m:r>
        <m:r>
          <m:t>0.81</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7"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7"/>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8"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8"/>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9"/>
    <w:bookmarkStart w:id="96" w:name="app:centroid-diagnostics"/>
    <w:p>
      <w:pPr>
        <w:pStyle w:val="Heading1"/>
      </w:pPr>
      <w:r>
        <w:t xml:space="preserve">Diagnostics for Reference Classifier</w:t>
      </w:r>
    </w:p>
    <w:bookmarkStart w:id="91"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so its third-place research share here is suspect on independent grounds. The audit does not relabel records; it tests whether the concern is empirically plausible. Table </w:t>
      </w:r>
      <w:hyperlink w:anchor="tab:sdg4-lexical-audit">
        <w:r>
          <w:rPr>
            <w:rStyle w:val="Hyperlink"/>
          </w:rPr>
          <w:t xml:space="preserve">8</w:t>
        </w:r>
      </w:hyperlink>
      <w:r>
        <w:t xml:space="preserve"> </w:t>
      </w:r>
      <w:r>
        <w:t xml:space="preserve">therefore compares the lexical composition of SDG 4-assigned research with a matched non-SDG4 sample and with SDG 9, using only two transparent keyword groups: ML-learning and education-specific vocabulary.</w:t>
      </w:r>
    </w:p>
    <w:p>
      <w:pPr>
        <w:pStyle w:val="BodyText"/>
      </w:pPr>
      <w:r>
        <w:t xml:space="preserve">The result (Table </w:t>
      </w:r>
      <w:hyperlink w:anchor="tab:sdg4-lexical-audit">
        <w:r>
          <w:rPr>
            <w:rStyle w:val="Hyperlink"/>
          </w:rPr>
          <w:t xml:space="preserve">8</w:t>
        </w:r>
      </w:hyperlink>
      <w:r>
        <w:t xml:space="preserve">) is a negative test of the false-positive hypothesis: education-specific vocabulary alone covers 44.4% of SDG 4-assigned records and overlaps ML vocabulary in a further 23.8%, while only 11.8% are ML-only. The comparison sets are inverted, with ML-only vocabulary dominating the non-SDG4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90"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90"/>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1"/>
    <w:bookmarkStart w:id="95"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3" name="Picture"/>
            <a:graphic>
              <a:graphicData uri="http://schemas.openxmlformats.org/drawingml/2006/picture">
                <pic:pic>
                  <pic:nvPicPr>
                    <pic:cNvPr descr="fig8_centroid_similarity_heatmap.png" id="94" name="Picture"/>
                    <pic:cNvPicPr>
                      <a:picLocks noChangeArrowheads="1" noChangeAspect="1"/>
                    </pic:cNvPicPr>
                  </pic:nvPicPr>
                  <pic:blipFill>
                    <a:blip r:embed="rId92"/>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clear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5"/>
    <w:bookmarkEnd w:id="96"/>
    <w:bookmarkStart w:id="98"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TF-IDF terms most distinctive of the research and policy sides for each SDG. Generic ML methodology vocabulary, such as</w:t>
      </w:r>
      <w:r>
        <w:t xml:space="preserve"> </w:t>
      </w:r>
      <w:r>
        <w:rPr>
          <w:iCs/>
          <w:i/>
        </w:rPr>
        <w:t xml:space="preserve">model</w:t>
      </w:r>
      <w:r>
        <w:t xml:space="preserve">,</w:t>
      </w:r>
      <w:r>
        <w:t xml:space="preserve"> </w:t>
      </w:r>
      <w:r>
        <w:rPr>
          <w:iCs/>
          <w:i/>
        </w:rPr>
        <w:t xml:space="preserve">learning</w:t>
      </w:r>
      <w:r>
        <w:t xml:space="preserve">, and</w:t>
      </w:r>
      <w:r>
        <w:t xml:space="preserve"> </w:t>
      </w:r>
      <w:r>
        <w:rPr>
          <w:iCs/>
          <w:i/>
        </w:rPr>
        <w:t xml:space="preserve">neural</w:t>
      </w:r>
      <w:r>
        <w:t xml:space="preserve">, is excluded because these terms reflect the search strategy rather than SDG-specific framing.</w:t>
      </w:r>
    </w:p>
    <w:p>
      <w:pPr>
        <w:pStyle w:val="BodyText"/>
      </w:pPr>
      <w:r>
        <w:t xml:space="preserve">The contrasts echo the embedding patterns. The widest-gap SDGs (3, 13, 11, 7, 1, 8, 14; raw gap</w:t>
      </w:r>
      <w:r>
        <w:t xml:space="preserve"> </w:t>
      </w:r>
      <m:oMath>
        <m:r>
          <m:rPr>
            <m:sty m:val="p"/>
          </m:rPr>
          <m:t>≥</m:t>
        </m:r>
        <m:r>
          <m:t>0.358</m:t>
        </m:r>
      </m:oMath>
      <w:r>
        <w:t xml:space="preserve">) consistently oppose technical measurement vocabulary,</w:t>
      </w:r>
      <w:r>
        <w:t xml:space="preserve"> </w:t>
      </w:r>
      <w:r>
        <w:rPr>
          <w:iCs/>
          <w:i/>
        </w:rPr>
        <w:t xml:space="preserve">detection</w:t>
      </w:r>
      <w:r>
        <w:t xml:space="preserve">,</w:t>
      </w:r>
      <w:r>
        <w:t xml:space="preserve"> </w:t>
      </w:r>
      <w:r>
        <w:rPr>
          <w:iCs/>
          <w:i/>
        </w:rPr>
        <w:t xml:space="preserve">images</w:t>
      </w:r>
      <w:r>
        <w:t xml:space="preserve">,</w:t>
      </w:r>
      <w:r>
        <w:t xml:space="preserve"> </w:t>
      </w:r>
      <w:r>
        <w:rPr>
          <w:iCs/>
          <w:i/>
        </w:rPr>
        <w:t xml:space="preserve">yield</w:t>
      </w:r>
      <w:r>
        <w:t xml:space="preserve">,</w:t>
      </w:r>
      <w:r>
        <w:t xml:space="preserve"> </w:t>
      </w:r>
      <w:r>
        <w:rPr>
          <w:iCs/>
          <w:i/>
        </w:rPr>
        <w:t xml:space="preserve">regression</w:t>
      </w:r>
      <w:r>
        <w:t xml:space="preserve">, against institutional or welfare terms,</w:t>
      </w:r>
      <w:r>
        <w:t xml:space="preserve"> </w:t>
      </w:r>
      <w:r>
        <w:rPr>
          <w:iCs/>
          <w:i/>
        </w:rPr>
        <w:t xml:space="preserve">climate</w:t>
      </w:r>
      <w:r>
        <w:t xml:space="preserve">,</w:t>
      </w:r>
      <w:r>
        <w:t xml:space="preserve"> </w:t>
      </w:r>
      <w:r>
        <w:rPr>
          <w:iCs/>
          <w:i/>
        </w:rPr>
        <w:t xml:space="preserve">emissions</w:t>
      </w:r>
      <w:r>
        <w:t xml:space="preserve">,</w:t>
      </w:r>
      <w:r>
        <w:t xml:space="preserve"> </w:t>
      </w:r>
      <w:r>
        <w:rPr>
          <w:iCs/>
          <w:i/>
        </w:rPr>
        <w:t xml:space="preserve">health</w:t>
      </w:r>
      <w:r>
        <w:t xml:space="preserve">,</w:t>
      </w:r>
      <w:r>
        <w:t xml:space="preserve"> </w:t>
      </w:r>
      <w:r>
        <w:rPr>
          <w:iCs/>
          <w:i/>
        </w:rPr>
        <w:t xml:space="preserve">employment</w:t>
      </w:r>
      <w:r>
        <w:t xml:space="preserve">. SDG 13 clarifies the pattern most sharply: research terms centre on crop monitoring and soil science while policy terms address national emissions commitments. Lower-gap SDGs (17, 15, 4, 10, 5, 6, 2; raw gap</w:t>
      </w:r>
      <w:r>
        <w:t xml:space="preserve"> </w:t>
      </w:r>
      <m:oMath>
        <m:r>
          <m:rPr>
            <m:sty m:val="p"/>
          </m:rPr>
          <m:t>≤</m:t>
        </m:r>
        <m:r>
          <m:t>0.299</m:t>
        </m:r>
      </m:oMath>
      <w:r>
        <w:t xml:space="preserve">) show narrower lexical divergence, such as the shared technology-infrastructure frame of SDG 9 or the social-media-partnership overlap of SDG 17. A further observation cuts across both groups: agricultural-AI vocabulary (</w:t>
      </w:r>
      <w:r>
        <w:rPr>
          <w:iCs/>
          <w:i/>
        </w:rPr>
        <w:t xml:space="preserve">crop</w:t>
      </w:r>
      <w:r>
        <w:t xml:space="preserve">,</w:t>
      </w:r>
      <w:r>
        <w:t xml:space="preserve"> </w:t>
      </w:r>
      <w:r>
        <w:rPr>
          <w:iCs/>
          <w:i/>
        </w:rPr>
        <w:t xml:space="preserve">soil</w:t>
      </w:r>
      <w:r>
        <w:t xml:space="preserve">,</w:t>
      </w:r>
      <w:r>
        <w:t xml:space="preserve"> </w:t>
      </w:r>
      <w:r>
        <w:rPr>
          <w:iCs/>
          <w:i/>
        </w:rPr>
        <w:t xml:space="preserve">agricultural</w:t>
      </w:r>
      <w:r>
        <w:t xml:space="preserve">) appears on the research side of nine unrelated SDGs, reflecting a strong agri-tech skew in the AI-for-SDG literature rather than alignment with each goal’s policy domain.</w:t>
      </w:r>
    </w:p>
    <w:bookmarkStart w:id="97"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7"/>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8"/>
    <w:bookmarkStart w:id="102"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9"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9"/>
    <w:bookmarkStart w:id="100"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100"/>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with one exception: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Excluding SDG 4 leaves every conclusion unchanged (full</w:t>
      </w:r>
      <w:r>
        <w:t xml:space="preserve"> </w:t>
      </w:r>
      <m:oMath>
        <m:r>
          <m:t>n</m:t>
        </m:r>
        <m:r>
          <m:rPr>
            <m:sty m:val="p"/>
          </m:rPr>
          <m:t>=</m:t>
        </m:r>
        <m:r>
          <m:t>16</m:t>
        </m:r>
      </m:oMath>
      <w:r>
        <w:t xml:space="preserve"> </w:t>
      </w:r>
      <w:r>
        <w:t xml:space="preserve">grid in the analysis JSON).</w:t>
      </w:r>
    </w:p>
    <w:bookmarkStart w:id="101"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1"/>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2"/>
    <w:bookmarkStart w:id="106"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mean within-SDG semantic gap was recalculated, and the policy-text calibration-bias summary was re-estimated. Policy-side quantities were held fixed.</w:t>
      </w:r>
    </w:p>
    <w:bookmarkStart w:id="103"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980"/>
        <w:gridCol w:w="1980"/>
        <w:gridCol w:w="1980"/>
        <w:gridCol w:w="1980"/>
      </w:tblGrid>
      <w:tr>
        <w:tc>
          <w:tcPr/>
          <w:p>
            <w:pPr>
              <w:pStyle w:val="Compact"/>
              <w:jc w:val="left"/>
            </w:pPr>
            <w:r>
              <w:t xml:space="preserve">Sample Size</w:t>
            </w:r>
          </w:p>
        </w:tc>
        <w:tc>
          <w:tcPr/>
          <w:p>
            <w:pPr>
              <w:pStyle w:val="Compact"/>
            </w:pPr>
          </w:p>
        </w:tc>
        <w:tc>
          <w:tcPr/>
          <w:p>
            <w:pPr>
              <w:pStyle w:val="Compact"/>
            </w:pPr>
          </w:p>
        </w:tc>
        <w:tc>
          <w:tcPr/>
          <w:p>
            <w:pPr>
              <w:pStyle w:val="Compact"/>
            </w:pPr>
          </w:p>
        </w:tc>
      </w:tr>
      <w:tr>
        <w:tc>
          <w:tcPr/>
          <w:p>
            <w:pPr>
              <w:pStyle w:val="Compact"/>
              <w:jc w:val="left"/>
            </w:pPr>
            <w:r>
              <w:t xml:space="preserve">coverage shares</w:t>
            </w:r>
          </w:p>
        </w:tc>
        <w:tc>
          <w:tcPr/>
          <w:p>
            <w:pPr>
              <w:pStyle w:val="Compact"/>
            </w:pPr>
          </w:p>
        </w:tc>
        <w:tc>
          <w:tcPr/>
          <w:p>
            <w:pPr>
              <w:pStyle w:val="Compact"/>
            </w:pPr>
          </w:p>
        </w:tc>
        <w:tc>
          <w:tcPr/>
          <w:p>
            <w:pPr>
              <w:pStyle w:val="Compact"/>
            </w:pPr>
          </w:p>
        </w:tc>
      </w:tr>
      <w:tr>
        <w:tc>
          <w:tcPr/>
          <w:p>
            <w:pPr>
              <w:pStyle w:val="Compact"/>
              <w:jc w:val="left"/>
            </w:pPr>
            <w:r>
              <w:t xml:space="preserve">semantic gap</w:t>
            </w:r>
          </w:p>
        </w:tc>
        <w:tc>
          <w:tcPr/>
          <w:p>
            <w:pPr>
              <w:pStyle w:val="Compact"/>
            </w:pPr>
          </w:p>
        </w:tc>
        <w:tc>
          <w:tcPr/>
          <w:p>
            <w:pPr>
              <w:pStyle w:val="Compact"/>
            </w:pPr>
          </w:p>
        </w:tc>
        <w:tc>
          <w:tcPr/>
          <w:p>
            <w:pPr>
              <w:pStyle w:val="Compact"/>
            </w:pPr>
          </w:p>
        </w:tc>
      </w:tr>
      <w:tr>
        <w:tc>
          <w:tcPr/>
          <w:p>
            <w:pPr>
              <w:pStyle w:val="Compact"/>
              <w:jc w:val="left"/>
            </w:pPr>
            <w:r>
              <w:t xml:space="preserve">calibration bias</w:t>
            </w: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0.006</m:t>
              </m:r>
            </m:oMath>
          </w:p>
        </w:tc>
        <w:tc>
          <w:tcPr/>
          <w:p>
            <w:pPr>
              <w:pStyle w:val="Compact"/>
              <w:jc w:val="center"/>
            </w:pPr>
            <m:oMath>
              <m:r>
                <m:t>0.417</m:t>
              </m:r>
              <m:r>
                <m:rPr>
                  <m:sty m:val="p"/>
                </m:rPr>
                <m:t>±</m:t>
              </m:r>
              <m:r>
                <m:t>0.020</m:t>
              </m:r>
            </m:oMath>
          </w:p>
        </w:tc>
        <w:tc>
          <w:tcPr/>
          <w:p>
            <w:pPr>
              <w:pStyle w:val="Compact"/>
              <w:jc w:val="center"/>
            </w:pPr>
            <m:oMath>
              <m:r>
                <m:t>0.122</m:t>
              </m:r>
              <m:r>
                <m:rPr>
                  <m:sty m:val="p"/>
                </m:rPr>
                <m:t>±</m:t>
              </m:r>
              <m:r>
                <m:t>0.008</m:t>
              </m:r>
            </m:oMath>
          </w:p>
        </w:tc>
      </w:tr>
      <w:tr>
        <w:tc>
          <w:tcPr/>
          <w:p>
            <w:pPr>
              <w:pStyle w:val="Compact"/>
              <w:jc w:val="left"/>
            </w:pPr>
            <w:r>
              <w:t xml:space="preserve">2,000</w:t>
            </w:r>
          </w:p>
        </w:tc>
        <w:tc>
          <w:tcPr/>
          <w:p>
            <w:pPr>
              <w:pStyle w:val="Compact"/>
              <w:jc w:val="center"/>
            </w:pPr>
            <m:oMath>
              <m:r>
                <m:t>0.004</m:t>
              </m:r>
            </m:oMath>
          </w:p>
        </w:tc>
        <w:tc>
          <w:tcPr/>
          <w:p>
            <w:pPr>
              <w:pStyle w:val="Compact"/>
              <w:jc w:val="center"/>
            </w:pPr>
            <m:oMath>
              <m:r>
                <m:t>0.384</m:t>
              </m:r>
              <m:r>
                <m:rPr>
                  <m:sty m:val="p"/>
                </m:rPr>
                <m:t>±</m:t>
              </m:r>
              <m:r>
                <m:t>0.015</m:t>
              </m:r>
            </m:oMath>
          </w:p>
        </w:tc>
        <w:tc>
          <w:tcPr/>
          <w:p>
            <w:pPr>
              <w:pStyle w:val="Compact"/>
              <w:jc w:val="center"/>
            </w:pPr>
            <m:oMath>
              <m:r>
                <m:t>0.122</m:t>
              </m:r>
              <m:r>
                <m:rPr>
                  <m:sty m:val="p"/>
                </m:rPr>
                <m:t>±</m:t>
              </m:r>
              <m:r>
                <m:t>0.006</m:t>
              </m:r>
            </m:oMath>
          </w:p>
        </w:tc>
      </w:tr>
      <w:tr>
        <w:tc>
          <w:tcPr/>
          <w:p>
            <w:pPr>
              <w:pStyle w:val="Compact"/>
              <w:jc w:val="left"/>
            </w:pPr>
            <w:r>
              <w:t xml:space="preserve">5,000</w:t>
            </w:r>
          </w:p>
        </w:tc>
        <w:tc>
          <w:tcPr/>
          <w:p>
            <w:pPr>
              <w:pStyle w:val="Compact"/>
              <w:jc w:val="center"/>
            </w:pPr>
            <m:oMath>
              <m:r>
                <m:t>0.003</m:t>
              </m:r>
            </m:oMath>
          </w:p>
        </w:tc>
        <w:tc>
          <w:tcPr/>
          <w:p>
            <w:pPr>
              <w:pStyle w:val="Compact"/>
              <w:jc w:val="center"/>
            </w:pPr>
            <m:oMath>
              <m:r>
                <m:t>0.358</m:t>
              </m:r>
              <m:r>
                <m:rPr>
                  <m:sty m:val="p"/>
                </m:rPr>
                <m:t>±</m:t>
              </m:r>
              <m:r>
                <m:t>0.009</m:t>
              </m:r>
            </m:oMath>
          </w:p>
        </w:tc>
        <w:tc>
          <w:tcPr/>
          <w:p>
            <w:pPr>
              <w:pStyle w:val="Compact"/>
              <w:jc w:val="center"/>
            </w:pPr>
            <m:oMath>
              <m:r>
                <m:t>0.122</m:t>
              </m:r>
              <m:r>
                <m:rPr>
                  <m:sty m:val="p"/>
                </m:rPr>
                <m:t>±</m:t>
              </m:r>
              <m:r>
                <m:t>0.004</m:t>
              </m:r>
            </m:oMath>
          </w:p>
        </w:tc>
      </w:tr>
      <w:tr>
        <w:tc>
          <w:tcPr/>
          <w:p>
            <w:pPr>
              <w:pStyle w:val="Compact"/>
              <w:jc w:val="left"/>
            </w:pPr>
            <w:r>
              <w:t xml:space="preserve">10,000</w:t>
            </w:r>
          </w:p>
        </w:tc>
        <w:tc>
          <w:tcPr/>
          <w:p>
            <w:pPr>
              <w:pStyle w:val="Compact"/>
              <w:jc w:val="center"/>
            </w:pPr>
            <m:oMath>
              <m:r>
                <m:t>0.002</m:t>
              </m:r>
            </m:oMath>
          </w:p>
        </w:tc>
        <w:tc>
          <w:tcPr/>
          <w:p>
            <w:pPr>
              <w:pStyle w:val="Compact"/>
              <w:jc w:val="center"/>
            </w:pPr>
            <m:oMath>
              <m:r>
                <m:t>0.350</m:t>
              </m:r>
              <m:r>
                <m:rPr>
                  <m:sty m:val="p"/>
                </m:rPr>
                <m:t>±</m:t>
              </m:r>
              <m:r>
                <m:t>0.006</m:t>
              </m:r>
            </m:oMath>
          </w:p>
        </w:tc>
        <w:tc>
          <w:tcPr/>
          <w:p>
            <w:pPr>
              <w:pStyle w:val="Compact"/>
              <w:jc w:val="center"/>
            </w:pPr>
            <m:oMath>
              <m:r>
                <m:t>0.122</m:t>
              </m:r>
              <m:r>
                <m:rPr>
                  <m:sty m:val="p"/>
                </m:rPr>
                <m:t>±</m:t>
              </m:r>
              <m:r>
                <m:t>0.002</m:t>
              </m:r>
            </m:oMath>
          </w:p>
        </w:tc>
      </w:tr>
      <w:tr>
        <w:tc>
          <w:tcPr/>
          <w:p>
            <w:pPr>
              <w:pStyle w:val="Compact"/>
              <w:jc w:val="left"/>
            </w:pPr>
            <w:r>
              <w:t xml:space="preserve">20,000</w:t>
            </w:r>
          </w:p>
        </w:tc>
        <w:tc>
          <w:tcPr/>
          <w:p>
            <w:pPr>
              <w:pStyle w:val="Compact"/>
              <w:jc w:val="center"/>
            </w:pPr>
            <m:oMath>
              <m:r>
                <m:t>0.001</m:t>
              </m:r>
            </m:oMath>
          </w:p>
        </w:tc>
        <w:tc>
          <w:tcPr/>
          <w:p>
            <w:pPr>
              <w:pStyle w:val="Compact"/>
              <w:jc w:val="center"/>
            </w:pPr>
            <m:oMath>
              <m:r>
                <m:t>0.344</m:t>
              </m:r>
              <m:r>
                <m:rPr>
                  <m:sty m:val="p"/>
                </m:rPr>
                <m:t>±</m:t>
              </m:r>
              <m:r>
                <m:t>0.005</m:t>
              </m:r>
            </m:oMath>
          </w:p>
        </w:tc>
        <w:tc>
          <w:tcPr/>
          <w:p>
            <w:pPr>
              <w:pStyle w:val="Compact"/>
              <w:jc w:val="center"/>
            </w:pPr>
            <m:oMath>
              <m:r>
                <m:t>0.122</m:t>
              </m:r>
              <m:r>
                <m:rPr>
                  <m:sty m:val="p"/>
                </m:rPr>
                <m:t>±</m:t>
              </m:r>
              <m:r>
                <m:t>0.002</m:t>
              </m:r>
            </m:oMath>
          </w:p>
        </w:tc>
      </w:tr>
      <w:tr>
        <w:tc>
          <w:tcPr/>
          <w:p>
            <w:pPr>
              <w:pStyle w:val="Compact"/>
              <w:jc w:val="left"/>
            </w:pPr>
            <w:r>
              <w:t xml:space="preserve">50,000</w:t>
            </w:r>
          </w:p>
        </w:tc>
        <w:tc>
          <w:tcPr/>
          <w:p>
            <w:pPr>
              <w:pStyle w:val="Compact"/>
              <w:jc w:val="center"/>
            </w:pPr>
            <m:oMath>
              <m:r>
                <m:t>0.001</m:t>
              </m:r>
            </m:oMath>
          </w:p>
        </w:tc>
        <w:tc>
          <w:tcPr/>
          <w:p>
            <w:pPr>
              <w:pStyle w:val="Compact"/>
              <w:jc w:val="center"/>
            </w:pPr>
            <m:oMath>
              <m:r>
                <m:t>0.342</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100,000</w:t>
            </w:r>
          </w:p>
        </w:tc>
        <w:tc>
          <w:tcPr/>
          <w:p>
            <w:pPr>
              <w:pStyle w:val="Compact"/>
              <w:jc w:val="center"/>
            </w:pPr>
            <m:oMath>
              <m:r>
                <m:t>0.001</m:t>
              </m:r>
            </m:oMath>
          </w:p>
        </w:tc>
        <w:tc>
          <w:tcPr/>
          <w:p>
            <w:pPr>
              <w:pStyle w:val="Compact"/>
              <w:jc w:val="center"/>
            </w:pPr>
            <m:oMath>
              <m:r>
                <m:t>0.341</m:t>
              </m:r>
              <m:r>
                <m:rPr>
                  <m:sty m:val="p"/>
                </m:rPr>
                <m:t>±</m:t>
              </m:r>
              <m:r>
                <m:t>0.003</m:t>
              </m:r>
            </m:oMath>
          </w:p>
        </w:tc>
        <w:tc>
          <w:tcPr/>
          <w:p>
            <w:pPr>
              <w:pStyle w:val="Compact"/>
              <w:jc w:val="center"/>
            </w:pPr>
            <m:oMath>
              <m:r>
                <m:t>0.122</m:t>
              </m:r>
              <m:r>
                <m:rPr>
                  <m:sty m:val="p"/>
                </m:rPr>
                <m:t>±</m:t>
              </m:r>
              <m:r>
                <m:t>0.001</m:t>
              </m:r>
            </m:oMath>
          </w:p>
        </w:tc>
      </w:tr>
      <w:tr>
        <w:tc>
          <w:tcPr/>
          <w:p>
            <w:pPr>
              <w:pStyle w:val="Compact"/>
              <w:jc w:val="left"/>
            </w:pPr>
            <w:r>
              <w:t xml:space="preserve">200,000</w:t>
            </w:r>
          </w:p>
        </w:tc>
        <w:tc>
          <w:tcPr/>
          <w:p>
            <w:pPr>
              <w:pStyle w:val="Compact"/>
              <w:jc w:val="center"/>
            </w:pPr>
            <m:oMath>
              <m:r>
                <m:t>0.000</m:t>
              </m:r>
            </m:oMath>
          </w:p>
        </w:tc>
        <w:tc>
          <w:tcPr/>
          <w:p>
            <w:pPr>
              <w:pStyle w:val="Compact"/>
              <w:jc w:val="center"/>
            </w:pPr>
            <m:oMath>
              <m:r>
                <m:t>0.340</m:t>
              </m:r>
              <m:r>
                <m:rPr>
                  <m:sty m:val="p"/>
                </m:rPr>
                <m:t>±</m:t>
              </m:r>
              <m:r>
                <m:t>0.002</m:t>
              </m:r>
            </m:oMath>
          </w:p>
        </w:tc>
        <w:tc>
          <w:tcPr/>
          <w:p>
            <w:pPr>
              <w:pStyle w:val="Compact"/>
              <w:jc w:val="center"/>
            </w:pPr>
            <m:oMath>
              <m:r>
                <m:t>0.122</m:t>
              </m:r>
              <m:r>
                <m:rPr>
                  <m:sty m:val="p"/>
                </m:rPr>
                <m:t>±</m:t>
              </m:r>
              <m:r>
                <m:t>0.001</m:t>
              </m:r>
            </m:oMath>
          </w:p>
        </w:tc>
      </w:tr>
      <w:tr>
        <w:tc>
          <w:tcPr/>
          <w:p>
            <w:pPr>
              <w:pStyle w:val="Compact"/>
              <w:jc w:val="left"/>
            </w:pPr>
            <w:r>
              <w:t xml:space="preserve">500,000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1,000,000</w:t>
            </w:r>
          </w:p>
        </w:tc>
        <w:tc>
          <w:tcPr/>
          <w:p>
            <w:pPr>
              <w:pStyle w:val="Compact"/>
              <w:jc w:val="center"/>
            </w:pPr>
            <m:oMath>
              <m:r>
                <m:t>0.000</m:t>
              </m:r>
            </m:oMath>
          </w:p>
        </w:tc>
        <w:tc>
          <w:tcPr/>
          <w:p>
            <w:pPr>
              <w:pStyle w:val="Compact"/>
              <w:jc w:val="center"/>
            </w:pPr>
            <m:oMath>
              <m:r>
                <m:t>0.340</m:t>
              </m:r>
              <m:r>
                <m:rPr>
                  <m:sty m:val="p"/>
                </m:rPr>
                <m:t>±</m:t>
              </m:r>
              <m:r>
                <m:t>0.001</m:t>
              </m:r>
            </m:oMath>
          </w:p>
        </w:tc>
        <w:tc>
          <w:tcPr/>
          <w:p>
            <w:pPr>
              <w:pStyle w:val="Compact"/>
              <w:jc w:val="center"/>
            </w:pPr>
            <m:oMath>
              <m:r>
                <m:t>0.122</m:t>
              </m:r>
              <m:r>
                <m:rPr>
                  <m:sty m:val="p"/>
                </m:rPr>
                <m:t>±</m:t>
              </m:r>
              <m:r>
                <m:t>0.000</m:t>
              </m:r>
            </m:oMath>
          </w:p>
        </w:tc>
      </w:tr>
      <w:tr>
        <w:tc>
          <w:tcPr/>
          <w:p>
            <w:pPr>
              <w:pStyle w:val="Compact"/>
              <w:jc w:val="left"/>
            </w:pPr>
            <w:r>
              <w:t xml:space="preserve">2,000,000</w:t>
            </w:r>
          </w:p>
        </w:tc>
        <w:tc>
          <w:tcPr/>
          <w:p>
            <w:pPr>
              <w:pStyle w:val="Compact"/>
              <w:jc w:val="center"/>
            </w:pPr>
            <m:oMath>
              <m:r>
                <m:t>0.000</m:t>
              </m:r>
            </m:oMath>
          </w:p>
        </w:tc>
        <w:tc>
          <w:tcPr/>
          <w:p>
            <w:pPr>
              <w:pStyle w:val="Compact"/>
              <w:jc w:val="center"/>
            </w:pPr>
            <m:oMath>
              <m:r>
                <m:t>0.340</m:t>
              </m:r>
              <m:r>
                <m:rPr>
                  <m:sty m:val="p"/>
                </m:rPr>
                <m:t>±</m:t>
              </m:r>
              <m:r>
                <m:t>0.000</m:t>
              </m:r>
            </m:oMath>
          </w:p>
        </w:tc>
        <w:tc>
          <w:tcPr/>
          <w:p>
            <w:pPr>
              <w:pStyle w:val="Compact"/>
              <w:jc w:val="center"/>
            </w:pPr>
            <m:oMath>
              <m:r>
                <m:t>0.122</m:t>
              </m:r>
              <m:r>
                <m:rPr>
                  <m:sty m:val="p"/>
                </m:rPr>
                <m:t>±</m:t>
              </m:r>
              <m:r>
                <m:t>0.000</m:t>
              </m:r>
            </m:oMath>
          </w:p>
        </w:tc>
      </w:tr>
      <w:tr>
        <w:tc>
          <w:tcPr/>
          <w:p>
            <w:pPr>
              <w:pStyle w:val="Compact"/>
              <w:jc w:val="left"/>
            </w:pPr>
            <w:r>
              <w:t xml:space="preserve">Full corpus</w:t>
            </w:r>
          </w:p>
        </w:tc>
        <w:tc>
          <w:tcPr/>
          <w:p>
            <w:pPr>
              <w:pStyle w:val="Compact"/>
              <w:jc w:val="center"/>
            </w:pPr>
            <w:r>
              <w:t xml:space="preserve">–</w:t>
            </w:r>
          </w:p>
        </w:tc>
        <w:tc>
          <w:tcPr/>
          <w:p>
            <w:pPr>
              <w:pStyle w:val="Compact"/>
              <w:jc w:val="center"/>
            </w:pPr>
            <m:oMath>
              <m:r>
                <m:t>0.340</m:t>
              </m:r>
            </m:oMath>
          </w:p>
        </w:tc>
        <w:tc>
          <w:tcPr/>
          <w:p>
            <w:pPr>
              <w:pStyle w:val="Compact"/>
              <w:jc w:val="center"/>
            </w:pPr>
            <m:oMath>
              <m:r>
                <m:t>0.122</m:t>
              </m:r>
            </m:oMath>
          </w:p>
        </w:tc>
      </w:tr>
    </w:tbl>
    <w:bookmarkEnd w:id="103"/>
    <w:p>
      <w:pPr>
        <w:pStyle w:val="BodyText"/>
      </w:pPr>
      <w:r>
        <w:rPr>
          <w:iCs/>
          <w:i/>
        </w:rPr>
        <w:t xml:space="preserve">Notes:</w:t>
      </w:r>
      <w:r>
        <w:t xml:space="preserve"> </w:t>
      </w:r>
      <w:r>
        <w:t xml:space="preserve">Mean SD of SDG coverage shares is the unweighted mean of the per-SDG standard deviations in research coverage share across the 100 random draws at each sampled tier. The remaining columns report the mean and draw-to-draw standard deviation of the headline downstream metrics. The full-corpus row is deterministic and therefore has no variance term.</w:t>
      </w:r>
    </w:p>
    <w:p>
      <w:pPr>
        <w:pStyle w:val="BodyText"/>
      </w:pPr>
      <w:r>
        <w:rPr>
          <w:iCs/>
          <w:i/>
        </w:rPr>
        <w:t xml:space="preserve">Plain-language guide.</w:t>
      </w:r>
      <w:r>
        <w:rPr>
          <w:rStyle w:val="FootnoteReference"/>
        </w:rPr>
        <w:footnoteReference w:id="104"/>
      </w:r>
      <w:r>
        <w:t xml:space="preserve"> </w:t>
      </w:r>
      <w:r>
        <w:t xml:space="preserve">The stability ladder shows that the clearest practical plateau appears by roughly 200</w:t>
      </w:r>
      <w:r>
        <w:t xml:space="preserve">,</w:t>
      </w:r>
      <w:r>
        <w:t xml:space="preserve">000 papers, where the mean semantic gap (</w:t>
      </w:r>
      <m:oMath>
        <m:r>
          <m:rPr>
            <m:sty m:val="p"/>
          </m:rPr>
          <m:t>∼</m:t>
        </m:r>
      </m:oMath>
      <w:r>
        <w:t xml:space="preserve">0.340) and policy-text calibration bias (</w:t>
      </w:r>
      <m:oMath>
        <m:r>
          <m:rPr>
            <m:sty m:val="p"/>
          </m:rPr>
          <m:t>∼</m:t>
        </m:r>
      </m:oMath>
      <w:r>
        <w:t xml:space="preserve">0.122) already stabilise to within 0.001 of their full-corpus values.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5" w:name="app:balanced-subset-stability"/>
      <w:bookmarkEnd w:id="105"/>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6"/>
    <w:bookmarkStart w:id="108" w:name="app:model-selection"/>
    <w:p>
      <w:pPr>
        <w:pStyle w:val="Heading1"/>
      </w:pPr>
      <w:r>
        <w:t xml:space="preserve">Model Selection: Grid Search Protocol and Rationale</w:t>
      </w:r>
    </w:p>
    <w:p>
      <w:pPr>
        <w:pStyle w:val="FirstParagraph"/>
      </w:pPr>
      <w:r>
        <w:t xml:space="preserve">Three model families were considered under 5-fold GroupKFold cross-validation (document-level grouping, not random splits) on the pooled training data (n=52</w:t>
      </w:r>
      <w:r>
        <w:t xml:space="preserve">,</w:t>
      </w:r>
      <w:r>
        <w:t xml:space="preserve">835); the held-out test set (n=9</w:t>
      </w:r>
      <w:r>
        <w:t xml:space="preserve">,</w:t>
      </w:r>
      <w:r>
        <w:t xml:space="preserve">338) was never touched during any grid search. Logistic regression, which exposes interpretable per-dimension coefficients, and a multi-layer perceptron (MLP) were compared;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 C</w:t>
      </w:r>
      <w:r>
        <w:t xml:space="preserve"> </w:t>
      </w:r>
      <m:oMath>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 class_weight</w:t>
      </w:r>
      <w:r>
        <w:t xml:space="preserve"> </w:t>
      </w:r>
      <m:oMath>
        <m:r>
          <m:rPr>
            <m:sty m:val="p"/>
          </m:rPr>
          <m:t>∈</m:t>
        </m:r>
        <m:r>
          <m:rPr>
            <m:sty m:val="p"/>
          </m:rPr>
          <m:t>{</m:t>
        </m:r>
        <m:r>
          <m:rPr>
            <m:nor/>
            <m:sty m:val="p"/>
          </m:rPr>
          <m:t>None</m:t>
        </m:r>
        <m:r>
          <m:rPr>
            <m:sty m:val="p"/>
          </m:rPr>
          <m:t>,</m:t>
        </m:r>
        <m:r>
          <m:rPr>
            <m:nor/>
            <m:sty m:val="p"/>
          </m:rPr>
          <m:t>balanced</m:t>
        </m:r>
        <m:r>
          <m:rPr>
            <m:sty m:val="p"/>
          </m:rPr>
          <m:t>}</m:t>
        </m:r>
      </m:oMath>
      <w:r>
        <w:t xml:space="preserve">; the MLP grid swept n_layers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m:oMath>
        <m:r>
          <m:rPr>
            <m:sty m:val="p"/>
          </m:rPr>
          <m:t>×</m:t>
        </m:r>
      </m:oMath>
      <w:r>
        <w:t xml:space="preserve"> </w:t>
      </w:r>
      <w:r>
        <w:t xml:space="preserve">hidden_size</w:t>
      </w:r>
      <w:r>
        <w:t xml:space="preserve"> </w:t>
      </w:r>
      <m:oMath>
        <m:r>
          <m:rPr>
            <m:sty m:val="p"/>
          </m:rPr>
          <m:t>∈</m:t>
        </m:r>
        <m:r>
          <m:rPr>
            <m:sty m:val="p"/>
          </m:rPr>
          <m:t>{</m:t>
        </m:r>
        <m:r>
          <m:t>256</m:t>
        </m:r>
        <m:r>
          <m:rPr>
            <m:sty m:val="p"/>
          </m:rPr>
          <m:t>,</m:t>
        </m:r>
        <m:r>
          <m:t>384</m:t>
        </m:r>
        <m:r>
          <m:rPr>
            <m:sty m:val="p"/>
          </m:rPr>
          <m:t>}</m:t>
        </m:r>
      </m:oMath>
      <w:r>
        <w:t xml:space="preserve"> </w:t>
      </w:r>
      <m:oMath>
        <m:r>
          <m:rPr>
            <m:sty m:val="p"/>
          </m:rPr>
          <m:t>×</m:t>
        </m:r>
      </m:oMath>
      <w:r>
        <w:t xml:space="preserve"> </w:t>
      </w:r>
      <w:r>
        <w:t xml:space="preserve">lr</w:t>
      </w:r>
      <w:r>
        <w:t xml:space="preserve"> </w:t>
      </w:r>
      <m:oMath>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 weight_decay=0, dropout=0.3, AdamW, and early stopping. Grid search over architecture depth, hidden size, and learning rate showed negligible performance variance across the MLP configurations (CV macro-</w:t>
      </w:r>
      <m:oMath>
        <m:sSub>
          <m:e>
            <m:r>
              <m:t>F</m:t>
            </m:r>
          </m:e>
          <m:sub>
            <m:r>
              <m:t>1</m:t>
            </m:r>
          </m:sub>
        </m:sSub>
      </m:oMath>
      <w:r>
        <w:t xml:space="preserve"> </w:t>
      </w:r>
      <w:r>
        <w:t xml:space="preserve">=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confirming that architecture is not a binding constraint (Table </w:t>
      </w:r>
      <w:hyperlink w:anchor="tab:model-selection-ranking">
        <w:r>
          <w:rPr>
            <w:rStyle w:val="Hyperlink"/>
          </w:rPr>
          <w:t xml:space="preserve">2</w:t>
        </w:r>
      </w:hyperlink>
      <w:r>
        <w:t xml:space="preserve">).</w:t>
      </w:r>
    </w:p>
    <w:p>
      <w:pPr>
        <w:pStyle w:val="BodyText"/>
      </w:pPr>
      <w:r>
        <w:rPr>
          <w:bCs/>
          <w:b/>
        </w:rPr>
        <w:t xml:space="preserve">Champion: LR (C=3.0, L2).</w:t>
      </w:r>
      <w:r>
        <w:t xml:space="preserve"> </w:t>
      </w:r>
      <w:r>
        <w:t xml:space="preserve">LR (C=3.0, L2, class_weight=None) was chosen over the highest-scoring MLP despite a 0.0091 macro-</w:t>
      </w:r>
      <m:oMath>
        <m:sSub>
          <m:e>
            <m:r>
              <m:t>F</m:t>
            </m:r>
          </m:e>
          <m:sub>
            <m:r>
              <m:t>1</m:t>
            </m:r>
          </m:sub>
        </m:sSub>
      </m:oMath>
      <w:r>
        <w:t xml:space="preserve"> </w:t>
      </w:r>
      <w:r>
        <w:t xml:space="preserve">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 The MLP test macro-</w:t>
      </w:r>
      <m:oMath>
        <m:sSub>
          <m:e>
            <m:r>
              <m:t>F</m:t>
            </m:r>
          </m:e>
          <m:sub>
            <m:r>
              <m:t>1</m:t>
            </m:r>
          </m:sub>
        </m:sSub>
      </m:oMath>
      <w:r>
        <w:t xml:space="preserve"> </w:t>
      </w:r>
      <w:r>
        <w:t xml:space="preserve">(0.826) cited in Section </w:t>
      </w:r>
      <w:hyperlink w:anchor="sec:validation">
        <w:r>
          <w:rPr>
            <w:rStyle w:val="Hyperlink"/>
          </w:rPr>
          <w:t xml:space="preserve">4.1</w:t>
        </w:r>
      </w:hyperlink>
      <w:r>
        <w:t xml:space="preserve"> </w:t>
      </w:r>
      <w:r>
        <w:t xml:space="preserve">is a single held-out evaluation of the champion MLP retrained on the full training pool (n=52</w:t>
      </w:r>
      <w:r>
        <w:t xml:space="preserve">,</w:t>
      </w:r>
      <w:r>
        <w:t xml:space="preserve">835), distinct from the CV mean of 0.8192 </w:t>
      </w:r>
      <m:oMath>
        <m:r>
          <m:rPr>
            <m:sty m:val="p"/>
          </m:rPr>
          <m:t>±</m:t>
        </m:r>
      </m:oMath>
      <w:r>
        <w:t xml:space="preserve"> 0.0032 above. The full candidate ranking is reproduced in Table </w:t>
      </w:r>
      <w:hyperlink w:anchor="tab:model-selection-appendix">
        <w:r>
          <w:rPr>
            <w:rStyle w:val="Hyperlink"/>
          </w:rPr>
          <w:t xml:space="preserve">14</w:t>
        </w:r>
      </w:hyperlink>
      <w:r>
        <w:t xml:space="preserve">.</w:t>
      </w:r>
    </w:p>
    <w:p>
      <w:pPr>
        <w:pStyle w:val="BodyText"/>
      </w:pPr>
      <w:r>
        <w:t xml:space="preserve">Held-out test performance (Table </w:t>
      </w:r>
      <w:hyperlink w:anchor="tab:validation">
        <w:r>
          <w:rPr>
            <w:rStyle w:val="Hyperlink"/>
          </w:rPr>
          <w:t xml:space="preserve">3</w:t>
        </w:r>
      </w:hyperlink>
      <w:r>
        <w:t xml:space="preserve">) quantifies the cost of each simplification. The champion MLP reaches macro-F1 0.826 and micro-F1 0.8396, only  1.0 and  0.9 points above LR (0.816 / 0.831) with a near-identical per-SDG ordering (Spearman</w:t>
      </w:r>
      <w:r>
        <w:t xml:space="preserve"> </w:t>
      </w:r>
      <m:oMath>
        <m:r>
          <m:t>ρ</m:t>
        </m:r>
        <m:r>
          <m:rPr>
            <m:sty m:val="p"/>
          </m:rPr>
          <m:t>=</m:t>
        </m:r>
        <m:r>
          <m:t>0.98</m:t>
        </m:r>
      </m:oMath>
      <w:r>
        <w:t xml:space="preserve">), so its extra capacity yields negligible accuracy and the interpretability-first choice of LR is justified. The zero-shot nearest-centroid baseline is weaker – macro-F1 0.760 and micro-F1 0.7743,  5.6 points below LR – because it has no trained decision boundary, only the unweighted mean of reference embeddings, and the penalty is concentrated on the goals hardest to separate for all methods (SDG 10: 0.485 vs 0.610; SDG 17: 0.671). ZS still recovers the same broad ranking (</w:t>
      </w:r>
      <m:oMath>
        <m:r>
          <m:t>ρ</m:t>
        </m:r>
        <m:r>
          <m:rPr>
            <m:sty m:val="p"/>
          </m:rPr>
          <m:t>=</m:t>
        </m:r>
        <m:r>
          <m:t>0.93</m:t>
        </m:r>
      </m:oMath>
      <w:r>
        <w:t xml:space="preserve"> </w:t>
      </w:r>
      <w:r>
        <w:t xml:space="preserve">vs LR) and far exceeds the 1/17 random baseline, so it remains a usable unsupervised sanity check rather than a competitive classifier.</w:t>
      </w:r>
    </w:p>
    <w:bookmarkStart w:id="107"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7"/>
    <w:bookmarkEnd w:id="108"/>
    <w:bookmarkStart w:id="125" w:name="app:register-removal"/>
    <w:p>
      <w:pPr>
        <w:pStyle w:val="Heading1"/>
      </w:pPr>
      <w:r>
        <w:t xml:space="preserve">Register Removal: Convergence and Validation</w:t>
      </w:r>
    </w:p>
    <w:bookmarkStart w:id="112"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9"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9"/>
    <w:bookmarkStart w:id="111"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a rapid early drop followed by a plateau, is identical, confirming that the stopping behaviour reported above is a property of the INLP procedure rather than of the MPNet embedding space.</w:t>
      </w:r>
    </w:p>
    <w:bookmarkStart w:id="110"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10"/>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1"/>
    <w:bookmarkEnd w:id="112"/>
    <w:bookmarkStart w:id="124" w:name="app:register-validation"/>
    <w:p>
      <w:pPr>
        <w:pStyle w:val="Heading2"/>
      </w:pPr>
      <w:r>
        <w:t xml:space="preserve">Construct Validation</w:t>
      </w:r>
    </w:p>
    <w:bookmarkStart w:id="113"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establishes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establish three things: whether the adjustment removes a large corpus-separable component; whether the removal is accompanied by evidence that SDG (topic) structure is being destroyed; and whether apparent residual register signals survive controlled samples. It cannot establish that the removed subspace is identical to the measured linguistic register features, and the register score used here is a small set of surface indicators; the validation is single-encoder and sample-limited.</w:t>
      </w:r>
    </w:p>
    <w:bookmarkEnd w:id="113"/>
    <w:bookmarkStart w:id="116"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4"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4"/>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There it emerges that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5"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5"/>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6"/>
    <w:bookmarkStart w:id="117"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clearly above chance.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7"/>
    <w:bookmarkStart w:id="118"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8"/>
    <w:bookmarkStart w:id="119"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9"/>
    <w:bookmarkStart w:id="120"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substantial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established, and residual corpus-linear signal remains.</w:t>
      </w:r>
    </w:p>
    <w:p>
      <w:pPr>
        <w:pStyle w:val="FirstParagraph"/>
      </w:pPr>
      <w:r>
        <w:t xml:space="preserve">The register interpretation is therefore consistent with the validation evidence rather than confirmed by it; the main text describes it as resting on partial, not complete, empirical support.</w:t>
      </w:r>
    </w:p>
    <w:bookmarkEnd w:id="120"/>
    <w:bookmarkStart w:id="123"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partial rather than complete.</w:t>
      </w:r>
    </w:p>
    <w:bookmarkStart w:id="121"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1"/>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2"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2"/>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3"/>
    <w:bookmarkEnd w:id="124"/>
    <w:bookmarkEnd w:id="125"/>
    <w:bookmarkStart w:id="147" w:name="app:cross-method-section"/>
    <w:p>
      <w:pPr>
        <w:pStyle w:val="Heading1"/>
      </w:pPr>
      <w:r>
        <w:t xml:space="preserve">Supplementary Cross-Method Data</w:t>
      </w:r>
    </w:p>
    <w:bookmarkStart w:id="126"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6"/>
    <w:bookmarkStart w:id="129"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7"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0.97</w:t>
            </w:r>
          </w:p>
        </w:tc>
        <w:tc>
          <w:tcPr/>
          <w:p>
            <w:pPr>
              <w:pStyle w:val="Compact"/>
              <w:jc w:val="center"/>
            </w:pPr>
            <w:r>
              <w:t xml:space="preserve">0.75</w:t>
            </w:r>
          </w:p>
        </w:tc>
        <w:tc>
          <w:tcPr/>
          <w:p>
            <w:pPr>
              <w:pStyle w:val="Compact"/>
              <w:jc w:val="center"/>
            </w:pPr>
            <w:r>
              <w:t xml:space="preserve">0.68</w:t>
            </w:r>
          </w:p>
        </w:tc>
      </w:tr>
    </w:tbl>
    <w:bookmarkEnd w:id="127"/>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8"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0.74</w:t>
            </w:r>
          </w:p>
        </w:tc>
        <w:tc>
          <w:tcPr/>
          <w:p>
            <w:pPr>
              <w:pStyle w:val="Compact"/>
              <w:jc w:val="center"/>
            </w:pPr>
            <w:r>
              <w:t xml:space="preserve">0.91</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0.81</w:t>
            </w:r>
          </w:p>
        </w:tc>
        <w:tc>
          <w:tcPr/>
          <w:p>
            <w:pPr>
              <w:pStyle w:val="Compact"/>
              <w:jc w:val="center"/>
            </w:pPr>
            <w:r>
              <w:t xml:space="preserve">0.68</w:t>
            </w:r>
          </w:p>
        </w:tc>
      </w:tr>
    </w:tbl>
    <w:bookmarkEnd w:id="128"/>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9"/>
    <w:bookmarkStart w:id="134"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0.54</m:t>
        </m:r>
      </m:oMath>
      <w:r>
        <w:t xml:space="preserve">; MPNet–LR vs. MiniLM–LR</w:t>
      </w:r>
      <w:r>
        <w:t xml:space="preserve"> </w:t>
      </w:r>
      <m:oMath>
        <m:r>
          <m:t>ρ</m:t>
        </m:r>
        <m:r>
          <m:rPr>
            <m:sty m:val="p"/>
          </m:rPr>
          <m:t>≈</m:t>
        </m:r>
        <m:r>
          <m:t>0.63</m:t>
        </m:r>
      </m:oMath>
      <w:r>
        <w:t xml:space="preserve">), and the coverage-gap ranking is highly stable (MPNet–LR vs. SciBERT–LR</w:t>
      </w:r>
      <w:r>
        <w:t xml:space="preserve"> </w:t>
      </w:r>
      <m:oMath>
        <m:r>
          <m:t>ρ</m:t>
        </m:r>
        <m:r>
          <m:rPr>
            <m:sty m:val="p"/>
          </m:rPr>
          <m:t>=</m:t>
        </m:r>
        <m:r>
          <m:t>0.93</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m:t>
        </m:r>
      </m:oMath>
      <w:r>
        <w:t xml:space="preserve">, LR vs. zero-shot</w:t>
      </w:r>
      <w:r>
        <w:t xml:space="preserve"> </w:t>
      </w:r>
      <m:oMath>
        <m:r>
          <m:t>ρ</m:t>
        </m:r>
        <m:r>
          <m:rPr>
            <m:sty m:val="p"/>
          </m:rPr>
          <m:t>=</m:t>
        </m:r>
        <m:r>
          <m:t>0.60</m:t>
        </m:r>
      </m:oMath>
      <w:r>
        <w:t xml:space="preserve">); under the raw gap, SDG 17 is the most classifier-sensitive goal, sitting at rank 17 under LR but rank 8 under zero-shot. The LR baseline is the canonical reference, with MLP and zero-shot as uncertainty bounds.</w:t>
      </w:r>
    </w:p>
    <w:bookmarkStart w:id="130"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0.85</w:t>
            </w:r>
          </w:p>
        </w:tc>
        <w:tc>
          <w:tcPr/>
          <w:p>
            <w:pPr>
              <w:pStyle w:val="Compact"/>
              <w:jc w:val="center"/>
            </w:pPr>
            <w:r>
              <w:t xml:space="preserve">0.60</w:t>
            </w:r>
          </w:p>
        </w:tc>
        <w:tc>
          <w:tcPr/>
          <w:p>
            <w:pPr>
              <w:pStyle w:val="Compact"/>
              <w:jc w:val="center"/>
            </w:pPr>
            <w:r>
              <w:t xml:space="preserve">0.63</w:t>
            </w:r>
          </w:p>
        </w:tc>
        <w:tc>
          <w:tcPr/>
          <w:p>
            <w:pPr>
              <w:pStyle w:val="Compact"/>
              <w:jc w:val="center"/>
            </w:pPr>
            <w:r>
              <w:t xml:space="preserve">0.71</w:t>
            </w:r>
          </w:p>
        </w:tc>
        <w:tc>
          <w:tcPr/>
          <w:p>
            <w:pPr>
              <w:pStyle w:val="Compact"/>
              <w:jc w:val="center"/>
            </w:pPr>
            <w:r>
              <w:t xml:space="preserve">0.54</w:t>
            </w:r>
          </w:p>
        </w:tc>
        <w:tc>
          <w:tcPr/>
          <w:p>
            <w:pPr>
              <w:pStyle w:val="Compact"/>
              <w:jc w:val="center"/>
            </w:pPr>
            <w:r>
              <w:t xml:space="preserve">0.36</w:t>
            </w:r>
          </w:p>
        </w:tc>
      </w:tr>
    </w:tbl>
    <w:bookmarkEnd w:id="130"/>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1"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0.86</w:t>
            </w:r>
          </w:p>
        </w:tc>
        <w:tc>
          <w:tcPr/>
          <w:p>
            <w:pPr>
              <w:pStyle w:val="Compact"/>
              <w:jc w:val="center"/>
            </w:pPr>
            <w:r>
              <w:t xml:space="preserve">0.53</w:t>
            </w:r>
          </w:p>
        </w:tc>
        <w:tc>
          <w:tcPr/>
          <w:p>
            <w:pPr>
              <w:pStyle w:val="Compact"/>
              <w:jc w:val="center"/>
            </w:pPr>
            <w:r>
              <w:t xml:space="preserve">0.40</w:t>
            </w:r>
          </w:p>
        </w:tc>
        <w:tc>
          <w:tcPr/>
          <w:p>
            <w:pPr>
              <w:pStyle w:val="Compact"/>
              <w:jc w:val="center"/>
            </w:pPr>
            <w:r>
              <w:t xml:space="preserve">0.37</w:t>
            </w:r>
          </w:p>
        </w:tc>
        <w:tc>
          <w:tcPr/>
          <w:p>
            <w:pPr>
              <w:pStyle w:val="Compact"/>
              <w:jc w:val="center"/>
            </w:pPr>
            <w:r>
              <w:t xml:space="preserve">0.46</w:t>
            </w:r>
          </w:p>
        </w:tc>
        <w:tc>
          <w:tcPr/>
          <w:p>
            <w:pPr>
              <w:pStyle w:val="Compact"/>
              <w:jc w:val="center"/>
            </w:pPr>
            <w:r>
              <w:t xml:space="preserve">0.62</w:t>
            </w:r>
          </w:p>
        </w:tc>
      </w:tr>
    </w:tbl>
    <w:bookmarkEnd w:id="131"/>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2"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0.92</w:t>
            </w:r>
          </w:p>
        </w:tc>
        <w:tc>
          <w:tcPr/>
          <w:p>
            <w:pPr>
              <w:pStyle w:val="Compact"/>
              <w:jc w:val="center"/>
            </w:pPr>
            <w:r>
              <w:t xml:space="preserve">0.75</w:t>
            </w:r>
          </w:p>
        </w:tc>
        <w:tc>
          <w:tcPr/>
          <w:p>
            <w:pPr>
              <w:pStyle w:val="Compact"/>
              <w:jc w:val="center"/>
            </w:pPr>
            <w:r>
              <w:t xml:space="preserve">0.89</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0.90</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3"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0.77</w:t>
            </w:r>
          </w:p>
        </w:tc>
        <w:tc>
          <w:tcPr/>
          <w:p>
            <w:pPr>
              <w:pStyle w:val="Compact"/>
              <w:jc w:val="center"/>
            </w:pPr>
            <w:r>
              <w:t xml:space="preserve">0.54</w:t>
            </w:r>
          </w:p>
        </w:tc>
        <w:tc>
          <w:tcPr/>
          <w:p>
            <w:pPr>
              <w:pStyle w:val="Compact"/>
              <w:jc w:val="center"/>
            </w:pPr>
            <w:r>
              <w:t xml:space="preserve">0.87</w:t>
            </w:r>
          </w:p>
        </w:tc>
        <w:tc>
          <w:tcPr/>
          <w:p>
            <w:pPr>
              <w:pStyle w:val="Compact"/>
              <w:jc w:val="center"/>
            </w:pPr>
            <w:r>
              <w:t xml:space="preserve">0.66</w:t>
            </w:r>
          </w:p>
        </w:tc>
      </w:tr>
    </w:tbl>
    <w:bookmarkEnd w:id="133"/>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4"/>
    <w:bookmarkStart w:id="139" w:name="app:reference-tables"/>
    <w:p>
      <w:pPr>
        <w:pStyle w:val="Heading2"/>
      </w:pPr>
      <w:r>
        <w:t xml:space="preserve">Per-Track Reference Value Tables</w:t>
      </w:r>
    </w:p>
    <w:p>
      <w:pPr>
        <w:pStyle w:val="FirstParagraph"/>
      </w:pPr>
      <w:r>
        <w:t xml:space="preserve">The consolidated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5"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6"/>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7"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7"/>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8"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8"/>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9"/>
    <w:bookmarkStart w:id="141"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40"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40"/>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1"/>
    <w:bookmarkStart w:id="143"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m:t>
        </m:r>
        <m:r>
          <m:t>​</m:t>
        </m:r>
      </m:oMath>
      <w:r>
        <w:t xml:space="preserve"> </w:t>
      </w:r>
      <w:r>
        <w:t xml:space="preserve">against</w:t>
      </w:r>
      <w:r>
        <w:t xml:space="preserve"> </w:t>
      </w:r>
      <m:oMath>
        <m:r>
          <m:t>0.34</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established, and the divergence does not threaten the conclusion, which rests on the supervised tracks where the signal is large (</w:t>
      </w:r>
      <m:oMath>
        <m:r>
          <m:rPr>
            <m:sty m:val="p"/>
          </m:rPr>
          <m:t>+</m:t>
        </m:r>
        <m:r>
          <m:t>0.70</m:t>
        </m:r>
      </m:oMath>
      <w:r>
        <w:t xml:space="preserve">) and stable across metrics. The raw-value specification therefore confirms, rather than threatens, the rank-based result.</w:t>
      </w:r>
    </w:p>
    <w:bookmarkStart w:id="142"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2"/>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3"/>
    <w:bookmarkStart w:id="146"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broad international-institutional profile is clearly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flat,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4"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0.42 (1,689)</w:t>
            </w:r>
          </w:p>
        </w:tc>
        <w:tc>
          <w:tcPr/>
          <w:p>
            <w:pPr>
              <w:pStyle w:val="Compact"/>
              <w:jc w:val="center"/>
            </w:pPr>
            <w:r>
              <w:t xml:space="preserve">1.1 (1)</w:t>
            </w:r>
          </w:p>
        </w:tc>
        <w:tc>
          <w:tcPr/>
          <w:p>
            <w:pPr>
              <w:pStyle w:val="Compact"/>
              <w:jc w:val="center"/>
            </w:pPr>
            <w:r>
              <w:t xml:space="preserve">0.44 (357)</w:t>
            </w:r>
          </w:p>
        </w:tc>
        <w:tc>
          <w:tcPr/>
          <w:p>
            <w:pPr>
              <w:pStyle w:val="Compact"/>
              <w:jc w:val="center"/>
            </w:pPr>
            <w:r>
              <w:t xml:space="preserve">5.9 (250)</w:t>
            </w:r>
          </w:p>
        </w:tc>
        <w:tc>
          <w:tcPr/>
          <w:p>
            <w:pPr>
              <w:pStyle w:val="Compact"/>
              <w:jc w:val="center"/>
            </w:pPr>
            <w:r>
              <w:t xml:space="preserve">0.42 (1,191)</w:t>
            </w:r>
          </w:p>
        </w:tc>
        <w:tc>
          <w:tcPr/>
          <w:p>
            <w:pPr>
              <w:pStyle w:val="Compact"/>
              <w:jc w:val="center"/>
            </w:pPr>
            <w:r>
              <w:t xml:space="preserve">1.8 (37)</w:t>
            </w:r>
          </w:p>
        </w:tc>
        <w:tc>
          <w:tcPr/>
          <w:p>
            <w:pPr>
              <w:pStyle w:val="Compact"/>
              <w:jc w:val="center"/>
            </w:pPr>
            <w:r>
              <w:t xml:space="preserve">0.56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0.30 (1,508)</w:t>
            </w:r>
          </w:p>
        </w:tc>
        <w:tc>
          <w:tcPr/>
          <w:p>
            <w:pPr>
              <w:pStyle w:val="Compact"/>
              <w:jc w:val="center"/>
            </w:pPr>
            <w:r>
              <w:t xml:space="preserve">0.0 (0)</w:t>
            </w:r>
          </w:p>
        </w:tc>
        <w:tc>
          <w:tcPr/>
          <w:p>
            <w:pPr>
              <w:pStyle w:val="Compact"/>
              <w:jc w:val="center"/>
            </w:pPr>
            <w:r>
              <w:t xml:space="preserve">0.35 (240)</w:t>
            </w:r>
          </w:p>
        </w:tc>
        <w:tc>
          <w:tcPr/>
          <w:p>
            <w:pPr>
              <w:pStyle w:val="Compact"/>
              <w:jc w:val="center"/>
            </w:pPr>
            <w:r>
              <w:t xml:space="preserve">5.8 (246)</w:t>
            </w:r>
          </w:p>
        </w:tc>
        <w:tc>
          <w:tcPr/>
          <w:p>
            <w:pPr>
              <w:pStyle w:val="Compact"/>
              <w:jc w:val="center"/>
            </w:pPr>
            <w:r>
              <w:t xml:space="preserve">0.29 (1,196)</w:t>
            </w:r>
          </w:p>
        </w:tc>
        <w:tc>
          <w:tcPr/>
          <w:p>
            <w:pPr>
              <w:pStyle w:val="Compact"/>
              <w:jc w:val="center"/>
            </w:pPr>
            <w:r>
              <w:t xml:space="preserve">1.4 (28)</w:t>
            </w:r>
          </w:p>
        </w:tc>
        <w:tc>
          <w:tcPr/>
          <w:p>
            <w:pPr>
              <w:pStyle w:val="Compact"/>
              <w:jc w:val="center"/>
            </w:pPr>
            <w:r>
              <w:t xml:space="preserve">0.45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 (2,408)</w:t>
            </w:r>
          </w:p>
        </w:tc>
        <w:tc>
          <w:tcPr/>
          <w:p>
            <w:pPr>
              <w:pStyle w:val="Compact"/>
              <w:jc w:val="center"/>
            </w:pPr>
            <w:r>
              <w:t xml:space="preserve">6.4 (6)</w:t>
            </w:r>
          </w:p>
        </w:tc>
        <w:tc>
          <w:tcPr/>
          <w:p>
            <w:pPr>
              <w:pStyle w:val="Compact"/>
              <w:jc w:val="center"/>
            </w:pPr>
            <w:r>
              <w:t xml:space="preserve">0.36 (643)</w:t>
            </w:r>
          </w:p>
        </w:tc>
        <w:tc>
          <w:tcPr/>
          <w:p>
            <w:pPr>
              <w:pStyle w:val="Compact"/>
              <w:jc w:val="center"/>
            </w:pPr>
            <w:r>
              <w:t xml:space="preserve">6.7 (284)</w:t>
            </w:r>
          </w:p>
        </w:tc>
        <w:tc>
          <w:tcPr/>
          <w:p>
            <w:pPr>
              <w:pStyle w:val="Compact"/>
              <w:jc w:val="center"/>
            </w:pPr>
            <w:r>
              <w:t xml:space="preserve">0.55 (1,707)</w:t>
            </w:r>
          </w:p>
        </w:tc>
        <w:tc>
          <w:tcPr/>
          <w:p>
            <w:pPr>
              <w:pStyle w:val="Compact"/>
              <w:jc w:val="center"/>
            </w:pPr>
            <w:r>
              <w:t xml:space="preserve">0.4 (8)</w:t>
            </w:r>
          </w:p>
        </w:tc>
        <w:tc>
          <w:tcPr/>
          <w:p>
            <w:pPr>
              <w:pStyle w:val="Compact"/>
              <w:jc w:val="center"/>
            </w:pPr>
            <w:r>
              <w:t xml:space="preserve">0.70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0.27 (2,055)</w:t>
            </w:r>
          </w:p>
        </w:tc>
        <w:tc>
          <w:tcPr/>
          <w:p>
            <w:pPr>
              <w:pStyle w:val="Compact"/>
              <w:jc w:val="center"/>
            </w:pPr>
            <w:r>
              <w:t xml:space="preserve">0.0 (0)</w:t>
            </w:r>
          </w:p>
        </w:tc>
        <w:tc>
          <w:tcPr/>
          <w:p>
            <w:pPr>
              <w:pStyle w:val="Compact"/>
              <w:jc w:val="center"/>
            </w:pPr>
            <w:r>
              <w:t xml:space="preserve">0.21 (274)</w:t>
            </w:r>
          </w:p>
        </w:tc>
        <w:tc>
          <w:tcPr/>
          <w:p>
            <w:pPr>
              <w:pStyle w:val="Compact"/>
              <w:jc w:val="center"/>
            </w:pPr>
            <w:r>
              <w:t xml:space="preserve">7.0 (296)</w:t>
            </w:r>
          </w:p>
        </w:tc>
        <w:tc>
          <w:tcPr/>
          <w:p>
            <w:pPr>
              <w:pStyle w:val="Compact"/>
              <w:jc w:val="center"/>
            </w:pPr>
            <w:r>
              <w:t xml:space="preserve">0.29 (1,718)</w:t>
            </w:r>
          </w:p>
        </w:tc>
        <w:tc>
          <w:tcPr/>
          <w:p>
            <w:pPr>
              <w:pStyle w:val="Compact"/>
              <w:jc w:val="center"/>
            </w:pPr>
            <w:r>
              <w:t xml:space="preserve">0.4 (9)</w:t>
            </w:r>
          </w:p>
        </w:tc>
        <w:tc>
          <w:tcPr/>
          <w:p>
            <w:pPr>
              <w:pStyle w:val="Compact"/>
              <w:jc w:val="center"/>
            </w:pPr>
            <w:r>
              <w:t xml:space="preserve">0.40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0.28 (2,005)</w:t>
            </w:r>
          </w:p>
        </w:tc>
        <w:tc>
          <w:tcPr/>
          <w:p>
            <w:pPr>
              <w:pStyle w:val="Compact"/>
              <w:jc w:val="center"/>
            </w:pPr>
            <w:r>
              <w:t xml:space="preserve">0.0 (0)</w:t>
            </w:r>
          </w:p>
        </w:tc>
        <w:tc>
          <w:tcPr/>
          <w:p>
            <w:pPr>
              <w:pStyle w:val="Compact"/>
              <w:jc w:val="center"/>
            </w:pPr>
            <w:r>
              <w:t xml:space="preserve">0.28 (272)</w:t>
            </w:r>
          </w:p>
        </w:tc>
        <w:tc>
          <w:tcPr/>
          <w:p>
            <w:pPr>
              <w:pStyle w:val="Compact"/>
              <w:jc w:val="center"/>
            </w:pPr>
            <w:r>
              <w:t xml:space="preserve">6.6 (278)</w:t>
            </w:r>
          </w:p>
        </w:tc>
        <w:tc>
          <w:tcPr/>
          <w:p>
            <w:pPr>
              <w:pStyle w:val="Compact"/>
              <w:jc w:val="center"/>
            </w:pPr>
            <w:r>
              <w:t xml:space="preserve">0.28 (1,531)</w:t>
            </w:r>
          </w:p>
        </w:tc>
        <w:tc>
          <w:tcPr/>
          <w:p>
            <w:pPr>
              <w:pStyle w:val="Compact"/>
              <w:jc w:val="center"/>
            </w:pPr>
            <w:r>
              <w:t xml:space="preserve">2.2 (46)</w:t>
            </w:r>
          </w:p>
        </w:tc>
        <w:tc>
          <w:tcPr/>
          <w:p>
            <w:pPr>
              <w:pStyle w:val="Compact"/>
              <w:jc w:val="center"/>
            </w:pPr>
            <w:r>
              <w:t xml:space="preserve">0.41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 (1,206)</w:t>
            </w:r>
          </w:p>
        </w:tc>
        <w:tc>
          <w:tcPr/>
          <w:p>
            <w:pPr>
              <w:pStyle w:val="Compact"/>
              <w:jc w:val="center"/>
            </w:pPr>
            <w:r>
              <w:t xml:space="preserve">0.0 (0)</w:t>
            </w:r>
          </w:p>
        </w:tc>
        <w:tc>
          <w:tcPr/>
          <w:p>
            <w:pPr>
              <w:pStyle w:val="Compact"/>
              <w:jc w:val="center"/>
            </w:pPr>
            <w:r>
              <w:t xml:space="preserve">0.35 (137)</w:t>
            </w:r>
          </w:p>
        </w:tc>
        <w:tc>
          <w:tcPr/>
          <w:p>
            <w:pPr>
              <w:pStyle w:val="Compact"/>
              <w:jc w:val="center"/>
            </w:pPr>
            <w:r>
              <w:t xml:space="preserve">5.3 (226)</w:t>
            </w:r>
          </w:p>
        </w:tc>
        <w:tc>
          <w:tcPr/>
          <w:p>
            <w:pPr>
              <w:pStyle w:val="Compact"/>
              <w:jc w:val="center"/>
            </w:pPr>
            <w:r>
              <w:t xml:space="preserve">0.29 (1,038)</w:t>
            </w:r>
          </w:p>
        </w:tc>
        <w:tc>
          <w:tcPr/>
          <w:p>
            <w:pPr>
              <w:pStyle w:val="Compact"/>
              <w:jc w:val="center"/>
            </w:pPr>
            <w:r>
              <w:t xml:space="preserve">0.6 (12)</w:t>
            </w:r>
          </w:p>
        </w:tc>
        <w:tc>
          <w:tcPr/>
          <w:p>
            <w:pPr>
              <w:pStyle w:val="Compact"/>
              <w:jc w:val="center"/>
            </w:pPr>
            <w:r>
              <w:t xml:space="preserve">0.42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0.43 (1,578)</w:t>
            </w:r>
          </w:p>
        </w:tc>
        <w:tc>
          <w:tcPr/>
          <w:p>
            <w:pPr>
              <w:pStyle w:val="Compact"/>
              <w:jc w:val="center"/>
            </w:pPr>
            <w:r>
              <w:t xml:space="preserve">1.1 (1)</w:t>
            </w:r>
          </w:p>
        </w:tc>
        <w:tc>
          <w:tcPr/>
          <w:p>
            <w:pPr>
              <w:pStyle w:val="Compact"/>
              <w:jc w:val="center"/>
            </w:pPr>
            <w:r>
              <w:t xml:space="preserve">0.51 (358)</w:t>
            </w:r>
          </w:p>
        </w:tc>
        <w:tc>
          <w:tcPr/>
          <w:p>
            <w:pPr>
              <w:pStyle w:val="Compact"/>
              <w:jc w:val="center"/>
            </w:pPr>
            <w:r>
              <w:t xml:space="preserve">6.0 (253)</w:t>
            </w:r>
          </w:p>
        </w:tc>
        <w:tc>
          <w:tcPr/>
          <w:p>
            <w:pPr>
              <w:pStyle w:val="Compact"/>
              <w:jc w:val="center"/>
            </w:pPr>
            <w:r>
              <w:t xml:space="preserve">0.41 (1,147)</w:t>
            </w:r>
          </w:p>
        </w:tc>
        <w:tc>
          <w:tcPr/>
          <w:p>
            <w:pPr>
              <w:pStyle w:val="Compact"/>
              <w:jc w:val="center"/>
            </w:pPr>
            <w:r>
              <w:t xml:space="preserve">0.9 (19)</w:t>
            </w:r>
          </w:p>
        </w:tc>
        <w:tc>
          <w:tcPr/>
          <w:p>
            <w:pPr>
              <w:pStyle w:val="Compact"/>
              <w:jc w:val="center"/>
            </w:pPr>
            <w:r>
              <w:t xml:space="preserve">0.59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0.39 (1,886)</w:t>
            </w:r>
          </w:p>
        </w:tc>
        <w:tc>
          <w:tcPr/>
          <w:p>
            <w:pPr>
              <w:pStyle w:val="Compact"/>
              <w:jc w:val="center"/>
            </w:pPr>
            <w:r>
              <w:t xml:space="preserve">0.0 (0)</w:t>
            </w:r>
          </w:p>
        </w:tc>
        <w:tc>
          <w:tcPr/>
          <w:p>
            <w:pPr>
              <w:pStyle w:val="Compact"/>
              <w:jc w:val="center"/>
            </w:pPr>
            <w:r>
              <w:t xml:space="preserve">0.40 (309)</w:t>
            </w:r>
          </w:p>
        </w:tc>
        <w:tc>
          <w:tcPr/>
          <w:p>
            <w:pPr>
              <w:pStyle w:val="Compact"/>
              <w:jc w:val="center"/>
            </w:pPr>
            <w:r>
              <w:t xml:space="preserve">6.5 (275)</w:t>
            </w:r>
          </w:p>
        </w:tc>
        <w:tc>
          <w:tcPr/>
          <w:p>
            <w:pPr>
              <w:pStyle w:val="Compact"/>
              <w:jc w:val="center"/>
            </w:pPr>
            <w:r>
              <w:t xml:space="preserve">0.40 (1,558)</w:t>
            </w:r>
          </w:p>
        </w:tc>
        <w:tc>
          <w:tcPr/>
          <w:p>
            <w:pPr>
              <w:pStyle w:val="Compact"/>
              <w:jc w:val="center"/>
            </w:pPr>
            <w:r>
              <w:t xml:space="preserve">0.0 (1)</w:t>
            </w:r>
          </w:p>
        </w:tc>
        <w:tc>
          <w:tcPr/>
          <w:p>
            <w:pPr>
              <w:pStyle w:val="Compact"/>
              <w:jc w:val="center"/>
            </w:pPr>
            <w:r>
              <w:t xml:space="preserve">0.54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 (2,986)</w:t>
            </w:r>
          </w:p>
        </w:tc>
        <w:tc>
          <w:tcPr/>
          <w:p>
            <w:pPr>
              <w:pStyle w:val="Compact"/>
              <w:jc w:val="center"/>
            </w:pPr>
            <w:r>
              <w:t xml:space="preserve">50.0 (47)</w:t>
            </w:r>
          </w:p>
        </w:tc>
        <w:tc>
          <w:tcPr/>
          <w:p>
            <w:pPr>
              <w:pStyle w:val="Compact"/>
              <w:jc w:val="center"/>
            </w:pPr>
            <w:r>
              <w:t xml:space="preserve">0.27 (1,838)</w:t>
            </w:r>
          </w:p>
        </w:tc>
        <w:tc>
          <w:tcPr/>
          <w:p>
            <w:pPr>
              <w:pStyle w:val="Compact"/>
              <w:jc w:val="center"/>
            </w:pPr>
            <w:r>
              <w:t xml:space="preserve">5.1 (215)</w:t>
            </w:r>
          </w:p>
        </w:tc>
        <w:tc>
          <w:tcPr/>
          <w:p>
            <w:pPr>
              <w:pStyle w:val="Compact"/>
              <w:jc w:val="center"/>
            </w:pPr>
            <w:r>
              <w:t xml:space="preserve">0.54 (1,116)</w:t>
            </w:r>
          </w:p>
        </w:tc>
        <w:tc>
          <w:tcPr/>
          <w:p>
            <w:pPr>
              <w:pStyle w:val="Compact"/>
              <w:jc w:val="center"/>
            </w:pPr>
            <w:r>
              <w:t xml:space="preserve">0.6 (12)</w:t>
            </w:r>
          </w:p>
        </w:tc>
        <w:tc>
          <w:tcPr/>
          <w:p>
            <w:pPr>
              <w:pStyle w:val="Compact"/>
              <w:jc w:val="center"/>
            </w:pPr>
            <w:r>
              <w:t xml:space="preserve">0.46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 (1,085)</w:t>
            </w:r>
          </w:p>
        </w:tc>
        <w:tc>
          <w:tcPr/>
          <w:p>
            <w:pPr>
              <w:pStyle w:val="Compact"/>
              <w:jc w:val="center"/>
            </w:pPr>
            <w:r>
              <w:t xml:space="preserve">0.0 (0)</w:t>
            </w:r>
          </w:p>
        </w:tc>
        <w:tc>
          <w:tcPr/>
          <w:p>
            <w:pPr>
              <w:pStyle w:val="Compact"/>
              <w:jc w:val="center"/>
            </w:pPr>
            <w:r>
              <w:t xml:space="preserve">0.33 (258)</w:t>
            </w:r>
          </w:p>
        </w:tc>
        <w:tc>
          <w:tcPr/>
          <w:p>
            <w:pPr>
              <w:pStyle w:val="Compact"/>
              <w:jc w:val="center"/>
            </w:pPr>
            <w:r>
              <w:t xml:space="preserve">4.2 (176)</w:t>
            </w:r>
          </w:p>
        </w:tc>
        <w:tc>
          <w:tcPr/>
          <w:p>
            <w:pPr>
              <w:pStyle w:val="Compact"/>
              <w:jc w:val="center"/>
            </w:pPr>
            <w:r>
              <w:t xml:space="preserve">0.28 (774)</w:t>
            </w:r>
          </w:p>
        </w:tc>
        <w:tc>
          <w:tcPr/>
          <w:p>
            <w:pPr>
              <w:pStyle w:val="Compact"/>
              <w:jc w:val="center"/>
            </w:pPr>
            <w:r>
              <w:t xml:space="preserve">0.3 (6)</w:t>
            </w:r>
          </w:p>
        </w:tc>
        <w:tc>
          <w:tcPr/>
          <w:p>
            <w:pPr>
              <w:pStyle w:val="Compact"/>
              <w:jc w:val="center"/>
            </w:pPr>
            <w:r>
              <w:t xml:space="preserve">0.40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0.45 (1,658)</w:t>
            </w:r>
          </w:p>
        </w:tc>
        <w:tc>
          <w:tcPr/>
          <w:p>
            <w:pPr>
              <w:pStyle w:val="Compact"/>
              <w:jc w:val="center"/>
            </w:pPr>
            <w:r>
              <w:t xml:space="preserve">0.0 (0)</w:t>
            </w:r>
          </w:p>
        </w:tc>
        <w:tc>
          <w:tcPr/>
          <w:p>
            <w:pPr>
              <w:pStyle w:val="Compact"/>
              <w:jc w:val="center"/>
            </w:pPr>
            <w:r>
              <w:t xml:space="preserve">0.43 (175)</w:t>
            </w:r>
          </w:p>
        </w:tc>
        <w:tc>
          <w:tcPr/>
          <w:p>
            <w:pPr>
              <w:pStyle w:val="Compact"/>
              <w:jc w:val="center"/>
            </w:pPr>
            <w:r>
              <w:t xml:space="preserve">8.0 (336)</w:t>
            </w:r>
          </w:p>
        </w:tc>
        <w:tc>
          <w:tcPr/>
          <w:p>
            <w:pPr>
              <w:pStyle w:val="Compact"/>
              <w:jc w:val="center"/>
            </w:pPr>
            <w:r>
              <w:t xml:space="preserve">0.46 (1,474)</w:t>
            </w:r>
          </w:p>
        </w:tc>
        <w:tc>
          <w:tcPr/>
          <w:p>
            <w:pPr>
              <w:pStyle w:val="Compact"/>
              <w:jc w:val="center"/>
            </w:pPr>
            <w:r>
              <w:t xml:space="preserve">0.1 (2)</w:t>
            </w:r>
          </w:p>
        </w:tc>
        <w:tc>
          <w:tcPr/>
          <w:p>
            <w:pPr>
              <w:pStyle w:val="Compact"/>
              <w:jc w:val="center"/>
            </w:pPr>
            <w:r>
              <w:t xml:space="preserve">0.57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0.30 (1,132)</w:t>
            </w:r>
          </w:p>
        </w:tc>
        <w:tc>
          <w:tcPr/>
          <w:p>
            <w:pPr>
              <w:pStyle w:val="Compact"/>
              <w:jc w:val="center"/>
            </w:pPr>
            <w:r>
              <w:t xml:space="preserve">0.0 (0)</w:t>
            </w:r>
          </w:p>
        </w:tc>
        <w:tc>
          <w:tcPr/>
          <w:p>
            <w:pPr>
              <w:pStyle w:val="Compact"/>
              <w:jc w:val="center"/>
            </w:pPr>
            <w:r>
              <w:t xml:space="preserve">0.38 (178)</w:t>
            </w:r>
          </w:p>
        </w:tc>
        <w:tc>
          <w:tcPr/>
          <w:p>
            <w:pPr>
              <w:pStyle w:val="Compact"/>
              <w:jc w:val="center"/>
            </w:pPr>
            <w:r>
              <w:t xml:space="preserve">5.3 (225)</w:t>
            </w:r>
          </w:p>
        </w:tc>
        <w:tc>
          <w:tcPr/>
          <w:p>
            <w:pPr>
              <w:pStyle w:val="Compact"/>
              <w:jc w:val="center"/>
            </w:pPr>
            <w:r>
              <w:t xml:space="preserve">0.30 (947)</w:t>
            </w:r>
          </w:p>
        </w:tc>
        <w:tc>
          <w:tcPr/>
          <w:p>
            <w:pPr>
              <w:pStyle w:val="Compact"/>
              <w:jc w:val="center"/>
            </w:pPr>
            <w:r>
              <w:t xml:space="preserve">0.0 (1)</w:t>
            </w:r>
          </w:p>
        </w:tc>
        <w:tc>
          <w:tcPr/>
          <w:p>
            <w:pPr>
              <w:pStyle w:val="Compact"/>
              <w:jc w:val="center"/>
            </w:pPr>
            <w:r>
              <w:t xml:space="preserve">0.49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 (3,084)</w:t>
            </w:r>
          </w:p>
        </w:tc>
        <w:tc>
          <w:tcPr/>
          <w:p>
            <w:pPr>
              <w:pStyle w:val="Compact"/>
              <w:jc w:val="center"/>
            </w:pPr>
            <w:r>
              <w:t xml:space="preserve">7.4 (7)</w:t>
            </w:r>
          </w:p>
        </w:tc>
        <w:tc>
          <w:tcPr/>
          <w:p>
            <w:pPr>
              <w:pStyle w:val="Compact"/>
              <w:jc w:val="center"/>
            </w:pPr>
            <w:r>
              <w:t xml:space="preserve">0.44 (613)</w:t>
            </w:r>
          </w:p>
        </w:tc>
        <w:tc>
          <w:tcPr/>
          <w:p>
            <w:pPr>
              <w:pStyle w:val="Compact"/>
              <w:jc w:val="center"/>
            </w:pPr>
            <w:r>
              <w:t xml:space="preserve">6.0 (252)</w:t>
            </w:r>
          </w:p>
        </w:tc>
        <w:tc>
          <w:tcPr/>
          <w:p>
            <w:pPr>
              <w:pStyle w:val="Compact"/>
              <w:jc w:val="center"/>
            </w:pPr>
            <w:r>
              <w:t xml:space="preserve">0.44 (1,268)</w:t>
            </w:r>
          </w:p>
        </w:tc>
        <w:tc>
          <w:tcPr/>
          <w:p>
            <w:pPr>
              <w:pStyle w:val="Compact"/>
              <w:jc w:val="center"/>
            </w:pPr>
            <w:r>
              <w:t xml:space="preserve">22.4 (459)</w:t>
            </w:r>
          </w:p>
        </w:tc>
        <w:tc>
          <w:tcPr/>
          <w:p>
            <w:pPr>
              <w:pStyle w:val="Compact"/>
              <w:jc w:val="center"/>
            </w:pPr>
            <w:r>
              <w:t xml:space="preserve">0.58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 (1,293)</w:t>
            </w:r>
          </w:p>
        </w:tc>
        <w:tc>
          <w:tcPr/>
          <w:p>
            <w:pPr>
              <w:pStyle w:val="Compact"/>
              <w:jc w:val="center"/>
            </w:pPr>
            <w:r>
              <w:t xml:space="preserve">0.0 (0)</w:t>
            </w:r>
          </w:p>
        </w:tc>
        <w:tc>
          <w:tcPr/>
          <w:p>
            <w:pPr>
              <w:pStyle w:val="Compact"/>
              <w:jc w:val="center"/>
            </w:pPr>
            <w:r>
              <w:t xml:space="preserve">0.37 (216)</w:t>
            </w:r>
          </w:p>
        </w:tc>
        <w:tc>
          <w:tcPr/>
          <w:p>
            <w:pPr>
              <w:pStyle w:val="Compact"/>
              <w:jc w:val="center"/>
            </w:pPr>
            <w:r>
              <w:t xml:space="preserve">4.5 (189)</w:t>
            </w:r>
          </w:p>
        </w:tc>
        <w:tc>
          <w:tcPr/>
          <w:p>
            <w:pPr>
              <w:pStyle w:val="Compact"/>
              <w:jc w:val="center"/>
            </w:pPr>
            <w:r>
              <w:t xml:space="preserve">0.35 (856)</w:t>
            </w:r>
          </w:p>
        </w:tc>
        <w:tc>
          <w:tcPr/>
          <w:p>
            <w:pPr>
              <w:pStyle w:val="Compact"/>
              <w:jc w:val="center"/>
            </w:pPr>
            <w:r>
              <w:t xml:space="preserve">2.5 (52)</w:t>
            </w:r>
          </w:p>
        </w:tc>
        <w:tc>
          <w:tcPr/>
          <w:p>
            <w:pPr>
              <w:pStyle w:val="Compact"/>
              <w:jc w:val="center"/>
            </w:pPr>
            <w:r>
              <w:t xml:space="preserve">0.49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0.24 (1,484)</w:t>
            </w:r>
          </w:p>
        </w:tc>
        <w:tc>
          <w:tcPr/>
          <w:p>
            <w:pPr>
              <w:pStyle w:val="Compact"/>
              <w:jc w:val="center"/>
            </w:pPr>
            <w:r>
              <w:t xml:space="preserve">0.0 (0)</w:t>
            </w:r>
          </w:p>
        </w:tc>
        <w:tc>
          <w:tcPr/>
          <w:p>
            <w:pPr>
              <w:pStyle w:val="Compact"/>
              <w:jc w:val="center"/>
            </w:pPr>
            <w:r>
              <w:t xml:space="preserve">0.29 (299)</w:t>
            </w:r>
          </w:p>
        </w:tc>
        <w:tc>
          <w:tcPr/>
          <w:p>
            <w:pPr>
              <w:pStyle w:val="Compact"/>
              <w:jc w:val="center"/>
            </w:pPr>
            <w:r>
              <w:t xml:space="preserve">5.7 (239)</w:t>
            </w:r>
          </w:p>
        </w:tc>
        <w:tc>
          <w:tcPr/>
          <w:p>
            <w:pPr>
              <w:pStyle w:val="Compact"/>
              <w:jc w:val="center"/>
            </w:pPr>
            <w:r>
              <w:t xml:space="preserve">0.24 (1,108)</w:t>
            </w:r>
          </w:p>
        </w:tc>
        <w:tc>
          <w:tcPr/>
          <w:p>
            <w:pPr>
              <w:pStyle w:val="Compact"/>
              <w:jc w:val="center"/>
            </w:pPr>
            <w:r>
              <w:t xml:space="preserve">1.3 (27)</w:t>
            </w:r>
          </w:p>
        </w:tc>
        <w:tc>
          <w:tcPr/>
          <w:p>
            <w:pPr>
              <w:pStyle w:val="Compact"/>
              <w:jc w:val="center"/>
            </w:pPr>
            <w:r>
              <w:t xml:space="preserve">0.41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0.33 (4,890)</w:t>
            </w:r>
          </w:p>
        </w:tc>
        <w:tc>
          <w:tcPr/>
          <w:p>
            <w:pPr>
              <w:pStyle w:val="Compact"/>
              <w:jc w:val="center"/>
            </w:pPr>
            <w:r>
              <w:t xml:space="preserve">12.8 (12)</w:t>
            </w:r>
          </w:p>
        </w:tc>
        <w:tc>
          <w:tcPr/>
          <w:p>
            <w:pPr>
              <w:pStyle w:val="Compact"/>
              <w:jc w:val="center"/>
            </w:pPr>
            <w:r>
              <w:t xml:space="preserve">0.20 (1,092)</w:t>
            </w:r>
          </w:p>
        </w:tc>
        <w:tc>
          <w:tcPr/>
          <w:p>
            <w:pPr>
              <w:pStyle w:val="Compact"/>
              <w:jc w:val="center"/>
            </w:pPr>
            <w:r>
              <w:t xml:space="preserve">5.9 (250)</w:t>
            </w:r>
          </w:p>
        </w:tc>
        <w:tc>
          <w:tcPr/>
          <w:p>
            <w:pPr>
              <w:pStyle w:val="Compact"/>
              <w:jc w:val="center"/>
            </w:pPr>
            <w:r>
              <w:t xml:space="preserve">0.38 (1,395)</w:t>
            </w:r>
          </w:p>
        </w:tc>
        <w:tc>
          <w:tcPr/>
          <w:p>
            <w:pPr>
              <w:pStyle w:val="Compact"/>
              <w:jc w:val="center"/>
            </w:pPr>
            <w:r>
              <w:t xml:space="preserve">40.9 (838)</w:t>
            </w:r>
          </w:p>
        </w:tc>
        <w:tc>
          <w:tcPr/>
          <w:p>
            <w:pPr>
              <w:pStyle w:val="Compact"/>
              <w:jc w:val="center"/>
            </w:pPr>
            <w:r>
              <w:t xml:space="preserve">0.51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0.18 (3,645)</w:t>
            </w:r>
          </w:p>
        </w:tc>
        <w:tc>
          <w:tcPr/>
          <w:p>
            <w:pPr>
              <w:pStyle w:val="Compact"/>
              <w:jc w:val="center"/>
            </w:pPr>
            <w:r>
              <w:t xml:space="preserve">21.3 (20)</w:t>
            </w:r>
          </w:p>
        </w:tc>
        <w:tc>
          <w:tcPr/>
          <w:p>
            <w:pPr>
              <w:pStyle w:val="Compact"/>
              <w:jc w:val="center"/>
            </w:pPr>
            <w:r>
              <w:t xml:space="preserve">0.18 (859)</w:t>
            </w:r>
          </w:p>
        </w:tc>
        <w:tc>
          <w:tcPr/>
          <w:p>
            <w:pPr>
              <w:pStyle w:val="Compact"/>
              <w:jc w:val="center"/>
            </w:pPr>
            <w:r>
              <w:t xml:space="preserve">5.6 (235)</w:t>
            </w:r>
          </w:p>
        </w:tc>
        <w:tc>
          <w:tcPr/>
          <w:p>
            <w:pPr>
              <w:pStyle w:val="Compact"/>
              <w:jc w:val="center"/>
            </w:pPr>
            <w:r>
              <w:t xml:space="preserve">0.16 (1,322)</w:t>
            </w:r>
          </w:p>
        </w:tc>
        <w:tc>
          <w:tcPr/>
          <w:p>
            <w:pPr>
              <w:pStyle w:val="Compact"/>
              <w:jc w:val="center"/>
            </w:pPr>
            <w:r>
              <w:t xml:space="preserve">24.0 (491)</w:t>
            </w:r>
          </w:p>
        </w:tc>
        <w:tc>
          <w:tcPr/>
          <w:p>
            <w:pPr>
              <w:pStyle w:val="Compact"/>
              <w:jc w:val="center"/>
            </w:pPr>
            <w:r>
              <w:t xml:space="preserve">0.26 (1,464)</w:t>
            </w:r>
          </w:p>
        </w:tc>
      </w:tr>
      <w:tr>
        <w:tc>
          <w:tcPr/>
          <w:p>
            <w:pPr>
              <w:pStyle w:val="Compact"/>
              <w:jc w:val="left"/>
            </w:pPr>
            <m:oMath>
              <m:r>
                <m:t>ρ</m:t>
              </m:r>
            </m:oMath>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0.36</w:t>
            </w:r>
          </w:p>
        </w:tc>
        <w:tc>
          <w:tcPr/>
          <w:p>
            <w:pPr>
              <w:pStyle w:val="Compact"/>
              <w:jc w:val="center"/>
            </w:pPr>
            <w:r>
              <w:t xml:space="preserve">0.73</w:t>
            </w:r>
          </w:p>
        </w:tc>
        <w:tc>
          <w:tcPr/>
          <w:p>
            <w:pPr>
              <w:pStyle w:val="Compact"/>
              <w:jc w:val="center"/>
            </w:pPr>
            <w:r>
              <w:t xml:space="preserve">0.61</w:t>
            </w:r>
          </w:p>
        </w:tc>
        <w:tc>
          <w:tcPr/>
          <w:p>
            <w:pPr>
              <w:pStyle w:val="Compact"/>
              <w:jc w:val="center"/>
            </w:pPr>
            <w:r>
              <w:t xml:space="preserve">0.91</w:t>
            </w:r>
          </w:p>
        </w:tc>
        <w:tc>
          <w:tcPr/>
          <w:p>
            <w:pPr>
              <w:pStyle w:val="Compact"/>
              <w:jc w:val="center"/>
            </w:pPr>
            <w:r>
              <w:t xml:space="preserve">0.45</w:t>
            </w:r>
          </w:p>
        </w:tc>
        <w:tc>
          <w:tcPr/>
          <w:p>
            <w:pPr>
              <w:pStyle w:val="Compact"/>
              <w:jc w:val="center"/>
            </w:pPr>
            <w:r>
              <w:t xml:space="preserve">0.97</w:t>
            </w:r>
          </w:p>
        </w:tc>
      </w:tr>
    </w:tbl>
    <w:bookmarkEnd w:id="144"/>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confirms the null is not an artefact of comparing an AI-specific research intersection with a broader policy union: the curated AI/SDG construction reproduces the full-corpus cancellation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m:t>
        </m:r>
      </m:oMath>
      <w:r>
        <w:t xml:space="preserve">,</w:t>
      </w:r>
      <w:r>
        <w:t xml:space="preserve"> </w:t>
      </w:r>
      <m:oMath>
        <m:r>
          <m:t>p</m:t>
        </m:r>
        <m:r>
          <m:rPr>
            <m:sty m:val="p"/>
          </m:rPr>
          <m:t>=</m:t>
        </m:r>
        <m:r>
          <m:t>0.014</m:t>
        </m:r>
      </m:oMath>
      <w:r>
        <w:t xml:space="preserve">;</w:t>
      </w:r>
      <w:r>
        <w:t xml:space="preserve"> </w:t>
      </w:r>
      <m:oMath>
        <m:r>
          <m:t>ρ</m:t>
        </m:r>
        <m:r>
          <m:rPr>
            <m:sty m:val="p"/>
          </m:rPr>
          <m:t>=</m:t>
        </m:r>
        <m:r>
          <m:t>0.42</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bookmarkStart w:id="145" w:name="tab:policy-source-family-h25"/>
    <w:p>
      <w:pPr>
        <w:pStyle w:val="TableCaption"/>
      </w:pPr>
      <w:r>
        <w:t xml:space="preserve">Per-family interaction test: coverage predictors vs the within-SDG semantic gap.</w:t>
      </w:r>
    </w:p>
    <w:tbl>
      <w:tblPr>
        <w:tblStyle w:val="Table"/>
        <w:tblW w:type="auto" w:w="0"/>
        <w:tblLook w:firstRow="1" w:lastRow="0" w:firstColumn="0" w:lastColumn="0" w:noHBand="0" w:noVBand="0" w:val="0020"/>
        <w:jc w:val="start"/>
        <w:tblCaption w:val="Per-family interaction test: coverage predictors vs the within-SDG semantic gap."/>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0.45 (0.071)</w:t>
            </w:r>
          </w:p>
        </w:tc>
        <w:tc>
          <w:tcPr/>
          <w:p>
            <w:pPr>
              <w:pStyle w:val="Compact"/>
              <w:jc w:val="center"/>
            </w:pPr>
            <w:r>
              <w:t xml:space="preserve">-0.01 (0.959)</w:t>
            </w:r>
          </w:p>
        </w:tc>
        <w:tc>
          <w:tcPr/>
          <w:p>
            <w:pPr>
              <w:pStyle w:val="Compact"/>
              <w:jc w:val="center"/>
            </w:pPr>
            <w:r>
              <w:t xml:space="preserve">0.61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-0.06 (0.833)</w:t>
            </w:r>
          </w:p>
        </w:tc>
        <w:tc>
          <w:tcPr/>
          <w:p>
            <w:pPr>
              <w:pStyle w:val="Compact"/>
              <w:jc w:val="center"/>
            </w:pPr>
            <w:r>
              <w:t xml:space="preserve">-0.22 (0.386)</w:t>
            </w:r>
          </w:p>
        </w:tc>
        <w:tc>
          <w:tcPr/>
          <w:p>
            <w:pPr>
              <w:pStyle w:val="Compact"/>
              <w:jc w:val="center"/>
            </w:pPr>
            <w:r>
              <w:t xml:space="preserve">0.05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0.60 (0.014)</w:t>
            </w:r>
          </w:p>
        </w:tc>
        <w:tc>
          <w:tcPr/>
          <w:p>
            <w:pPr>
              <w:pStyle w:val="Compact"/>
              <w:jc w:val="center"/>
            </w:pPr>
            <w:r>
              <w:t xml:space="preserve">0.04 (0.873)</w:t>
            </w:r>
          </w:p>
        </w:tc>
        <w:tc>
          <w:tcPr/>
          <w:p>
            <w:pPr>
              <w:pStyle w:val="Compact"/>
              <w:jc w:val="center"/>
            </w:pPr>
            <w:r>
              <w:t xml:space="preserve">0.70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 (0.115)</w:t>
            </w:r>
          </w:p>
        </w:tc>
        <w:tc>
          <w:tcPr/>
          <w:p>
            <w:pPr>
              <w:pStyle w:val="Compact"/>
              <w:jc w:val="center"/>
            </w:pPr>
            <w:r>
              <w:t xml:space="preserve">0.35 (0.195)</w:t>
            </w:r>
          </w:p>
        </w:tc>
        <w:tc>
          <w:tcPr/>
          <w:p>
            <w:pPr>
              <w:pStyle w:val="Compact"/>
              <w:jc w:val="center"/>
            </w:pPr>
            <w:r>
              <w:t xml:space="preserve">0.61 (0.024)</w:t>
            </w:r>
          </w:p>
        </w:tc>
      </w:tr>
    </w:tbl>
    <w:bookmarkEnd w:id="145"/>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curated AI/SDG family is the symmetric AI/SDG-vs-AI/SDG control matching the research corpus’s AI</w:t>
      </w:r>
      <w:r>
        <w:t xml:space="preserve"> </w:t>
      </w:r>
      <m:oMath>
        <m:r>
          <m:rPr>
            <m:sty m:val="p"/>
          </m:rPr>
          <m:t>∩</m:t>
        </m:r>
      </m:oMath>
      <w:r>
        <w:t xml:space="preserve"> </w:t>
      </w:r>
      <w:r>
        <w:t xml:space="preserve">SDG scope.</w:t>
      </w:r>
    </w:p>
    <w:bookmarkEnd w:id="146"/>
    <w:bookmarkEnd w:id="147"/>
    <w:bookmarkStart w:id="149"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cancellation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8"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+0.2</w:t>
            </w:r>
            <m:oMath>
              <m:sSup>
                <m:e>
                  <m:r>
                    <m:t>​</m:t>
                  </m:r>
                </m:e>
                <m:sup>
                  <m:r>
                    <m:rPr>
                      <m:sty m:val="p"/>
                    </m:rPr>
                    <m:t>†</m:t>
                  </m:r>
                </m:sup>
              </m:sSup>
            </m:oMath>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w:t>
            </w:r>
            <m:oMath>
              <m:sSup>
                <m:e>
                  <m:r>
                    <m:t>​</m:t>
                  </m:r>
                </m:e>
                <m:sup>
                  <m:r>
                    <m:rPr>
                      <m:sty m:val="p"/>
                    </m:rPr>
                    <m:t>†</m:t>
                  </m:r>
                </m:sup>
              </m:sSup>
            </m:oMath>
          </w:p>
        </w:tc>
        <w:tc>
          <w:tcPr/>
          <w:p>
            <w:pPr>
              <w:pStyle w:val="Compact"/>
              <w:jc w:val="center"/>
            </w:pPr>
            <w:r>
              <w:t xml:space="preserve">-0.0</w:t>
            </w:r>
          </w:p>
        </w:tc>
        <w:tc>
          <w:tcPr/>
          <w:p>
            <w:pPr>
              <w:pStyle w:val="Compact"/>
              <w:jc w:val="center"/>
            </w:pPr>
            <w:r>
              <w:t xml:space="preserve">+0.2</w:t>
            </w:r>
            <m:oMath>
              <m:sSup>
                <m:e>
                  <m:r>
                    <m:t>​</m:t>
                  </m:r>
                </m:e>
                <m:sup>
                  <m:r>
                    <m:rPr>
                      <m:sty m:val="p"/>
                    </m:rPr>
                    <m:t>*</m:t>
                  </m:r>
                </m:sup>
              </m:sSup>
            </m:oMath>
          </w:p>
        </w:tc>
        <w:tc>
          <w:tcPr/>
          <w:p>
            <w:pPr>
              <w:pStyle w:val="Compact"/>
              <w:jc w:val="center"/>
            </w:pPr>
            <w:r>
              <w:t xml:space="preserve">+0.2</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-0.0</w:t>
            </w:r>
          </w:p>
        </w:tc>
        <w:tc>
          <w:tcPr/>
          <w:p>
            <w:pPr>
              <w:pStyle w:val="Compact"/>
              <w:jc w:val="center"/>
            </w:pPr>
            <w:r>
              <w:t xml:space="preserve">+0.3</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+0.2</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r>
                    <m:rPr>
                      <m:sty m:val="p"/>
                    </m:rPr>
                    <m:t>*</m:t>
                  </m:r>
                </m:sup>
              </m:sSup>
            </m:oMath>
          </w:p>
        </w:tc>
        <w:tc>
          <w:tcPr/>
          <w:p>
            <w:pPr>
              <w:pStyle w:val="Compact"/>
              <w:jc w:val="center"/>
            </w:pPr>
            <w:r>
              <w:t xml:space="preserve">+0.2</w:t>
            </w:r>
            <m:oMath>
              <m:sSup>
                <m:e>
                  <m:r>
                    <m:t>​</m:t>
                  </m:r>
                </m:e>
                <m:sup>
                  <m:r>
                    <m:rPr>
                      <m:sty m:val="p"/>
                    </m:rPr>
                    <m:t>†</m:t>
                  </m:r>
                </m:sup>
              </m:sSup>
            </m:oMath>
          </w:p>
        </w:tc>
      </w:tr>
      <w:tr>
        <w:tc>
          <w:tcPr/>
          <w:p>
            <w:pPr>
              <w:pStyle w:val="Compact"/>
            </w:pPr>
          </w:p>
        </w:tc>
        <w:tc>
          <w:tcPr/>
          <w:p>
            <w:pPr>
              <w:pStyle w:val="Compact"/>
              <w:jc w:val="center"/>
            </w:pPr>
            <w:r>
              <w:t xml:space="preserve">(0.1)</w:t>
            </w:r>
          </w:p>
        </w:tc>
        <w:tc>
          <w:tcPr/>
          <w:p>
            <w:pPr>
              <w:pStyle w:val="Compact"/>
            </w:pPr>
          </w:p>
        </w:tc>
        <w:tc>
          <w:tcPr/>
          <w:p>
            <w:pPr>
              <w:pStyle w:val="Compact"/>
              <w:jc w:val="center"/>
            </w:pPr>
            <w:r>
              <w:t xml:space="preserve">(0.2)</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Policy coverage</w:t>
            </w:r>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-0.3</w:t>
            </w:r>
          </w:p>
        </w:tc>
        <w:tc>
          <w:tcPr/>
          <w:p>
            <w:pPr>
              <w:pStyle w:val="Compact"/>
              <w:jc w:val="center"/>
            </w:pPr>
            <w:r>
              <w:t xml:space="preserve">+0.5</w:t>
            </w:r>
            <m:oMath>
              <m:sSup>
                <m:e>
                  <m:r>
                    <m:t>​</m:t>
                  </m:r>
                </m:e>
                <m:sup>
                  <m:r>
                    <m:rPr>
                      <m:sty m:val="p"/>
                    </m:rPr>
                    <m:t>*</m:t>
                  </m:r>
                  <m:r>
                    <m:rPr>
                      <m:sty m:val="p"/>
                    </m:rPr>
                    <m:t>*</m:t>
                  </m:r>
                </m:sup>
              </m:sSup>
            </m:oMath>
          </w:p>
        </w:tc>
        <w:tc>
          <w:tcPr/>
          <w:p>
            <w:pPr>
              <w:pStyle w:val="Compact"/>
              <w:jc w:val="center"/>
            </w:pPr>
            <w:r>
              <w:t xml:space="preserve">-0.1</w:t>
            </w:r>
          </w:p>
        </w:tc>
        <w:tc>
          <w:tcPr/>
          <w:p>
            <w:pPr>
              <w:pStyle w:val="Compact"/>
              <w:jc w:val="center"/>
            </w:pPr>
            <w:r>
              <w:t xml:space="preserve">-0.3</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sup>
              </m:sSup>
            </m:oMath>
          </w:p>
        </w:tc>
        <w:tc>
          <w:tcPr/>
          <w:p>
            <w:pPr>
              <w:pStyle w:val="Compact"/>
              <w:jc w:val="center"/>
            </w:pPr>
            <w:r>
              <w:t xml:space="preserve">+1.2</w:t>
            </w:r>
            <m:oMath>
              <m:sSup>
                <m:e>
                  <m:r>
                    <m:t>​</m:t>
                  </m:r>
                </m:e>
                <m:sup>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+0.4</w:t>
            </w:r>
            <m:oMath>
              <m:sSup>
                <m:e>
                  <m:r>
                    <m:t>​</m:t>
                  </m:r>
                </m:e>
                <m:sup>
                  <m:r>
                    <m:rPr>
                      <m:sty m:val="p"/>
                    </m:rPr>
                    <m:t>*</m:t>
                  </m:r>
                  <m:r>
                    <m:rPr>
                      <m:sty m:val="p"/>
                    </m:rPr>
                    <m:t>*</m:t>
                  </m:r>
                </m:sup>
              </m:sSup>
            </m:oMath>
          </w:p>
        </w:tc>
      </w:tr>
      <w:tr>
        <w:tc>
          <w:tcPr/>
          <w:p>
            <w:pPr>
              <w:pStyle w:val="Compact"/>
            </w:pP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(0.7)</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r>
      <w:tr>
        <w:tc>
          <w:tcPr/>
          <w:p>
            <w:pPr>
              <w:pStyle w:val="Compact"/>
              <w:jc w:val="left"/>
            </w:pPr>
            <w:r>
              <w:t xml:space="preserve">MiniLM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+0.5</w:t>
            </w:r>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-0.0</w:t>
            </w:r>
            <m:oMath>
              <m:sSup>
                <m:e>
                  <m:r>
                    <m:t>​</m:t>
                  </m:r>
                </m:e>
                <m:sup>
                  <m:r>
                    <m:rPr>
                      <m:sty m:val="p"/>
                    </m:rPr>
                    <m:t>*</m:t>
                  </m:r>
                  <m:r>
                    <m:rPr>
                      <m:sty m:val="p"/>
                    </m:rPr>
                    <m:t>*</m:t>
                  </m:r>
                </m:sup>
              </m:sSup>
            </m:oMath>
          </w:p>
        </w:tc>
        <w:tc>
          <w:tcPr/>
          <w:p>
            <w:pPr>
              <w:pStyle w:val="Compact"/>
              <w:jc w:val="center"/>
            </w:pPr>
            <w:r>
              <w:t xml:space="preserve">+0.2</w:t>
            </w:r>
          </w:p>
        </w:tc>
        <w:tc>
          <w:tcPr/>
          <w:p>
            <w:pPr>
              <w:pStyle w:val="Compact"/>
              <w:jc w:val="center"/>
            </w:pPr>
            <w:r>
              <w:t xml:space="preserve">+0.1</w:t>
            </w:r>
          </w:p>
        </w:tc>
      </w:tr>
      <w:tr>
        <w:tc>
          <w:tcPr/>
          <w:p>
            <w:pPr>
              <w:pStyle w:val="Compact"/>
            </w:pP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(0.9)</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(0.9)</w:t>
            </w:r>
          </w:p>
        </w:tc>
        <w:tc>
          <w:tcPr/>
          <w:p>
            <w:pPr>
              <w:pStyle w:val="Compact"/>
              <w:jc w:val="center"/>
            </w:pPr>
            <w:r>
              <w:t xml:space="preserve">(0.8)</w:t>
            </w:r>
          </w:p>
        </w:tc>
        <w:tc>
          <w:tcPr/>
          <w:p>
            <w:pPr>
              <w:pStyle w:val="Compact"/>
            </w:pP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(0.8)</w:t>
            </w:r>
          </w:p>
        </w:tc>
      </w:tr>
      <w:tr>
        <w:tc>
          <w:tcPr/>
          <w:p>
            <w:pPr>
              <w:pStyle w:val="Compact"/>
              <w:jc w:val="left"/>
            </w:pPr>
            <w:r>
              <w:t xml:space="preserve">SciBERT (vs. MPNet)</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+2.6</w:t>
            </w:r>
            <m:oMath>
              <m:sSup>
                <m:e>
                  <m:r>
                    <m:t>​</m:t>
                  </m:r>
                </m:e>
                <m:sup>
                  <m:r>
                    <m:rPr>
                      <m:sty m:val="p"/>
                    </m:rPr>
                    <m:t>*</m:t>
                  </m:r>
                </m:sup>
              </m:sSup>
            </m:oMath>
          </w:p>
        </w:tc>
        <w:tc>
          <w:tcPr/>
          <w:p>
            <w:pPr>
              <w:pStyle w:val="Compact"/>
              <w:jc w:val="center"/>
            </w:pPr>
            <w:r>
              <w:t xml:space="preserve">-0.1</w:t>
            </w:r>
          </w:p>
        </w:tc>
        <w:tc>
          <w:tcPr/>
          <w:p>
            <w:pPr>
              <w:pStyle w:val="Compact"/>
              <w:jc w:val="center"/>
            </w:pPr>
            <w:r>
              <w:t xml:space="preserve">-0.1</w:t>
            </w:r>
          </w:p>
        </w:tc>
        <w:tc>
          <w:tcPr/>
          <w:p>
            <w:pPr>
              <w:pStyle w:val="Compact"/>
              <w:jc w:val="center"/>
            </w:pPr>
            <w:r>
              <w:t xml:space="preserve">+2.8</w:t>
            </w:r>
            <m:oMath>
              <m:sSup>
                <m:e>
                  <m:r>
                    <m:t>​</m:t>
                  </m:r>
                </m:e>
                <m:sup>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-3.4</w:t>
            </w:r>
          </w:p>
        </w:tc>
        <w:tc>
          <w:tcPr/>
          <w:p>
            <w:pPr>
              <w:pStyle w:val="Compact"/>
              <w:jc w:val="center"/>
            </w:pPr>
            <w:r>
              <w:t xml:space="preserve">-0.1</w:t>
            </w:r>
          </w:p>
        </w:tc>
      </w:tr>
      <w:tr>
        <w:tc>
          <w:tcPr/>
          <w:p>
            <w:pPr>
              <w:pStyle w:val="Compact"/>
            </w:pP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(1.1)</w:t>
            </w:r>
          </w:p>
        </w:tc>
        <w:tc>
          <w:tcPr/>
          <w:p>
            <w:pPr>
              <w:pStyle w:val="Compact"/>
            </w:pP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(2.1)</w:t>
            </w:r>
          </w:p>
        </w:tc>
        <w:tc>
          <w:tcPr/>
          <w:p>
            <w:pPr>
              <w:pStyle w:val="Compact"/>
              <w:jc w:val="center"/>
            </w:pPr>
            <w:r>
              <w:t xml:space="preserve">(1.1)</w:t>
            </w:r>
          </w:p>
        </w:tc>
      </w:tr>
      <w:tr>
        <w:tc>
          <w:tcPr/>
          <w:p>
            <w:pPr>
              <w:pStyle w:val="Compact"/>
              <w:jc w:val="left"/>
            </w:pPr>
            <w:r>
              <w:t xml:space="preserve">Concept (vs. keyword)</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-0.1</w:t>
            </w:r>
          </w:p>
        </w:tc>
        <w:tc>
          <w:tcPr/>
          <w:p>
            <w:pPr>
              <w:pStyle w:val="Compact"/>
              <w:jc w:val="center"/>
            </w:pPr>
            <w:r>
              <w:t xml:space="preserve">-0.6</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+0.1</w:t>
            </w:r>
            <m:oMath>
              <m:sSup>
                <m:e>
                  <m:r>
                    <m:t>​</m:t>
                  </m:r>
                </m:e>
                <m:sup>
                  <m:r>
                    <m:rPr>
                      <m:sty m:val="p"/>
                    </m:rPr>
                    <m:t>*</m:t>
                  </m:r>
                  <m:r>
                    <m:rPr>
                      <m:sty m:val="p"/>
                    </m:rPr>
                    <m:t>*</m:t>
                  </m:r>
                  <m:r>
                    <m:rPr>
                      <m:sty m:val="p"/>
                    </m:rPr>
                    <m:t>*</m:t>
                  </m:r>
                </m:sup>
              </m:sSup>
            </m:oMath>
          </w:p>
        </w:tc>
        <w:tc>
          <w:tcPr/>
          <w:p>
            <w:pPr>
              <w:pStyle w:val="Compact"/>
              <w:jc w:val="center"/>
            </w:pPr>
            <w:r>
              <w:t xml:space="preserve">-1.0</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(1.0)</w:t>
            </w:r>
          </w:p>
        </w:tc>
        <w:tc>
          <w:tcPr/>
          <w:p>
            <w:pPr>
              <w:pStyle w:val="Compact"/>
              <w:jc w:val="center"/>
            </w:pPr>
            <w:r>
              <w:t xml:space="preserve">(0.6)</w:t>
            </w:r>
          </w:p>
        </w:tc>
        <w:tc>
          <w:tcPr/>
          <w:p>
            <w:pPr>
              <w:pStyle w:val="Compact"/>
              <w:jc w:val="center"/>
            </w:pPr>
            <w:r>
              <w:t xml:space="preserve">(0.7)</w:t>
            </w:r>
          </w:p>
        </w:tc>
        <w:tc>
          <w:tcPr/>
          <w:p>
            <w:pPr>
              <w:pStyle w:val="Compact"/>
              <w:jc w:val="center"/>
            </w:pPr>
            <w:r>
              <w:t xml:space="preserve">(0.7)</w:t>
            </w:r>
          </w:p>
        </w:tc>
        <w:tc>
          <w:tcPr/>
          <w:p>
            <w:pPr>
              <w:pStyle w:val="Compact"/>
            </w:pP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(1.0)</w:t>
            </w:r>
          </w:p>
        </w:tc>
        <w:tc>
          <w:tcPr/>
          <w:p>
            <w:pPr>
              <w:pStyle w:val="Compact"/>
              <w:jc w:val="center"/>
            </w:pPr>
            <w:r>
              <w:t xml:space="preserve">(0.7)</w:t>
            </w:r>
          </w:p>
        </w:tc>
        <w:tc>
          <w:tcPr/>
          <w:p>
            <w:pPr>
              <w:pStyle w:val="Compact"/>
              <w:jc w:val="center"/>
            </w:pPr>
            <w:r>
              <w:t xml:space="preserve">(0.8)</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(1.2)</w:t>
            </w:r>
          </w:p>
        </w:tc>
        <w:tc>
          <w:tcPr/>
          <w:p>
            <w:pPr>
              <w:pStyle w:val="Compact"/>
              <w:jc w:val="center"/>
            </w:pPr>
            <w:r>
              <w:t xml:space="preserve">(0.7)</w:t>
            </w:r>
          </w:p>
        </w:tc>
      </w:tr>
      <w:tr>
        <w:tc>
          <w:tcPr/>
          <w:p>
            <w:pPr>
              <w:pStyle w:val="Compact"/>
              <w:jc w:val="left"/>
            </w:pPr>
            <w:r>
              <w:t xml:space="preserve">Cap 20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-0.1</w:t>
            </w:r>
          </w:p>
        </w:tc>
        <w:tc>
          <w:tcPr/>
          <w:p>
            <w:pPr>
              <w:pStyle w:val="Compact"/>
              <w:jc w:val="center"/>
            </w:pPr>
            <w:r>
              <w:t xml:space="preserve">-0.0</w:t>
            </w:r>
          </w:p>
        </w:tc>
      </w:tr>
      <w:tr>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(0.2)</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(0.3)</w:t>
            </w:r>
          </w:p>
        </w:tc>
        <w:tc>
          <w:tcPr/>
          <w:p>
            <w:pPr>
              <w:pStyle w:val="Compact"/>
              <w:jc w:val="center"/>
            </w:pPr>
            <w:r>
              <w:t xml:space="preserve">(0.1)</w:t>
            </w:r>
          </w:p>
        </w:tc>
      </w:tr>
      <w:tr>
        <w:tc>
          <w:tcPr/>
          <w:p>
            <w:pPr>
              <w:pStyle w:val="Compact"/>
              <w:jc w:val="left"/>
            </w:pPr>
            <w:r>
              <w:t xml:space="preserve">No cap (vs. 50)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-0.2</w:t>
            </w:r>
          </w:p>
        </w:tc>
        <w:tc>
          <w:tcPr/>
          <w:p>
            <w:pPr>
              <w:pStyle w:val="Compact"/>
              <w:jc w:val="center"/>
            </w:pPr>
            <w:r>
              <w:t xml:space="preserve">-0.0</w:t>
            </w:r>
          </w:p>
        </w:tc>
      </w:tr>
      <w:tr>
        <w:tc>
          <w:tcPr/>
          <w:p>
            <w:pPr>
              <w:pStyle w:val="Compact"/>
            </w:pP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(0.3)</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(0.2)</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(0.4)</w:t>
            </w:r>
          </w:p>
        </w:tc>
        <w:tc>
          <w:tcPr/>
          <w:p>
            <w:pPr>
              <w:pStyle w:val="Compact"/>
              <w:jc w:val="center"/>
            </w:pPr>
            <w:r>
              <w:t xml:space="preserve">(0.2)</w:t>
            </w:r>
          </w:p>
        </w:tc>
      </w:tr>
      <w:tr>
        <w:tc>
          <w:tcPr/>
          <w:p>
            <w:pPr>
              <w:pStyle w:val="Compact"/>
              <w:jc w:val="left"/>
            </w:pPr>
            <w:r>
              <w:t xml:space="preserve">MLP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+0.6</w:t>
            </w:r>
          </w:p>
        </w:tc>
        <w:tc>
          <w:tcPr/>
          <w:p>
            <w:pPr>
              <w:pStyle w:val="Compact"/>
              <w:jc w:val="center"/>
            </w:pPr>
            <w:r>
              <w:t xml:space="preserve">+0.5</w:t>
            </w:r>
          </w:p>
        </w:tc>
        <w:tc>
          <w:tcPr/>
          <w:p>
            <w:pPr>
              <w:pStyle w:val="Compact"/>
              <w:jc w:val="center"/>
            </w:pPr>
            <w:r>
              <w:t xml:space="preserve">+0.0</w:t>
            </w:r>
            <m:oMath>
              <m:sSup>
                <m:e>
                  <m:r>
                    <m:t>​</m:t>
                  </m:r>
                </m:e>
                <m:sup>
                  <m:r>
                    <m:rPr>
                      <m:sty m:val="p"/>
                    </m:rPr>
                    <m:t>*</m:t>
                  </m:r>
                </m:sup>
              </m:sSup>
            </m:oMath>
          </w:p>
        </w:tc>
        <w:tc>
          <w:tcPr/>
          <w:p>
            <w:pPr>
              <w:pStyle w:val="Compact"/>
              <w:jc w:val="center"/>
            </w:pPr>
            <w:r>
              <w:t xml:space="preserve">+0.0</w:t>
            </w:r>
            <m:oMath>
              <m:sSup>
                <m:e>
                  <m:r>
                    <m:t>​</m:t>
                  </m:r>
                </m:e>
                <m:sup>
                  <m:r>
                    <m:rPr>
                      <m:sty m:val="p"/>
                    </m:rPr>
                    <m:t>*</m:t>
                  </m:r>
                </m:sup>
              </m:sSup>
            </m:oMath>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(0.3)</w:t>
            </w:r>
          </w:p>
        </w:tc>
        <w:tc>
          <w:tcPr/>
          <w:p>
            <w:pPr>
              <w:pStyle w:val="Compact"/>
              <w:jc w:val="center"/>
            </w:pPr>
            <w:r>
              <w:t xml:space="preserve">(0.3)</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(0.3)</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(0.6)</w:t>
            </w:r>
          </w:p>
        </w:tc>
        <w:tc>
          <w:tcPr/>
          <w:p>
            <w:pPr>
              <w:pStyle w:val="Compact"/>
            </w:pPr>
          </w:p>
        </w:tc>
        <w:tc>
          <w:tcPr/>
          <w:p>
            <w:pPr>
              <w:pStyle w:val="Compact"/>
              <w:jc w:val="center"/>
            </w:pPr>
            <w:r>
              <w:t xml:space="preserve">(0.4)</w:t>
            </w:r>
          </w:p>
        </w:tc>
        <w:tc>
          <w:tcPr/>
          <w:p>
            <w:pPr>
              <w:pStyle w:val="Compact"/>
              <w:jc w:val="center"/>
            </w:pPr>
            <w:r>
              <w:t xml:space="preserve">(0.4)</w:t>
            </w:r>
          </w:p>
        </w:tc>
        <w:tc>
          <w:tcPr/>
          <w:p>
            <w:pPr>
              <w:pStyle w:val="Compact"/>
              <w:jc w:val="center"/>
            </w:pPr>
            <w:r>
              <w:t xml:space="preserve">(0.5)</w:t>
            </w:r>
          </w:p>
        </w:tc>
        <w:tc>
          <w:tcPr/>
          <w:p>
            <w:pPr>
              <w:pStyle w:val="Compact"/>
              <w:jc w:val="center"/>
            </w:pPr>
            <w:r>
              <w:t xml:space="preserve">(0.5)</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(0.9)</w:t>
            </w:r>
          </w:p>
        </w:tc>
        <w:tc>
          <w:tcPr/>
          <w:p>
            <w:pPr>
              <w:pStyle w:val="Compact"/>
              <w:jc w:val="center"/>
            </w:pPr>
            <w:r>
              <w:t xml:space="preserve">(0.4)</w:t>
            </w:r>
          </w:p>
        </w:tc>
      </w:tr>
      <w:tr>
        <w:tc>
          <w:tcPr/>
          <w:p>
            <w:pPr>
              <w:pStyle w:val="Compact"/>
              <w:jc w:val="left"/>
            </w:pPr>
            <w:r>
              <w:t xml:space="preserve">ZS (vs. LR)</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-0.8</w:t>
            </w:r>
          </w:p>
        </w:tc>
        <w:tc>
          <w:tcPr/>
          <w:p>
            <w:pPr>
              <w:pStyle w:val="Compact"/>
              <w:jc w:val="center"/>
            </w:pPr>
            <w:r>
              <w:t xml:space="preserve">+0.0</w:t>
            </w:r>
          </w:p>
        </w:tc>
      </w:tr>
      <w:tr>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(0.8)</w:t>
            </w:r>
          </w:p>
        </w:tc>
        <w:tc>
          <w:tcPr/>
          <w:p>
            <w:pPr>
              <w:pStyle w:val="Compact"/>
              <w:jc w:val="center"/>
            </w:pPr>
            <w:r>
              <w:t xml:space="preserve">(0.8)</w:t>
            </w:r>
          </w:p>
        </w:tc>
        <w:tc>
          <w:tcPr/>
          <w:p>
            <w:pPr>
              <w:pStyle w:val="Compact"/>
              <w:jc w:val="center"/>
            </w:pPr>
            <w:r>
              <w:t xml:space="preserve">(0.7)</w:t>
            </w:r>
          </w:p>
        </w:tc>
        <w:tc>
          <w:tcPr/>
          <w:p>
            <w:pPr>
              <w:pStyle w:val="Compact"/>
              <w:jc w:val="center"/>
            </w:pPr>
            <w:r>
              <w:t xml:space="preserve">(1.3)</w:t>
            </w:r>
          </w:p>
        </w:tc>
        <w:tc>
          <w:tcPr/>
          <w:p>
            <w:pPr>
              <w:pStyle w:val="Compact"/>
              <w:jc w:val="center"/>
            </w:pPr>
            <w:r>
              <w:t xml:space="preserve">(0.8)</w:t>
            </w:r>
          </w:p>
        </w:tc>
        <w:tc>
          <w:tcPr/>
          <w:p>
            <w:pPr>
              <w:pStyle w:val="Compact"/>
            </w:pPr>
          </w:p>
        </w:tc>
        <w:tc>
          <w:tcPr/>
          <w:p>
            <w:pPr>
              <w:pStyle w:val="Compact"/>
              <w:jc w:val="center"/>
            </w:pPr>
            <w:r>
              <w:t xml:space="preserve">(0.7)</w:t>
            </w:r>
          </w:p>
        </w:tc>
        <w:tc>
          <w:tcPr/>
          <w:p>
            <w:pPr>
              <w:pStyle w:val="Compact"/>
            </w:pPr>
          </w:p>
        </w:tc>
        <w:tc>
          <w:tcPr/>
          <w:p>
            <w:pPr>
              <w:pStyle w:val="Compact"/>
              <w:jc w:val="center"/>
            </w:pPr>
            <w:r>
              <w:t xml:space="preserve">(0.7)</w:t>
            </w:r>
          </w:p>
        </w:tc>
        <w:tc>
          <w:tcPr/>
          <w:p>
            <w:pPr>
              <w:pStyle w:val="Compact"/>
              <w:jc w:val="center"/>
            </w:pPr>
            <w:r>
              <w:t xml:space="preserve">(1.0)</w:t>
            </w:r>
          </w:p>
        </w:tc>
        <w:tc>
          <w:tcPr/>
          <w:p>
            <w:pPr>
              <w:pStyle w:val="Compact"/>
            </w:pPr>
          </w:p>
        </w:tc>
        <w:tc>
          <w:tcPr/>
          <w:p>
            <w:pPr>
              <w:pStyle w:val="Compact"/>
              <w:jc w:val="center"/>
            </w:pPr>
            <w:r>
              <w:t xml:space="preserve">(0.7)</w:t>
            </w:r>
          </w:p>
        </w:tc>
        <w:tc>
          <w:tcPr/>
          <w:p>
            <w:pPr>
              <w:pStyle w:val="Compact"/>
              <w:jc w:val="center"/>
            </w:pPr>
            <w:r>
              <w:t xml:space="preserve">(0.7)</w:t>
            </w:r>
          </w:p>
        </w:tc>
        <w:tc>
          <w:tcPr/>
          <w:p>
            <w:pPr>
              <w:pStyle w:val="Compact"/>
              <w:jc w:val="center"/>
            </w:pPr>
            <w:r>
              <w:t xml:space="preserve">(0.9)</w:t>
            </w:r>
          </w:p>
        </w:tc>
        <w:tc>
          <w:tcPr/>
          <w:p>
            <w:pPr>
              <w:pStyle w:val="Compact"/>
              <w:jc w:val="center"/>
            </w:pPr>
            <w:r>
              <w:t xml:space="preserve">(0.9)</w:t>
            </w:r>
          </w:p>
        </w:tc>
        <w:tc>
          <w:tcPr/>
          <w:p>
            <w:pPr>
              <w:pStyle w:val="Compact"/>
              <w:jc w:val="center"/>
            </w:pPr>
            <w:r>
              <w:t xml:space="preserve">(0.0)</w:t>
            </w:r>
          </w:p>
        </w:tc>
        <w:tc>
          <w:tcPr/>
          <w:p>
            <w:pPr>
              <w:pStyle w:val="Compact"/>
              <w:jc w:val="center"/>
            </w:pPr>
            <w:r>
              <w:t xml:space="preserve">(0.0)</w:t>
            </w:r>
          </w:p>
        </w:tc>
        <w:tc>
          <w:tcPr/>
          <w:p>
            <w:pPr>
              <w:pStyle w:val="Compact"/>
              <w:jc w:val="center"/>
            </w:pPr>
            <w:r>
              <w:t xml:space="preserve">(1.3)</w:t>
            </w:r>
          </w:p>
        </w:tc>
        <w:tc>
          <w:tcPr/>
          <w:p>
            <w:pPr>
              <w:pStyle w:val="Compact"/>
              <w:jc w:val="center"/>
            </w:pPr>
            <w:r>
              <w:t xml:space="preserve">(0.7)</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jc w:val="center"/>
            </w:pPr>
            <w:r>
              <w:t xml:space="preserve">(3.9)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jc w:val="center"/>
            </w:pPr>
            <w:r>
              <w:t xml:space="preserve">(4.3)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jc w:val="center"/>
            </w:pPr>
            <w: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jc w:val="center"/>
            </w:pPr>
            <w:r>
              <w:t xml:space="preserve">(3.7)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jc w:val="center"/>
            </w:pPr>
            <w:r>
              <w:t xml:space="preserve">(4.2)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jc w:val="center"/>
            </w:pPr>
            <w:r>
              <w:t xml:space="preserve">(4.1)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jc w:val="center"/>
            </w:pPr>
            <w:r>
              <w:t xml:space="preserve">(5.2)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jc w:val="center"/>
            </w:pPr>
            <w:r>
              <w:t xml:space="preserve">(3.6)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jc w:val="center"/>
            </w:pPr>
            <w:r>
              <w:t xml:space="preserve">(4.7)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jc w:val="center"/>
            </w:pPr>
            <w:r>
              <w:t xml:space="preserve">(0.8)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jc w:val="center"/>
            </w:pPr>
            <w:r>
              <w:t xml:space="preserve">(4.6)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jc w:val="center"/>
            </w:pPr>
            <w:r>
              <w:t xml:space="preserve">(4.4)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jc w:val="center"/>
            </w:pPr>
            <w:r>
              <w:t xml:space="preserve">(5.7)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-0.5</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pP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m:oMath>
              <m:sSup>
                <m:e>
                  <m:r>
                    <m:t>​</m:t>
                  </m:r>
                </m:e>
                <m:sup>
                  <m:r>
                    <m:rPr>
                      <m:sty m:val="p"/>
                    </m:rPr>
                    <m:t>†</m:t>
                  </m:r>
                </m:sup>
              </m:sSup>
            </m:oMath>
          </w:p>
        </w:tc>
        <w:tc>
          <w:tcPr/>
          <w:p>
            <w:pPr>
              <w:pStyle w:val="Compact"/>
              <w:jc w:val="center"/>
            </w:pPr>
            <w:r>
              <w:t xml:space="preserve">-0.1</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w:t>
            </w:r>
          </w:p>
        </w:tc>
        <w:tc>
          <w:tcPr/>
          <w:p>
            <w:pPr>
              <w:pStyle w:val="Compact"/>
              <w:jc w:val="center"/>
            </w:pPr>
            <w:r>
              <w:t xml:space="preserve">(0.0)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w:t>
            </w:r>
          </w:p>
        </w:tc>
        <w:tc>
          <w:tcPr/>
          <w:p>
            <w:pPr>
              <w:pStyle w:val="Compact"/>
              <w:jc w:val="center"/>
            </w:pPr>
            <w:r>
              <w:t xml:space="preserve">-0.1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w:t>
            </w:r>
          </w:p>
        </w:tc>
        <w:tc>
          <w:tcPr/>
          <w:p>
            <w:pPr>
              <w:pStyle w:val="Compact"/>
              <w:jc w:val="center"/>
            </w:pPr>
            <w:r>
              <w:t xml:space="preserve">(0.1)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8"/>
    <w:bookmarkEnd w:id="149"/>
    <w:bookmarkStart w:id="272"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50"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50"/>
    <w:bookmarkStart w:id="271" w:name="refs"/>
    <w:bookmarkStart w:id="152"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1">
        <w:r>
          <w:rPr>
            <w:rStyle w:val="Hyperlink"/>
          </w:rPr>
          <w:t xml:space="preserve">10.3982/ECTA12675</w:t>
        </w:r>
      </w:hyperlink>
      <w:r>
        <w:t xml:space="preserve">.</w:t>
      </w:r>
    </w:p>
    <w:bookmarkEnd w:id="152"/>
    <w:bookmarkStart w:id="154"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3">
        <w:r>
          <w:rPr>
            <w:rStyle w:val="Hyperlink"/>
          </w:rPr>
          <w:t xml:space="preserve">https://arxiv.org/abs/1610.01644</w:t>
        </w:r>
      </w:hyperlink>
      <w:r>
        <w:t xml:space="preserve">.</w:t>
      </w:r>
    </w:p>
    <w:bookmarkEnd w:id="154"/>
    <w:bookmarkStart w:id="156"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5">
        <w:r>
          <w:rPr>
            <w:rStyle w:val="Hyperlink"/>
          </w:rPr>
          <w:t xml:space="preserve">10.1162/qss_a_00071</w:t>
        </w:r>
      </w:hyperlink>
      <w:r>
        <w:t xml:space="preserve">.</w:t>
      </w:r>
    </w:p>
    <w:bookmarkEnd w:id="156"/>
    <w:bookmarkStart w:id="158"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7">
        <w:r>
          <w:rPr>
            <w:rStyle w:val="Hyperlink"/>
          </w:rPr>
          <w:t xml:space="preserve">10.31341/jios.44.2.2</w:t>
        </w:r>
      </w:hyperlink>
      <w:r>
        <w:t xml:space="preserve">.</w:t>
      </w:r>
    </w:p>
    <w:bookmarkEnd w:id="158"/>
    <w:bookmarkStart w:id="160"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9">
        <w:r>
          <w:rPr>
            <w:rStyle w:val="Hyperlink"/>
          </w:rPr>
          <w:t xml:space="preserve">10.3389/frsus.2021.620743</w:t>
        </w:r>
      </w:hyperlink>
      <w:r>
        <w:t xml:space="preserve">.</w:t>
      </w:r>
    </w:p>
    <w:bookmarkEnd w:id="160"/>
    <w:bookmarkStart w:id="162"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1">
        <w:r>
          <w:rPr>
            <w:rStyle w:val="Hyperlink"/>
          </w:rPr>
          <w:t xml:space="preserve">10.48550/arXiv.1903.10676</w:t>
        </w:r>
      </w:hyperlink>
      <w:r>
        <w:t xml:space="preserve">.</w:t>
      </w:r>
    </w:p>
    <w:bookmarkEnd w:id="162"/>
    <w:bookmarkStart w:id="164"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3">
        <w:r>
          <w:rPr>
            <w:rStyle w:val="Hyperlink"/>
          </w:rPr>
          <w:t xml:space="preserve">10.2307/271073</w:t>
        </w:r>
      </w:hyperlink>
      <w:r>
        <w:t xml:space="preserve">.</w:t>
      </w:r>
    </w:p>
    <w:bookmarkEnd w:id="164"/>
    <w:bookmarkStart w:id="166"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5">
        <w:r>
          <w:rPr>
            <w:rStyle w:val="Hyperlink"/>
          </w:rPr>
          <w:t xml:space="preserve">10.1080/08039410.2016.1252424</w:t>
        </w:r>
      </w:hyperlink>
      <w:r>
        <w:t xml:space="preserve">.</w:t>
      </w:r>
    </w:p>
    <w:bookmarkEnd w:id="166"/>
    <w:bookmarkStart w:id="167"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7"/>
    <w:bookmarkStart w:id="168"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8"/>
    <w:bookmarkStart w:id="170"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9">
        <w:r>
          <w:rPr>
            <w:rStyle w:val="Hyperlink"/>
          </w:rPr>
          <w:t xml:space="preserve">10.1007/s11192-016-2115-y</w:t>
        </w:r>
      </w:hyperlink>
      <w:r>
        <w:t xml:space="preserve">.</w:t>
      </w:r>
    </w:p>
    <w:bookmarkEnd w:id="170"/>
    <w:bookmarkStart w:id="172"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1">
        <w:r>
          <w:rPr>
            <w:rStyle w:val="Hyperlink"/>
          </w:rPr>
          <w:t xml:space="preserve">10.18653/v1/N19-1181</w:t>
        </w:r>
      </w:hyperlink>
      <w:r>
        <w:t xml:space="preserve">.</w:t>
      </w:r>
    </w:p>
    <w:bookmarkEnd w:id="172"/>
    <w:bookmarkStart w:id="174"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3">
        <w:r>
          <w:rPr>
            <w:rStyle w:val="Hyperlink"/>
          </w:rPr>
          <w:t xml:space="preserve">10.1177/000276427902200308</w:t>
        </w:r>
      </w:hyperlink>
      <w:r>
        <w:t xml:space="preserve">.</w:t>
      </w:r>
    </w:p>
    <w:bookmarkEnd w:id="174"/>
    <w:bookmarkStart w:id="176"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5">
        <w:r>
          <w:rPr>
            <w:rStyle w:val="Hyperlink"/>
          </w:rPr>
          <w:t xml:space="preserve">10.1073/pnas.1231332100</w:t>
        </w:r>
      </w:hyperlink>
      <w:r>
        <w:t xml:space="preserve">.</w:t>
      </w:r>
    </w:p>
    <w:bookmarkEnd w:id="176"/>
    <w:bookmarkStart w:id="178"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7">
        <w:r>
          <w:rPr>
            <w:rStyle w:val="Hyperlink"/>
          </w:rPr>
          <w:t xml:space="preserve">https://arxiv.org/abs/1805.01070</w:t>
        </w:r>
      </w:hyperlink>
      <w:r>
        <w:t xml:space="preserve">.</w:t>
      </w:r>
    </w:p>
    <w:bookmarkEnd w:id="178"/>
    <w:bookmarkStart w:id="180"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9">
        <w:r>
          <w:rPr>
            <w:rStyle w:val="Hyperlink"/>
          </w:rPr>
          <w:t xml:space="preserve">10.1109/TIT.1967.1053964</w:t>
        </w:r>
      </w:hyperlink>
      <w:r>
        <w:t xml:space="preserve">.</w:t>
      </w:r>
    </w:p>
    <w:bookmarkEnd w:id="180"/>
    <w:bookmarkStart w:id="182"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1">
        <w:r>
          <w:rPr>
            <w:rStyle w:val="Hyperlink"/>
          </w:rPr>
          <w:t xml:space="preserve">10.1038/s42256-021-00296-0</w:t>
        </w:r>
      </w:hyperlink>
      <w:r>
        <w:t xml:space="preserve">.</w:t>
      </w:r>
    </w:p>
    <w:bookmarkEnd w:id="182"/>
    <w:bookmarkStart w:id="184" w:name="ref-Cross2013"/>
    <w:p>
      <w:pPr>
        <w:pStyle w:val="Bibliography"/>
      </w:pPr>
      <w:r>
        <w:t xml:space="preserve">Cross, M.K.D. (2013) Rethinking epistemic communities twenty years later.</w:t>
      </w:r>
      <w:r>
        <w:t xml:space="preserve"> </w:t>
      </w:r>
      <w:r>
        <w:rPr>
          <w:iCs/>
          <w:i/>
        </w:rPr>
        <w:t xml:space="preserve">Review of International Studies</w:t>
      </w:r>
      <w:r>
        <w:t xml:space="preserve">, 39 (1): 137–160. doi:</w:t>
      </w:r>
      <w:hyperlink r:id="rId183">
        <w:r>
          <w:rPr>
            <w:rStyle w:val="Hyperlink"/>
          </w:rPr>
          <w:t xml:space="preserve">10.1017/S0260210512000034</w:t>
        </w:r>
      </w:hyperlink>
      <w:r>
        <w:t xml:space="preserve">.</w:t>
      </w:r>
    </w:p>
    <w:bookmarkEnd w:id="184"/>
    <w:bookmarkStart w:id="186"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5">
        <w:r>
          <w:rPr>
            <w:rStyle w:val="Hyperlink"/>
          </w:rPr>
          <w:t xml:space="preserve">https://eur-lex.europa.eu/legal-content/EN/TXT/?uri=CELEX:32024R1689</w:t>
        </w:r>
      </w:hyperlink>
      <w:r>
        <w:t xml:space="preserve">.</w:t>
      </w:r>
    </w:p>
    <w:bookmarkEnd w:id="186"/>
    <w:bookmarkStart w:id="188"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7">
        <w:r>
          <w:rPr>
            <w:rStyle w:val="Hyperlink"/>
          </w:rPr>
          <w:t xml:space="preserve">10.1080/13552074.2016.1145895</w:t>
        </w:r>
      </w:hyperlink>
      <w:r>
        <w:t xml:space="preserve">.</w:t>
      </w:r>
    </w:p>
    <w:bookmarkEnd w:id="188"/>
    <w:bookmarkStart w:id="189"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9"/>
    <w:bookmarkStart w:id="191"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90">
        <w:r>
          <w:rPr>
            <w:rStyle w:val="Hyperlink"/>
          </w:rPr>
          <w:t xml:space="preserve">10.1109/ACCESS.2025.3595894</w:t>
        </w:r>
      </w:hyperlink>
      <w:r>
        <w:t xml:space="preserve">.</w:t>
      </w:r>
    </w:p>
    <w:bookmarkEnd w:id="191"/>
    <w:bookmarkStart w:id="193"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92">
        <w:r>
          <w:rPr>
            <w:rStyle w:val="Hyperlink"/>
          </w:rPr>
          <w:t xml:space="preserve">10.1038/s41893-025-01598-6</w:t>
        </w:r>
      </w:hyperlink>
      <w:r>
        <w:t xml:space="preserve">.</w:t>
      </w:r>
    </w:p>
    <w:bookmarkEnd w:id="193"/>
    <w:bookmarkStart w:id="195"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4">
        <w:r>
          <w:rPr>
            <w:rStyle w:val="Hyperlink"/>
          </w:rPr>
          <w:t xml:space="preserve">10.3389/frai.2024.1472411</w:t>
        </w:r>
      </w:hyperlink>
      <w:r>
        <w:t xml:space="preserve">.</w:t>
      </w:r>
    </w:p>
    <w:bookmarkEnd w:id="195"/>
    <w:bookmarkStart w:id="197"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6">
        <w:r>
          <w:rPr>
            <w:rStyle w:val="Hyperlink"/>
          </w:rPr>
          <w:t xml:space="preserve">10.24948/2017.01</w:t>
        </w:r>
      </w:hyperlink>
      <w:r>
        <w:t xml:space="preserve">.</w:t>
      </w:r>
    </w:p>
    <w:bookmarkEnd w:id="197"/>
    <w:bookmarkStart w:id="199"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8">
        <w:r>
          <w:rPr>
            <w:rStyle w:val="Hyperlink"/>
          </w:rPr>
          <w:t xml:space="preserve">10.1177/016224390102600401</w:t>
        </w:r>
      </w:hyperlink>
      <w:r>
        <w:t xml:space="preserve">.</w:t>
      </w:r>
    </w:p>
    <w:bookmarkEnd w:id="199"/>
    <w:bookmarkStart w:id="201"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200">
        <w:r>
          <w:rPr>
            <w:rStyle w:val="Hyperlink"/>
          </w:rPr>
          <w:t xml:space="preserve">10.1017/S0020818300001442</w:t>
        </w:r>
      </w:hyperlink>
      <w:r>
        <w:t xml:space="preserve">.</w:t>
      </w:r>
    </w:p>
    <w:bookmarkEnd w:id="201"/>
    <w:bookmarkStart w:id="203" w:name="ref-Harris1954"/>
    <w:p>
      <w:pPr>
        <w:pStyle w:val="Bibliography"/>
      </w:pPr>
      <w:r>
        <w:t xml:space="preserve">Harris, Z.S. (1954) Distributional structure.</w:t>
      </w:r>
      <w:r>
        <w:t xml:space="preserve"> </w:t>
      </w:r>
      <w:r>
        <w:rPr>
          <w:iCs/>
          <w:i/>
        </w:rPr>
        <w:t xml:space="preserve">WORD</w:t>
      </w:r>
      <w:r>
        <w:t xml:space="preserve">, 10 (2–3): 146–162. doi:</w:t>
      </w:r>
      <w:hyperlink r:id="rId202">
        <w:r>
          <w:rPr>
            <w:rStyle w:val="Hyperlink"/>
          </w:rPr>
          <w:t xml:space="preserve">10.1080/00437956.1954.11659520</w:t>
        </w:r>
      </w:hyperlink>
      <w:r>
        <w:t xml:space="preserve">.</w:t>
      </w:r>
    </w:p>
    <w:bookmarkEnd w:id="203"/>
    <w:bookmarkStart w:id="205"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4">
        <w:r>
          <w:rPr>
            <w:rStyle w:val="Hyperlink"/>
          </w:rPr>
          <w:t xml:space="preserve">10.1007/978-0-387-84858-7</w:t>
        </w:r>
      </w:hyperlink>
      <w:r>
        <w:t xml:space="preserve">.</w:t>
      </w:r>
    </w:p>
    <w:bookmarkEnd w:id="205"/>
    <w:bookmarkStart w:id="207"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6">
        <w:r>
          <w:rPr>
            <w:rStyle w:val="Hyperlink"/>
          </w:rPr>
          <w:t xml:space="preserve">10.1007/s43681-023-00259-8</w:t>
        </w:r>
      </w:hyperlink>
      <w:r>
        <w:t xml:space="preserve">.</w:t>
      </w:r>
    </w:p>
    <w:bookmarkEnd w:id="207"/>
    <w:bookmarkStart w:id="208"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8"/>
    <w:bookmarkStart w:id="210"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9">
        <w:r>
          <w:rPr>
            <w:rStyle w:val="Hyperlink"/>
          </w:rPr>
          <w:t xml:space="preserve">10.1002/csr.2202</w:t>
        </w:r>
      </w:hyperlink>
      <w:r>
        <w:t xml:space="preserve">.</w:t>
      </w:r>
    </w:p>
    <w:bookmarkEnd w:id="210"/>
    <w:bookmarkStart w:id="212" w:name="ref-Hickel2019"/>
    <w:p>
      <w:pPr>
        <w:pStyle w:val="Bibliography"/>
      </w:pPr>
      <w:r>
        <w:t xml:space="preserve">Hickel, J. (2019) The contradiction of the sustainable development goals: Growth versus ecology on a finite planet.</w:t>
      </w:r>
      <w:r>
        <w:t xml:space="preserve"> </w:t>
      </w:r>
      <w:r>
        <w:rPr>
          <w:iCs/>
          <w:i/>
        </w:rPr>
        <w:t xml:space="preserve">Sustainable Development</w:t>
      </w:r>
      <w:r>
        <w:t xml:space="preserve">, 27 (5): 873–884. doi:</w:t>
      </w:r>
      <w:hyperlink r:id="rId211">
        <w:r>
          <w:rPr>
            <w:rStyle w:val="Hyperlink"/>
          </w:rPr>
          <w:t xml:space="preserve">10.1002/sd.1947</w:t>
        </w:r>
      </w:hyperlink>
      <w:r>
        <w:t xml:space="preserve">.</w:t>
      </w:r>
    </w:p>
    <w:bookmarkEnd w:id="212"/>
    <w:bookmarkStart w:id="214"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3">
        <w:r>
          <w:rPr>
            <w:rStyle w:val="Hyperlink"/>
          </w:rPr>
          <w:t xml:space="preserve">https://www.ipcc.ch/report/ar6/wg2/</w:t>
        </w:r>
      </w:hyperlink>
      <w:r>
        <w:t xml:space="preserve">.</w:t>
      </w:r>
    </w:p>
    <w:bookmarkEnd w:id="214"/>
    <w:bookmarkStart w:id="216"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5">
        <w:r>
          <w:rPr>
            <w:rStyle w:val="Hyperlink"/>
          </w:rPr>
          <w:t xml:space="preserve">10.1177/00223433241275335</w:t>
        </w:r>
      </w:hyperlink>
      <w:r>
        <w:t xml:space="preserve">.</w:t>
      </w:r>
    </w:p>
    <w:bookmarkEnd w:id="216"/>
    <w:bookmarkStart w:id="218"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7">
        <w:r>
          <w:rPr>
            <w:rStyle w:val="Hyperlink"/>
          </w:rPr>
          <w:t xml:space="preserve">10.1162/qss_a_00304</w:t>
        </w:r>
      </w:hyperlink>
      <w:r>
        <w:t xml:space="preserve">.</w:t>
      </w:r>
    </w:p>
    <w:bookmarkEnd w:id="218"/>
    <w:bookmarkStart w:id="220" w:name="ref-NIPS2012_c399862d"/>
    <w:p>
      <w:pPr>
        <w:pStyle w:val="Bibliography"/>
      </w:pPr>
      <w:r>
        <w:t xml:space="preserve">Krizhevsky, A., Sutskever, I. and Hinton, G.E. (2012)</w:t>
      </w:r>
      <w:r>
        <w:t xml:space="preserve"> </w:t>
      </w:r>
      <w:r>
        <w:t xml:space="preserve">“ImageNet classification with deep convolutional neural networks.”</w:t>
      </w:r>
      <w:r>
        <w:t xml:space="preserve"> </w:t>
      </w:r>
      <w:r>
        <w:rPr>
          <w:u w:val="single"/>
        </w:rPr>
        <w:t xml:space="preserve">In</w:t>
      </w:r>
      <w:r>
        <w:t xml:space="preserve"> Pereira, F., Burges, C.J., Bottou, L., et al. (eds.).</w:t>
      </w:r>
      <w:r>
        <w:t xml:space="preserve"> </w:t>
      </w:r>
      <w:r>
        <w:rPr>
          <w:iCs/>
          <w:i/>
        </w:rPr>
        <w:t xml:space="preserve">Advances in neural information processing systems</w:t>
      </w:r>
      <w:r>
        <w:t xml:space="preserve">. 2012. Curran Associates, Inc. Available at:</w:t>
      </w:r>
      <w:r>
        <w:t xml:space="preserve"> </w:t>
      </w:r>
      <w:hyperlink r:id="rId219">
        <w:r>
          <w:rPr>
            <w:rStyle w:val="Hyperlink"/>
          </w:rPr>
          <w:t xml:space="preserve">https://proceedings.neurips.cc/paper_files/paper/2012/file/c399862d3b9d6b76c8436e924a68c45b-Paper.pdf</w:t>
        </w:r>
      </w:hyperlink>
      <w:r>
        <w:t xml:space="preserve">.</w:t>
      </w:r>
    </w:p>
    <w:bookmarkEnd w:id="220"/>
    <w:bookmarkStart w:id="222"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21">
        <w:r>
          <w:rPr>
            <w:rStyle w:val="Hyperlink"/>
          </w:rPr>
          <w:t xml:space="preserve">10.1002/sd.1582</w:t>
        </w:r>
      </w:hyperlink>
      <w:r>
        <w:t xml:space="preserve">.</w:t>
      </w:r>
    </w:p>
    <w:bookmarkEnd w:id="222"/>
    <w:bookmarkStart w:id="224"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3">
        <w:r>
          <w:rPr>
            <w:rStyle w:val="Hyperlink"/>
          </w:rPr>
          <w:t xml:space="preserve">https://nlp.stanford.edu/IR-book/</w:t>
        </w:r>
      </w:hyperlink>
      <w:r>
        <w:t xml:space="preserve">.</w:t>
      </w:r>
    </w:p>
    <w:bookmarkEnd w:id="224"/>
    <w:bookmarkStart w:id="226"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5">
        <w:r>
          <w:rPr>
            <w:rStyle w:val="Hyperlink"/>
          </w:rPr>
          <w:t xml:space="preserve">10.1016/j.ecoinf.2026.103669</w:t>
        </w:r>
      </w:hyperlink>
      <w:r>
        <w:t xml:space="preserve">.</w:t>
      </w:r>
    </w:p>
    <w:bookmarkEnd w:id="226"/>
    <w:bookmarkStart w:id="228"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7">
        <w:r>
          <w:rPr>
            <w:rStyle w:val="Hyperlink"/>
          </w:rPr>
          <w:t xml:space="preserve">10.1109/ACCESS.2024.3516500</w:t>
        </w:r>
      </w:hyperlink>
      <w:r>
        <w:t xml:space="preserve">.</w:t>
      </w:r>
    </w:p>
    <w:bookmarkEnd w:id="228"/>
    <w:bookmarkStart w:id="230"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9">
        <w:r>
          <w:rPr>
            <w:rStyle w:val="Hyperlink"/>
          </w:rPr>
          <w:t xml:space="preserve">10.1038/534320a</w:t>
        </w:r>
      </w:hyperlink>
      <w:r>
        <w:t xml:space="preserve">.</w:t>
      </w:r>
    </w:p>
    <w:bookmarkEnd w:id="230"/>
    <w:bookmarkStart w:id="232"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31">
        <w:r>
          <w:rPr>
            <w:rStyle w:val="Hyperlink"/>
          </w:rPr>
          <w:t xml:space="preserve">10.18653/v1/W17-4903</w:t>
        </w:r>
      </w:hyperlink>
      <w:r>
        <w:t xml:space="preserve">.</w:t>
      </w:r>
    </w:p>
    <w:bookmarkEnd w:id="232"/>
    <w:bookmarkStart w:id="234"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3">
        <w:r>
          <w:rPr>
            <w:rStyle w:val="Hyperlink"/>
          </w:rPr>
          <w:t xml:space="preserve">https://oecd.ai/en/partner-data-methodological-note</w:t>
        </w:r>
      </w:hyperlink>
      <w:r>
        <w:t xml:space="preserve">.</w:t>
      </w:r>
    </w:p>
    <w:bookmarkEnd w:id="234"/>
    <w:bookmarkStart w:id="236"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5">
        <w:r>
          <w:rPr>
            <w:rStyle w:val="Hyperlink"/>
          </w:rPr>
          <w:t xml:space="preserve">10.48550/arXiv.2205.01833</w:t>
        </w:r>
      </w:hyperlink>
      <w:r>
        <w:t xml:space="preserve">.</w:t>
      </w:r>
    </w:p>
    <w:bookmarkEnd w:id="236"/>
    <w:bookmarkStart w:id="238"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7">
        <w:r>
          <w:rPr>
            <w:rStyle w:val="Hyperlink"/>
          </w:rPr>
          <w:t xml:space="preserve">10.48550/arXiv.2211.11252</w:t>
        </w:r>
      </w:hyperlink>
      <w:r>
        <w:t xml:space="preserve">.</w:t>
      </w:r>
    </w:p>
    <w:bookmarkEnd w:id="238"/>
    <w:bookmarkStart w:id="240"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9">
        <w:r>
          <w:rPr>
            <w:rStyle w:val="Hyperlink"/>
          </w:rPr>
          <w:t xml:space="preserve">10.18653/v1/2020.acl-main.647</w:t>
        </w:r>
      </w:hyperlink>
      <w:r>
        <w:t xml:space="preserve">.</w:t>
      </w:r>
    </w:p>
    <w:bookmarkEnd w:id="240"/>
    <w:bookmarkStart w:id="242"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41">
        <w:r>
          <w:rPr>
            <w:rStyle w:val="Hyperlink"/>
          </w:rPr>
          <w:t xml:space="preserve">10.18653/v1/D19-1410</w:t>
        </w:r>
      </w:hyperlink>
      <w:r>
        <w:t xml:space="preserve">.</w:t>
      </w:r>
    </w:p>
    <w:bookmarkEnd w:id="242"/>
    <w:bookmarkStart w:id="244"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3">
        <w:r>
          <w:rPr>
            <w:rStyle w:val="Hyperlink"/>
          </w:rPr>
          <w:t xml:space="preserve">10.1017/S0003055422001228</w:t>
        </w:r>
      </w:hyperlink>
      <w:r>
        <w:t xml:space="preserve">.</w:t>
      </w:r>
    </w:p>
    <w:bookmarkEnd w:id="244"/>
    <w:bookmarkStart w:id="246"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5">
        <w:r>
          <w:rPr>
            <w:rStyle w:val="Hyperlink"/>
          </w:rPr>
          <w:t xml:space="preserve">10.51593/20230</w:t>
        </w:r>
      </w:hyperlink>
      <w:r>
        <w:t xml:space="preserve">.</w:t>
      </w:r>
    </w:p>
    <w:bookmarkEnd w:id="246"/>
    <w:bookmarkStart w:id="248"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7">
        <w:r>
          <w:rPr>
            <w:rStyle w:val="Hyperlink"/>
          </w:rPr>
          <w:t xml:space="preserve">https://github.com/SDGClassification/benchmark</w:t>
        </w:r>
      </w:hyperlink>
      <w:r>
        <w:t xml:space="preserve">.</w:t>
      </w:r>
    </w:p>
    <w:bookmarkEnd w:id="248"/>
    <w:bookmarkStart w:id="250"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9">
        <w:r>
          <w:rPr>
            <w:rStyle w:val="Hyperlink"/>
          </w:rPr>
          <w:t xml:space="preserve">https://huggingface.co/datasets/UNDP/sdgi-corpus</w:t>
        </w:r>
      </w:hyperlink>
      <w:r>
        <w:t xml:space="preserve">.</w:t>
      </w:r>
    </w:p>
    <w:bookmarkEnd w:id="250"/>
    <w:bookmarkStart w:id="251"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51"/>
    <w:bookmarkStart w:id="252"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52"/>
    <w:bookmarkStart w:id="254"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3">
        <w:r>
          <w:rPr>
            <w:rStyle w:val="Hyperlink"/>
          </w:rPr>
          <w:t xml:space="preserve">10.1002/sd.2706</w:t>
        </w:r>
      </w:hyperlink>
      <w:r>
        <w:t xml:space="preserve">.</w:t>
      </w:r>
    </w:p>
    <w:bookmarkEnd w:id="254"/>
    <w:bookmarkStart w:id="256"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5">
        <w:r>
          <w:rPr>
            <w:rStyle w:val="Hyperlink"/>
          </w:rPr>
          <w:t xml:space="preserve">10.1007/s00146-025-02181-5</w:t>
        </w:r>
      </w:hyperlink>
      <w:r>
        <w:t xml:space="preserve">.</w:t>
      </w:r>
    </w:p>
    <w:bookmarkEnd w:id="256"/>
    <w:bookmarkStart w:id="258"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7">
        <w:r>
          <w:rPr>
            <w:rStyle w:val="Hyperlink"/>
          </w:rPr>
          <w:t xml:space="preserve">10.48550/arXiv.2505.00174</w:t>
        </w:r>
      </w:hyperlink>
      <w:r>
        <w:t xml:space="preserve">.</w:t>
      </w:r>
    </w:p>
    <w:bookmarkEnd w:id="258"/>
    <w:bookmarkStart w:id="260"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9">
        <w:r>
          <w:rPr>
            <w:rStyle w:val="Hyperlink"/>
          </w:rPr>
          <w:t xml:space="preserve">10.1145/3630106.3659035</w:t>
        </w:r>
      </w:hyperlink>
      <w:r>
        <w:t xml:space="preserve">.</w:t>
      </w:r>
    </w:p>
    <w:bookmarkEnd w:id="260"/>
    <w:bookmarkStart w:id="262"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61">
        <w:r>
          <w:rPr>
            <w:rStyle w:val="Hyperlink"/>
          </w:rPr>
          <w:t xml:space="preserve">10.5281/zenodo.3798385</w:t>
        </w:r>
      </w:hyperlink>
      <w:r>
        <w:t xml:space="preserve">.</w:t>
      </w:r>
    </w:p>
    <w:bookmarkEnd w:id="262"/>
    <w:bookmarkStart w:id="264"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3">
        <w:r>
          <w:rPr>
            <w:rStyle w:val="Hyperlink"/>
          </w:rPr>
          <w:t xml:space="preserve">10.1038/s41467-019-14108-y</w:t>
        </w:r>
      </w:hyperlink>
      <w:r>
        <w:t xml:space="preserve">.</w:t>
      </w:r>
    </w:p>
    <w:bookmarkEnd w:id="264"/>
    <w:bookmarkStart w:id="266" w:name="ref-Wang2020"/>
    <w:p>
      <w:pPr>
        <w:pStyle w:val="Bibliography"/>
      </w:pPr>
      <w:r>
        <w:t xml:space="preserve">Wang, K., Shen, Z., Huang, C., et al. (2020) Microsoft academic graph: When experts are not enough.</w:t>
      </w:r>
      <w:r>
        <w:t xml:space="preserve"> </w:t>
      </w:r>
      <w:r>
        <w:rPr>
          <w:iCs/>
          <w:i/>
        </w:rPr>
        <w:t xml:space="preserve">Quantitative Science Studies</w:t>
      </w:r>
      <w:r>
        <w:t xml:space="preserve">, 1 (1): 396–413. doi:</w:t>
      </w:r>
      <w:hyperlink r:id="rId265">
        <w:r>
          <w:rPr>
            <w:rStyle w:val="Hyperlink"/>
          </w:rPr>
          <w:t xml:space="preserve">10.1162/qss_a_00021</w:t>
        </w:r>
      </w:hyperlink>
      <w:r>
        <w:t xml:space="preserve">.</w:t>
      </w:r>
    </w:p>
    <w:bookmarkEnd w:id="266"/>
    <w:bookmarkStart w:id="268"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7">
        <w:r>
          <w:rPr>
            <w:rStyle w:val="Hyperlink"/>
          </w:rPr>
          <w:t xml:space="preserve">10.5281/zenodo.7523032</w:t>
        </w:r>
      </w:hyperlink>
      <w:r>
        <w:t xml:space="preserve">.</w:t>
      </w:r>
    </w:p>
    <w:bookmarkEnd w:id="268"/>
    <w:bookmarkStart w:id="270"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9">
        <w:r>
          <w:rPr>
            <w:rStyle w:val="Hyperlink"/>
          </w:rPr>
          <w:t xml:space="preserve">10.1016/j.array.2025.100419</w:t>
        </w:r>
      </w:hyperlink>
      <w:r>
        <w:t xml:space="preserve">.</w:t>
      </w:r>
    </w:p>
    <w:bookmarkEnd w:id="270"/>
    <w:bookmarkEnd w:id="271"/>
    <w:bookmarkEnd w:id="272"/>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SDG 4’s share is partly inflated by machine-learning vocabulary overlap (Appendix </w:t>
      </w:r>
      <w:hyperlink w:anchor="app:sdg4-lexical-audit">
        <w:r>
          <w:rPr>
            <w:rStyle w:val="Hyperlink"/>
          </w:rPr>
          <w:t xml:space="preserve">8.1</w:t>
        </w:r>
      </w:hyperlink>
      <w:r>
        <w:t xml:space="preserve">).</w:t>
      </w:r>
    </w:p>
  </w:footnote>
  <w:footnote w:id="104">
    <w:p>
      <w:pPr>
        <w:pStyle w:val="FootnoteText"/>
      </w:pPr>
      <w:r>
        <w:rPr>
          <w:rStyle w:val="FootnoteReference"/>
        </w:rPr>
        <w:footnoteRef/>
      </w:r>
      <w:r>
        <w:t xml:space="preserve"> </w:t>
      </w:r>
      <w:r>
        <w:t xml:space="preserve">The three metrics are: (1) mean SD of SDG coverage shares, how much the topic balance moves across repeated samples; (2) mean semantic gap, how different research and policy language are within the same SDG; (3) policy–research score gap, how much the scoring instrument favours policy text over research text regardless of content.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92" Target="media/rId92.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hyperlink" Id="rId153" Target="https://arxiv.org/abs/1610.01644" TargetMode="External" /><Relationship Type="http://schemas.openxmlformats.org/officeDocument/2006/relationships/hyperlink" Id="rId177" Target="https://arxiv.org/abs/1805.01070" TargetMode="External" /><Relationship Type="http://schemas.openxmlformats.org/officeDocument/2006/relationships/hyperlink" Id="rId209" Target="https://doi.org/10.1002/csr.2202" TargetMode="External" /><Relationship Type="http://schemas.openxmlformats.org/officeDocument/2006/relationships/hyperlink" Id="rId221" Target="https://doi.org/10.1002/sd.1582" TargetMode="External" /><Relationship Type="http://schemas.openxmlformats.org/officeDocument/2006/relationships/hyperlink" Id="rId211" Target="https://doi.org/10.1002/sd.1947" TargetMode="External" /><Relationship Type="http://schemas.openxmlformats.org/officeDocument/2006/relationships/hyperlink" Id="rId253" Target="https://doi.org/10.1002/sd.2706" TargetMode="External" /><Relationship Type="http://schemas.openxmlformats.org/officeDocument/2006/relationships/hyperlink" Id="rId204" Target="https://doi.org/10.1007/978-0-387-84858-7" TargetMode="External" /><Relationship Type="http://schemas.openxmlformats.org/officeDocument/2006/relationships/hyperlink" Id="rId255" Target="https://doi.org/10.1007/s00146-025-02181-5" TargetMode="External" /><Relationship Type="http://schemas.openxmlformats.org/officeDocument/2006/relationships/hyperlink" Id="rId169" Target="https://doi.org/10.1007/s11192-016-2115-y" TargetMode="External" /><Relationship Type="http://schemas.openxmlformats.org/officeDocument/2006/relationships/hyperlink" Id="rId206" Target="https://doi.org/10.1007/s43681-023-00259-8" TargetMode="External" /><Relationship Type="http://schemas.openxmlformats.org/officeDocument/2006/relationships/hyperlink" Id="rId269" Target="https://doi.org/10.1016/j.array.2025.100419" TargetMode="External" /><Relationship Type="http://schemas.openxmlformats.org/officeDocument/2006/relationships/hyperlink" Id="rId225" Target="https://doi.org/10.1016/j.ecoinf.2026.103669" TargetMode="External" /><Relationship Type="http://schemas.openxmlformats.org/officeDocument/2006/relationships/hyperlink" Id="rId243" Target="https://doi.org/10.1017/S0003055422001228" TargetMode="External" /><Relationship Type="http://schemas.openxmlformats.org/officeDocument/2006/relationships/hyperlink" Id="rId200" Target="https://doi.org/10.1017/S0020818300001442" TargetMode="External" /><Relationship Type="http://schemas.openxmlformats.org/officeDocument/2006/relationships/hyperlink" Id="rId183" Target="https://doi.org/10.1017/S0260210512000034" TargetMode="External" /><Relationship Type="http://schemas.openxmlformats.org/officeDocument/2006/relationships/hyperlink" Id="rId229" Target="https://doi.org/10.1038/534320a" TargetMode="External" /><Relationship Type="http://schemas.openxmlformats.org/officeDocument/2006/relationships/hyperlink" Id="rId263" Target="https://doi.org/10.1038/s41467-019-14108-y" TargetMode="External" /><Relationship Type="http://schemas.openxmlformats.org/officeDocument/2006/relationships/hyperlink" Id="rId192" Target="https://doi.org/10.1038/s41893-025-01598-6" TargetMode="External" /><Relationship Type="http://schemas.openxmlformats.org/officeDocument/2006/relationships/hyperlink" Id="rId181" Target="https://doi.org/10.1038/s42256-021-00296-0" TargetMode="External" /><Relationship Type="http://schemas.openxmlformats.org/officeDocument/2006/relationships/hyperlink" Id="rId175" Target="https://doi.org/10.1073/pnas.1231332100" TargetMode="External" /><Relationship Type="http://schemas.openxmlformats.org/officeDocument/2006/relationships/hyperlink" Id="rId202" Target="https://doi.org/10.1080/00437956.1954.11659520" TargetMode="External" /><Relationship Type="http://schemas.openxmlformats.org/officeDocument/2006/relationships/hyperlink" Id="rId165" Target="https://doi.org/10.1080/08039410.2016.1252424" TargetMode="External" /><Relationship Type="http://schemas.openxmlformats.org/officeDocument/2006/relationships/hyperlink" Id="rId187" Target="https://doi.org/10.1080/13552074.2016.1145895" TargetMode="External" /><Relationship Type="http://schemas.openxmlformats.org/officeDocument/2006/relationships/hyperlink" Id="rId227" Target="https://doi.org/10.1109/ACCESS.2024.3516500" TargetMode="External" /><Relationship Type="http://schemas.openxmlformats.org/officeDocument/2006/relationships/hyperlink" Id="rId190" Target="https://doi.org/10.1109/ACCESS.2025.3595894" TargetMode="External" /><Relationship Type="http://schemas.openxmlformats.org/officeDocument/2006/relationships/hyperlink" Id="rId179" Target="https://doi.org/10.1109/TIT.1967.1053964" TargetMode="External" /><Relationship Type="http://schemas.openxmlformats.org/officeDocument/2006/relationships/hyperlink" Id="rId259" Target="https://doi.org/10.1145/3630106.3659035" TargetMode="External" /><Relationship Type="http://schemas.openxmlformats.org/officeDocument/2006/relationships/hyperlink" Id="rId265" Target="https://doi.org/10.1162/qss_a_00021" TargetMode="External" /><Relationship Type="http://schemas.openxmlformats.org/officeDocument/2006/relationships/hyperlink" Id="rId155" Target="https://doi.org/10.1162/qss_a_00071" TargetMode="External" /><Relationship Type="http://schemas.openxmlformats.org/officeDocument/2006/relationships/hyperlink" Id="rId217" Target="https://doi.org/10.1162/qss_a_00304" TargetMode="External" /><Relationship Type="http://schemas.openxmlformats.org/officeDocument/2006/relationships/hyperlink" Id="rId173" Target="https://doi.org/10.1177/000276427902200308" TargetMode="External" /><Relationship Type="http://schemas.openxmlformats.org/officeDocument/2006/relationships/hyperlink" Id="rId215" Target="https://doi.org/10.1177/00223433241275335" TargetMode="External" /><Relationship Type="http://schemas.openxmlformats.org/officeDocument/2006/relationships/hyperlink" Id="rId198" Target="https://doi.org/10.1177/016224390102600401" TargetMode="External" /><Relationship Type="http://schemas.openxmlformats.org/officeDocument/2006/relationships/hyperlink" Id="rId239" Target="https://doi.org/10.18653/v1/2020.acl-main.647" TargetMode="External" /><Relationship Type="http://schemas.openxmlformats.org/officeDocument/2006/relationships/hyperlink" Id="rId241" Target="https://doi.org/10.18653/v1/D19-1410" TargetMode="External" /><Relationship Type="http://schemas.openxmlformats.org/officeDocument/2006/relationships/hyperlink" Id="rId171" Target="https://doi.org/10.18653/v1/N19-1181" TargetMode="External" /><Relationship Type="http://schemas.openxmlformats.org/officeDocument/2006/relationships/hyperlink" Id="rId231" Target="https://doi.org/10.18653/v1/W17-4903" TargetMode="External" /><Relationship Type="http://schemas.openxmlformats.org/officeDocument/2006/relationships/hyperlink" Id="rId163" Target="https://doi.org/10.2307/271073" TargetMode="External" /><Relationship Type="http://schemas.openxmlformats.org/officeDocument/2006/relationships/hyperlink" Id="rId196" Target="https://doi.org/10.24948/2017.01" TargetMode="External" /><Relationship Type="http://schemas.openxmlformats.org/officeDocument/2006/relationships/hyperlink" Id="rId157" Target="https://doi.org/10.31341/jios.44.2.2" TargetMode="External" /><Relationship Type="http://schemas.openxmlformats.org/officeDocument/2006/relationships/hyperlink" Id="rId194" Target="https://doi.org/10.3389/frai.2024.1472411" TargetMode="External" /><Relationship Type="http://schemas.openxmlformats.org/officeDocument/2006/relationships/hyperlink" Id="rId159" Target="https://doi.org/10.3389/frsus.2021.620743" TargetMode="External" /><Relationship Type="http://schemas.openxmlformats.org/officeDocument/2006/relationships/hyperlink" Id="rId151" Target="https://doi.org/10.3982/ECTA12675" TargetMode="External" /><Relationship Type="http://schemas.openxmlformats.org/officeDocument/2006/relationships/hyperlink" Id="rId161" Target="https://doi.org/10.48550/arXiv.1903.10676" TargetMode="External" /><Relationship Type="http://schemas.openxmlformats.org/officeDocument/2006/relationships/hyperlink" Id="rId235" Target="https://doi.org/10.48550/arXiv.2205.01833" TargetMode="External" /><Relationship Type="http://schemas.openxmlformats.org/officeDocument/2006/relationships/hyperlink" Id="rId237" Target="https://doi.org/10.48550/arXiv.2211.11252" TargetMode="External" /><Relationship Type="http://schemas.openxmlformats.org/officeDocument/2006/relationships/hyperlink" Id="rId257" Target="https://doi.org/10.48550/arXiv.2505.00174" TargetMode="External" /><Relationship Type="http://schemas.openxmlformats.org/officeDocument/2006/relationships/hyperlink" Id="rId245" Target="https://doi.org/10.51593/20230" TargetMode="External" /><Relationship Type="http://schemas.openxmlformats.org/officeDocument/2006/relationships/hyperlink" Id="rId261" Target="https://doi.org/10.5281/zenodo.3798385" TargetMode="External" /><Relationship Type="http://schemas.openxmlformats.org/officeDocument/2006/relationships/hyperlink" Id="rId267" Target="https://doi.org/10.5281/zenodo.7523032" TargetMode="External" /><Relationship Type="http://schemas.openxmlformats.org/officeDocument/2006/relationships/hyperlink" Id="rId185" Target="https://eur-lex.europa.eu/legal-content/EN/TXT/?uri=CELEX:32024R1689" TargetMode="External" /><Relationship Type="http://schemas.openxmlformats.org/officeDocument/2006/relationships/hyperlink" Id="rId247"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9" Target="https://huggingface.co/datasets/UNDP/sdgi-corpus" TargetMode="External" /><Relationship Type="http://schemas.openxmlformats.org/officeDocument/2006/relationships/hyperlink" Id="rId223" Target="https://nlp.stanford.edu/IR-book/" TargetMode="External" /><Relationship Type="http://schemas.openxmlformats.org/officeDocument/2006/relationships/hyperlink" Id="rId233" Target="https://oecd.ai/en/partner-data-methodological-note" TargetMode="External" /><Relationship Type="http://schemas.openxmlformats.org/officeDocument/2006/relationships/hyperlink" Id="rId219" Target="https://proceedings.neurips.cc/paper_files/paper/2012/file/c399862d3b9d6b76c8436e924a68c45b-Paper.pdf" TargetMode="External" /><Relationship Type="http://schemas.openxmlformats.org/officeDocument/2006/relationships/hyperlink" Id="rId213"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3" Target="https://arxiv.org/abs/1610.01644" TargetMode="External" /><Relationship Type="http://schemas.openxmlformats.org/officeDocument/2006/relationships/hyperlink" Id="rId177" Target="https://arxiv.org/abs/1805.01070" TargetMode="External" /><Relationship Type="http://schemas.openxmlformats.org/officeDocument/2006/relationships/hyperlink" Id="rId209" Target="https://doi.org/10.1002/csr.2202" TargetMode="External" /><Relationship Type="http://schemas.openxmlformats.org/officeDocument/2006/relationships/hyperlink" Id="rId221" Target="https://doi.org/10.1002/sd.1582" TargetMode="External" /><Relationship Type="http://schemas.openxmlformats.org/officeDocument/2006/relationships/hyperlink" Id="rId211" Target="https://doi.org/10.1002/sd.1947" TargetMode="External" /><Relationship Type="http://schemas.openxmlformats.org/officeDocument/2006/relationships/hyperlink" Id="rId253" Target="https://doi.org/10.1002/sd.2706" TargetMode="External" /><Relationship Type="http://schemas.openxmlformats.org/officeDocument/2006/relationships/hyperlink" Id="rId204" Target="https://doi.org/10.1007/978-0-387-84858-7" TargetMode="External" /><Relationship Type="http://schemas.openxmlformats.org/officeDocument/2006/relationships/hyperlink" Id="rId255" Target="https://doi.org/10.1007/s00146-025-02181-5" TargetMode="External" /><Relationship Type="http://schemas.openxmlformats.org/officeDocument/2006/relationships/hyperlink" Id="rId169" Target="https://doi.org/10.1007/s11192-016-2115-y" TargetMode="External" /><Relationship Type="http://schemas.openxmlformats.org/officeDocument/2006/relationships/hyperlink" Id="rId206" Target="https://doi.org/10.1007/s43681-023-00259-8" TargetMode="External" /><Relationship Type="http://schemas.openxmlformats.org/officeDocument/2006/relationships/hyperlink" Id="rId269" Target="https://doi.org/10.1016/j.array.2025.100419" TargetMode="External" /><Relationship Type="http://schemas.openxmlformats.org/officeDocument/2006/relationships/hyperlink" Id="rId225" Target="https://doi.org/10.1016/j.ecoinf.2026.103669" TargetMode="External" /><Relationship Type="http://schemas.openxmlformats.org/officeDocument/2006/relationships/hyperlink" Id="rId243" Target="https://doi.org/10.1017/S0003055422001228" TargetMode="External" /><Relationship Type="http://schemas.openxmlformats.org/officeDocument/2006/relationships/hyperlink" Id="rId200" Target="https://doi.org/10.1017/S0020818300001442" TargetMode="External" /><Relationship Type="http://schemas.openxmlformats.org/officeDocument/2006/relationships/hyperlink" Id="rId183" Target="https://doi.org/10.1017/S0260210512000034" TargetMode="External" /><Relationship Type="http://schemas.openxmlformats.org/officeDocument/2006/relationships/hyperlink" Id="rId229" Target="https://doi.org/10.1038/534320a" TargetMode="External" /><Relationship Type="http://schemas.openxmlformats.org/officeDocument/2006/relationships/hyperlink" Id="rId263" Target="https://doi.org/10.1038/s41467-019-14108-y" TargetMode="External" /><Relationship Type="http://schemas.openxmlformats.org/officeDocument/2006/relationships/hyperlink" Id="rId192" Target="https://doi.org/10.1038/s41893-025-01598-6" TargetMode="External" /><Relationship Type="http://schemas.openxmlformats.org/officeDocument/2006/relationships/hyperlink" Id="rId181" Target="https://doi.org/10.1038/s42256-021-00296-0" TargetMode="External" /><Relationship Type="http://schemas.openxmlformats.org/officeDocument/2006/relationships/hyperlink" Id="rId175" Target="https://doi.org/10.1073/pnas.1231332100" TargetMode="External" /><Relationship Type="http://schemas.openxmlformats.org/officeDocument/2006/relationships/hyperlink" Id="rId202" Target="https://doi.org/10.1080/00437956.1954.11659520" TargetMode="External" /><Relationship Type="http://schemas.openxmlformats.org/officeDocument/2006/relationships/hyperlink" Id="rId165" Target="https://doi.org/10.1080/08039410.2016.1252424" TargetMode="External" /><Relationship Type="http://schemas.openxmlformats.org/officeDocument/2006/relationships/hyperlink" Id="rId187" Target="https://doi.org/10.1080/13552074.2016.1145895" TargetMode="External" /><Relationship Type="http://schemas.openxmlformats.org/officeDocument/2006/relationships/hyperlink" Id="rId227" Target="https://doi.org/10.1109/ACCESS.2024.3516500" TargetMode="External" /><Relationship Type="http://schemas.openxmlformats.org/officeDocument/2006/relationships/hyperlink" Id="rId190" Target="https://doi.org/10.1109/ACCESS.2025.3595894" TargetMode="External" /><Relationship Type="http://schemas.openxmlformats.org/officeDocument/2006/relationships/hyperlink" Id="rId179" Target="https://doi.org/10.1109/TIT.1967.1053964" TargetMode="External" /><Relationship Type="http://schemas.openxmlformats.org/officeDocument/2006/relationships/hyperlink" Id="rId259" Target="https://doi.org/10.1145/3630106.3659035" TargetMode="External" /><Relationship Type="http://schemas.openxmlformats.org/officeDocument/2006/relationships/hyperlink" Id="rId265" Target="https://doi.org/10.1162/qss_a_00021" TargetMode="External" /><Relationship Type="http://schemas.openxmlformats.org/officeDocument/2006/relationships/hyperlink" Id="rId155" Target="https://doi.org/10.1162/qss_a_00071" TargetMode="External" /><Relationship Type="http://schemas.openxmlformats.org/officeDocument/2006/relationships/hyperlink" Id="rId217" Target="https://doi.org/10.1162/qss_a_00304" TargetMode="External" /><Relationship Type="http://schemas.openxmlformats.org/officeDocument/2006/relationships/hyperlink" Id="rId173" Target="https://doi.org/10.1177/000276427902200308" TargetMode="External" /><Relationship Type="http://schemas.openxmlformats.org/officeDocument/2006/relationships/hyperlink" Id="rId215" Target="https://doi.org/10.1177/00223433241275335" TargetMode="External" /><Relationship Type="http://schemas.openxmlformats.org/officeDocument/2006/relationships/hyperlink" Id="rId198" Target="https://doi.org/10.1177/016224390102600401" TargetMode="External" /><Relationship Type="http://schemas.openxmlformats.org/officeDocument/2006/relationships/hyperlink" Id="rId239" Target="https://doi.org/10.18653/v1/2020.acl-main.647" TargetMode="External" /><Relationship Type="http://schemas.openxmlformats.org/officeDocument/2006/relationships/hyperlink" Id="rId241" Target="https://doi.org/10.18653/v1/D19-1410" TargetMode="External" /><Relationship Type="http://schemas.openxmlformats.org/officeDocument/2006/relationships/hyperlink" Id="rId171" Target="https://doi.org/10.18653/v1/N19-1181" TargetMode="External" /><Relationship Type="http://schemas.openxmlformats.org/officeDocument/2006/relationships/hyperlink" Id="rId231" Target="https://doi.org/10.18653/v1/W17-4903" TargetMode="External" /><Relationship Type="http://schemas.openxmlformats.org/officeDocument/2006/relationships/hyperlink" Id="rId163" Target="https://doi.org/10.2307/271073" TargetMode="External" /><Relationship Type="http://schemas.openxmlformats.org/officeDocument/2006/relationships/hyperlink" Id="rId196" Target="https://doi.org/10.24948/2017.01" TargetMode="External" /><Relationship Type="http://schemas.openxmlformats.org/officeDocument/2006/relationships/hyperlink" Id="rId157" Target="https://doi.org/10.31341/jios.44.2.2" TargetMode="External" /><Relationship Type="http://schemas.openxmlformats.org/officeDocument/2006/relationships/hyperlink" Id="rId194" Target="https://doi.org/10.3389/frai.2024.1472411" TargetMode="External" /><Relationship Type="http://schemas.openxmlformats.org/officeDocument/2006/relationships/hyperlink" Id="rId159" Target="https://doi.org/10.3389/frsus.2021.620743" TargetMode="External" /><Relationship Type="http://schemas.openxmlformats.org/officeDocument/2006/relationships/hyperlink" Id="rId151" Target="https://doi.org/10.3982/ECTA12675" TargetMode="External" /><Relationship Type="http://schemas.openxmlformats.org/officeDocument/2006/relationships/hyperlink" Id="rId161" Target="https://doi.org/10.48550/arXiv.1903.10676" TargetMode="External" /><Relationship Type="http://schemas.openxmlformats.org/officeDocument/2006/relationships/hyperlink" Id="rId235" Target="https://doi.org/10.48550/arXiv.2205.01833" TargetMode="External" /><Relationship Type="http://schemas.openxmlformats.org/officeDocument/2006/relationships/hyperlink" Id="rId237" Target="https://doi.org/10.48550/arXiv.2211.11252" TargetMode="External" /><Relationship Type="http://schemas.openxmlformats.org/officeDocument/2006/relationships/hyperlink" Id="rId257" Target="https://doi.org/10.48550/arXiv.2505.00174" TargetMode="External" /><Relationship Type="http://schemas.openxmlformats.org/officeDocument/2006/relationships/hyperlink" Id="rId245" Target="https://doi.org/10.51593/20230" TargetMode="External" /><Relationship Type="http://schemas.openxmlformats.org/officeDocument/2006/relationships/hyperlink" Id="rId261" Target="https://doi.org/10.5281/zenodo.3798385" TargetMode="External" /><Relationship Type="http://schemas.openxmlformats.org/officeDocument/2006/relationships/hyperlink" Id="rId267" Target="https://doi.org/10.5281/zenodo.7523032" TargetMode="External" /><Relationship Type="http://schemas.openxmlformats.org/officeDocument/2006/relationships/hyperlink" Id="rId185" Target="https://eur-lex.europa.eu/legal-content/EN/TXT/?uri=CELEX:32024R1689" TargetMode="External" /><Relationship Type="http://schemas.openxmlformats.org/officeDocument/2006/relationships/hyperlink" Id="rId247"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9" Target="https://huggingface.co/datasets/UNDP/sdgi-corpus" TargetMode="External" /><Relationship Type="http://schemas.openxmlformats.org/officeDocument/2006/relationships/hyperlink" Id="rId223" Target="https://nlp.stanford.edu/IR-book/" TargetMode="External" /><Relationship Type="http://schemas.openxmlformats.org/officeDocument/2006/relationships/hyperlink" Id="rId233" Target="https://oecd.ai/en/partner-data-methodological-note" TargetMode="External" /><Relationship Type="http://schemas.openxmlformats.org/officeDocument/2006/relationships/hyperlink" Id="rId219" Target="https://proceedings.neurips.cc/paper_files/paper/2012/file/c399862d3b9d6b76c8436e924a68c45b-Paper.pdf" TargetMode="External" /><Relationship Type="http://schemas.openxmlformats.org/officeDocument/2006/relationships/hyperlink" Id="rId213"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Don’t Mean Shared Framing — Embedding-Based Register-Topic Decomposition of Research-Policy Divergence Across the SDGs</dc:title>
  <dc:creator/>
  <cp:keywords/>
  <dcterms:created xsi:type="dcterms:W3CDTF">2026-08-27T00:21:41Z</dcterms:created>
  <dcterms:modified xsi:type="dcterms:W3CDTF">2026-08-27T00:21:41Z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