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5"/>
        <w:jc w:val="left"/>
        <w:rPr/>
      </w:pPr>
      <w:r>
        <w:rPr/>
        <w:t>Quentin McClellan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>
          <w:rStyle w:val="Strong"/>
        </w:rPr>
        <w:t>Platform / DevOps Systems Builder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/>
        <w:t>Pennsylvania | quentinmcclellan.com | contact@quentinmcclellan.com | github.com/qmcclellan | linkedin.com/in/quentinmmcclellan</w:t>
      </w:r>
    </w:p>
    <w:p>
      <w:pPr>
        <w:pStyle w:val="Heading2"/>
        <w:numPr>
          <w:ilvl w:val="0"/>
          <w:numId w:val="0"/>
        </w:numPr>
        <w:pBdr/>
        <w:bidi w:val="0"/>
        <w:spacing w:before="105" w:after="45"/>
        <w:ind w:left="105" w:right="105"/>
        <w:jc w:val="left"/>
        <w:rPr/>
      </w:pPr>
      <w:r>
        <w:rPr/>
        <w:t>Summary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/>
        <w:t>Platform / DevOps systems builder with hands-on Linux, Docker Compose, workflow automation, and operations discipline. Creator of StarkGrid, a private MVP/demo-ready proof platform demonstrating governed ingestion, service checks, evidence capture, and source-backed validation.</w:t>
      </w:r>
    </w:p>
    <w:p>
      <w:pPr>
        <w:pStyle w:val="Heading2"/>
        <w:numPr>
          <w:ilvl w:val="0"/>
          <w:numId w:val="0"/>
        </w:numPr>
        <w:pBdr/>
        <w:bidi w:val="0"/>
        <w:spacing w:before="105" w:after="45"/>
        <w:ind w:left="105" w:right="105"/>
        <w:jc w:val="left"/>
        <w:rPr/>
      </w:pPr>
      <w:r>
        <w:rPr/>
        <w:t>Technical Skills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Platform:</w:t>
      </w:r>
      <w:r>
        <w:rPr/>
        <w:t xml:space="preserve"> Linux, Docker Compose, SSH, Tailscale, NFS, service checks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Automation:</w:t>
      </w:r>
      <w:r>
        <w:rPr/>
        <w:t xml:space="preserve"> Bash, Python, Git/GitHub/Gitea, n8n, Maven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>
          <w:rStyle w:val="Strong"/>
        </w:rPr>
        <w:t>Observability/Data:</w:t>
      </w:r>
      <w:r>
        <w:rPr/>
        <w:t xml:space="preserve"> Athena Observer, Kafka/Redpanda checks, JSON evidence, source-backed search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>
          <w:rStyle w:val="Strong"/>
        </w:rPr>
        <w:t>Development:</w:t>
      </w:r>
      <w:r>
        <w:rPr/>
        <w:t xml:space="preserve"> Java, Spring, JavaScript/TypeScript familiarity </w:t>
      </w:r>
    </w:p>
    <w:p>
      <w:pPr>
        <w:pStyle w:val="Heading2"/>
        <w:numPr>
          <w:ilvl w:val="0"/>
          <w:numId w:val="0"/>
        </w:numPr>
        <w:pBdr/>
        <w:bidi w:val="0"/>
        <w:spacing w:before="105" w:after="45"/>
        <w:ind w:left="105" w:right="105"/>
        <w:jc w:val="left"/>
        <w:rPr/>
      </w:pPr>
      <w:r>
        <w:rPr/>
        <w:t>Featured Project: StarkGrid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>
          <w:rStyle w:val="Strong"/>
        </w:rPr>
        <w:t>Private MVP/demo-ready governed ingestion and operational evidence platform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/>
        <w:t xml:space="preserve">Built a governed ingestion and operational evidence platform for deterministic workflow validation, service checks, runbooks, and public-safe proof; no production customer claim.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/>
        <w:t xml:space="preserve">Validated proof path: Hecate policy gate → Friday n8n → Jarvis benchmark harness → Athena/Search evidence.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/>
        <w:t xml:space="preserve">Final Rocketbook proof: </w:t>
      </w:r>
      <w:r>
        <w:rPr>
          <w:rStyle w:val="SourceText"/>
        </w:rPr>
        <w:t>rocketbook-20260603T014846Z</w:t>
      </w:r>
      <w:r>
        <w:rPr/>
        <w:t xml:space="preserve">; Search </w:t>
      </w:r>
      <w:r>
        <w:rPr>
          <w:rStyle w:val="SourceText"/>
        </w:rPr>
        <w:t>sourceBacked/documents</w:t>
      </w:r>
      <w:r>
        <w:rPr/>
        <w:t xml:space="preserve">: </w:t>
      </w:r>
      <w:r>
        <w:rPr>
          <w:rStyle w:val="SourceText"/>
        </w:rPr>
        <w:t>1842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/>
        <w:t xml:space="preserve">Captured Ultron GTX 1080 remote GPU-capable worker evidence from </w:t>
      </w:r>
      <w:r>
        <w:rPr>
          <w:rStyle w:val="SourceText"/>
        </w:rPr>
        <w:t>athena-runtime-plans-recent</w:t>
      </w:r>
      <w:r>
        <w:rPr/>
        <w:t xml:space="preserve">; caveat: GPU OCR and embeddings were intentionally not enabled, so this is not a production GPU OCR acceleration claim. </w:t>
      </w:r>
    </w:p>
    <w:p>
      <w:pPr>
        <w:pStyle w:val="Heading2"/>
        <w:numPr>
          <w:ilvl w:val="0"/>
          <w:numId w:val="0"/>
        </w:numPr>
        <w:pBdr/>
        <w:bidi w:val="0"/>
        <w:spacing w:before="105" w:after="45"/>
        <w:ind w:left="105" w:right="105"/>
        <w:jc w:val="left"/>
        <w:rPr/>
      </w:pPr>
      <w:r>
        <w:rPr/>
        <w:t>Professional Experience</w:t>
      </w:r>
    </w:p>
    <w:p>
      <w:pPr>
        <w:pStyle w:val="Heading3"/>
        <w:numPr>
          <w:ilvl w:val="0"/>
          <w:numId w:val="0"/>
        </w:numPr>
        <w:bidi w:val="0"/>
        <w:spacing w:before="75" w:after="15"/>
        <w:ind w:left="75" w:right="75"/>
        <w:jc w:val="left"/>
        <w:rPr/>
      </w:pPr>
      <w:r>
        <w:rPr/>
        <w:t>Founder &amp; Consultant / Creator — StarkGrid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>
          <w:rStyle w:val="Strong"/>
        </w:rPr>
        <w:t>Jul 2024 – Present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24" w:leader="none"/>
        </w:tabs>
        <w:bidi w:val="0"/>
        <w:spacing w:before="15" w:after="0"/>
        <w:ind w:hanging="283" w:left="724"/>
        <w:jc w:val="left"/>
        <w:rPr/>
      </w:pPr>
      <w:r>
        <w:rPr/>
        <w:t xml:space="preserve">Built and operated a private Linux/Docker Compose lab with Java/Spring/Maven services, Python/Bash automation, Redpanda/Kafka checks, n8n workflows, Athena observability, and source-backed search evidence.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/>
        <w:t xml:space="preserve">Produced runbooks, validation checks, caveats, and sanitized proof so reviewers can evaluate system behavior without unsupported claims. </w:t>
      </w:r>
    </w:p>
    <w:p>
      <w:pPr>
        <w:pStyle w:val="Heading3"/>
        <w:numPr>
          <w:ilvl w:val="0"/>
          <w:numId w:val="0"/>
        </w:numPr>
        <w:bidi w:val="0"/>
        <w:spacing w:before="75" w:after="15"/>
        <w:ind w:left="75" w:right="75"/>
        <w:jc w:val="left"/>
        <w:rPr/>
      </w:pPr>
      <w:r>
        <w:rPr/>
        <w:t>Operations — FedEx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>
          <w:rStyle w:val="Strong"/>
        </w:rPr>
        <w:t>Jul 2022 – Jun 2026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/>
        <w:t xml:space="preserve">Supported reliable logistics execution through accurate status handling, repeatable handoffs, process discipline, and practical troubleshooting under time-sensitive operating conditions. </w:t>
      </w:r>
    </w:p>
    <w:p>
      <w:pPr>
        <w:pStyle w:val="Heading3"/>
        <w:numPr>
          <w:ilvl w:val="0"/>
          <w:numId w:val="0"/>
        </w:numPr>
        <w:bidi w:val="0"/>
        <w:spacing w:before="75" w:after="15"/>
        <w:ind w:left="75" w:right="75"/>
        <w:jc w:val="left"/>
        <w:rPr/>
      </w:pPr>
      <w:r>
        <w:rPr/>
        <w:t>Floating Meat Manager — Price Chopper Supermarkets-Market 32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>
          <w:rStyle w:val="Strong"/>
        </w:rPr>
        <w:t>Jul 2018 – Apr 2022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24" w:leader="none"/>
        </w:tabs>
        <w:bidi w:val="0"/>
        <w:ind w:hanging="283" w:left="724"/>
        <w:jc w:val="left"/>
        <w:rPr/>
      </w:pPr>
      <w:r>
        <w:rPr/>
        <w:t xml:space="preserve">Coordinated cross-store execution with inventory/shrink awareness, vendor and team handoffs, quality standards, and process improvements in customer-facing operations. </w:t>
      </w:r>
    </w:p>
    <w:p>
      <w:pPr>
        <w:pStyle w:val="Heading3"/>
        <w:numPr>
          <w:ilvl w:val="0"/>
          <w:numId w:val="0"/>
        </w:numPr>
        <w:bidi w:val="0"/>
        <w:spacing w:before="75" w:after="15"/>
        <w:ind w:left="75" w:right="75"/>
        <w:jc w:val="left"/>
        <w:rPr/>
      </w:pPr>
      <w:r>
        <w:rPr/>
        <w:t>Additional Operations Experience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/>
        <w:t>Azar Displays — Fulfillment, Jul 2021 – Sep 2021; White Haven Market — Butcher, Sep 2019 – Jul 2020.</w:t>
      </w:r>
    </w:p>
    <w:p>
      <w:pPr>
        <w:pStyle w:val="Heading2"/>
        <w:numPr>
          <w:ilvl w:val="0"/>
          <w:numId w:val="0"/>
        </w:numPr>
        <w:pBdr/>
        <w:bidi w:val="0"/>
        <w:spacing w:before="105" w:after="45"/>
        <w:ind w:left="105" w:right="105"/>
        <w:jc w:val="left"/>
        <w:rPr/>
      </w:pPr>
      <w:r>
        <w:rPr/>
        <w:t>Education</w:t>
      </w:r>
    </w:p>
    <w:p>
      <w:pPr>
        <w:pStyle w:val="BodyText"/>
        <w:bidi w:val="0"/>
        <w:spacing w:before="15" w:after="60"/>
        <w:ind w:left="15" w:right="15"/>
        <w:jc w:val="left"/>
        <w:rPr/>
      </w:pPr>
      <w:r>
        <w:rPr/>
        <w:t>Colorado Technical University — Bachelor of Science, IT Software Engineering, 2016–2019; GPA: 3.59</w:t>
      </w:r>
    </w:p>
    <w:sectPr>
      <w:type w:val="nextPage"/>
      <w:pgSz w:w="12240" w:h="15840"/>
      <w:pgMar w:left="691" w:right="691" w:gutter="0" w:header="0" w:top="605" w:footer="0" w:bottom="547"/>
      <w:pgNumType w:fmt="decimal"/>
      <w:formProt w:val="false"/>
      <w:textDirection w:val="lrTb"/>
      <w:docGrid w:type="default" w:linePitch="600" w:charSpace="4505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/>
    </w:pPr>
    <w:rPr>
      <w:rFonts w:ascii="Arial;Helvetica;sans-serif" w:hAnsi="Arial;Helvetica;sans-serif" w:eastAsia="Arial;Helvetica;sans-serif" w:cs="Arial;Helvetica;sans-serif"/>
      <w:color w:val="111827"/>
      <w:sz w:val="18"/>
      <w:szCs w:val="1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5"/>
    </w:pPr>
    <w:rPr>
      <w:rFonts w:ascii="Noto Sans" w:hAnsi="Noto Sans"/>
      <w:b/>
      <w:bCs/>
      <w:spacing w:val="0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1" w:color="CBD5E1"/>
      </w:pBdr>
      <w:spacing w:before="105" w:after="45"/>
      <w:ind w:left="105" w:right="105"/>
      <w:outlineLvl w:val="1"/>
    </w:pPr>
    <w:rPr>
      <w:rFonts w:ascii="Liberation Serif" w:hAnsi="Liberation Serif" w:eastAsia="Noto Sans" w:cs="FreeSans"/>
      <w:b/>
      <w:bCs/>
      <w:caps/>
      <w:spacing w:val="0"/>
      <w:sz w:val="20"/>
      <w:szCs w:val="20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75" w:after="15"/>
      <w:ind w:left="75" w:right="75"/>
      <w:outlineLvl w:val="2"/>
    </w:pPr>
    <w:rPr>
      <w:rFonts w:ascii="Liberation Serif" w:hAnsi="Liberation Serif" w:eastAsia="Noto Sans" w:cs="FreeSans"/>
      <w:b/>
      <w:bCs/>
      <w:sz w:val="18"/>
      <w:szCs w:val="1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Arial;Helvetica;sans-serif" w:hAnsi="Arial;Helvetica;sans-serif" w:eastAsia="Arial;Helvetica;sans-serif" w:cs="Arial;Helvetica;sans-serif"/>
      <w:shd w:fill="auto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5" w:after="60"/>
      <w:ind w:left="15" w:right="1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315</Words>
  <Characters>2303</Characters>
  <CharactersWithSpaces>2597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Quentin McClellan - DevOps Platform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