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2AF7" w14:textId="77777777" w:rsidR="00257C0C" w:rsidRDefault="00257C0C" w:rsidP="00257C0C">
      <w:pPr>
        <w:rPr>
          <w:rFonts w:hint="eastAsia"/>
        </w:rPr>
      </w:pPr>
      <w:r>
        <w:rPr>
          <w:rFonts w:hint="eastAsia"/>
        </w:rPr>
        <w:t>For which type of cardiovascular diseases is Tanshinone IIA primarily used for treatment?</w:t>
      </w:r>
    </w:p>
    <w:p w14:paraId="68CD239D" w14:textId="77777777" w:rsidR="00257C0C" w:rsidRDefault="00257C0C" w:rsidP="00257C0C">
      <w:pPr>
        <w:rPr>
          <w:rFonts w:hint="eastAsia"/>
        </w:rPr>
      </w:pPr>
      <w:r>
        <w:rPr>
          <w:rFonts w:hint="eastAsia"/>
        </w:rPr>
        <w:t>Chat ID: 20260205-153549-220179</w:t>
      </w:r>
    </w:p>
    <w:p w14:paraId="20DC2EBB" w14:textId="77777777" w:rsidR="00257C0C" w:rsidRDefault="00257C0C" w:rsidP="00257C0C">
      <w:pPr>
        <w:rPr>
          <w:rFonts w:hint="eastAsia"/>
        </w:rPr>
      </w:pPr>
    </w:p>
    <w:p w14:paraId="39F9769A" w14:textId="77777777" w:rsidR="00257C0C" w:rsidRDefault="00257C0C" w:rsidP="00257C0C">
      <w:pPr>
        <w:rPr>
          <w:rFonts w:hint="eastAsia"/>
        </w:rPr>
      </w:pPr>
      <w:r>
        <w:rPr>
          <w:rFonts w:ascii="Segoe UI Emoji" w:hAnsi="Segoe UI Emoji" w:cs="Segoe UI Emoji"/>
        </w:rPr>
        <w:t>🌿</w:t>
      </w:r>
      <w:r>
        <w:rPr>
          <w:rFonts w:hint="eastAsia"/>
        </w:rPr>
        <w:t xml:space="preserve"> Summary all knowledge for: Tanshinone IIA</w:t>
      </w:r>
    </w:p>
    <w:p w14:paraId="3247D467" w14:textId="77777777" w:rsidR="00257C0C" w:rsidRDefault="00257C0C" w:rsidP="00257C0C">
      <w:pPr>
        <w:rPr>
          <w:rFonts w:hint="eastAsia"/>
        </w:rPr>
      </w:pPr>
    </w:p>
    <w:p w14:paraId="08AC40D3" w14:textId="77777777" w:rsidR="00257C0C" w:rsidRDefault="00257C0C" w:rsidP="00257C0C">
      <w:pPr>
        <w:rPr>
          <w:rFonts w:hint="eastAsia"/>
        </w:rPr>
      </w:pPr>
      <w:r>
        <w:rPr>
          <w:rFonts w:hint="eastAsia"/>
        </w:rPr>
        <w:t>knowledge graph entries found: 300, molecules found: 3, attributes found: 50</w:t>
      </w:r>
    </w:p>
    <w:p w14:paraId="533F841E" w14:textId="77777777" w:rsidR="00257C0C" w:rsidRDefault="00257C0C" w:rsidP="00257C0C">
      <w:pPr>
        <w:rPr>
          <w:rFonts w:hint="eastAsia"/>
        </w:rPr>
      </w:pPr>
      <w:r>
        <w:rPr>
          <w:rFonts w:ascii="Segoe UI Emoji" w:hAnsi="Segoe UI Emoji" w:cs="Segoe UI Emoji"/>
        </w:rPr>
        <w:t>🤖</w:t>
      </w:r>
      <w:r>
        <w:rPr>
          <w:rFonts w:hint="eastAsia"/>
        </w:rPr>
        <w:t xml:space="preserve"> Accurate search</w:t>
      </w:r>
    </w:p>
    <w:p w14:paraId="46BC45D8" w14:textId="77777777" w:rsidR="00257C0C" w:rsidRDefault="00257C0C" w:rsidP="00257C0C">
      <w:pPr>
        <w:rPr>
          <w:rFonts w:hint="eastAsia"/>
        </w:rPr>
      </w:pPr>
    </w:p>
    <w:p w14:paraId="3FD04C3B" w14:textId="77777777" w:rsidR="00257C0C" w:rsidRDefault="00257C0C" w:rsidP="00257C0C">
      <w:pPr>
        <w:rPr>
          <w:rFonts w:hint="eastAsia"/>
        </w:rPr>
      </w:pPr>
      <w:r>
        <w:rPr>
          <w:rFonts w:hint="eastAsia"/>
        </w:rPr>
        <w:t>knowledge graph entries found: 11, literatures found: 71</w:t>
      </w:r>
    </w:p>
    <w:p w14:paraId="35094854" w14:textId="77777777" w:rsidR="00257C0C" w:rsidRDefault="00257C0C" w:rsidP="00257C0C">
      <w:pPr>
        <w:rPr>
          <w:rFonts w:hint="eastAsia"/>
        </w:rPr>
      </w:pPr>
    </w:p>
    <w:p w14:paraId="402890A3" w14:textId="77777777" w:rsidR="00257C0C" w:rsidRDefault="00257C0C" w:rsidP="00257C0C">
      <w:pPr>
        <w:rPr>
          <w:rFonts w:hint="eastAsia"/>
        </w:rPr>
      </w:pPr>
      <w:r>
        <w:rPr>
          <w:rFonts w:hint="eastAsia"/>
        </w:rPr>
        <w:t>Additional TeroKit data: Isotanshinone Iia</w:t>
      </w:r>
    </w:p>
    <w:p w14:paraId="6F419A0C" w14:textId="77777777" w:rsidR="00257C0C" w:rsidRDefault="00257C0C" w:rsidP="00257C0C">
      <w:pPr>
        <w:rPr>
          <w:rFonts w:hint="eastAsia"/>
        </w:rPr>
      </w:pPr>
    </w:p>
    <w:p w14:paraId="42BFC096" w14:textId="77777777" w:rsidR="00257C0C" w:rsidRDefault="00257C0C" w:rsidP="00257C0C">
      <w:pPr>
        <w:rPr>
          <w:rFonts w:hint="eastAsia"/>
        </w:rPr>
      </w:pPr>
      <w:r>
        <w:rPr>
          <w:rFonts w:hint="eastAsia"/>
        </w:rPr>
        <w:t>Additional TeroKit data: Tanshinone Iia</w:t>
      </w:r>
    </w:p>
    <w:p w14:paraId="514C08A4" w14:textId="77777777" w:rsidR="00257C0C" w:rsidRDefault="00257C0C" w:rsidP="00257C0C">
      <w:pPr>
        <w:rPr>
          <w:rFonts w:hint="eastAsia"/>
        </w:rPr>
      </w:pPr>
    </w:p>
    <w:p w14:paraId="6CF466B9" w14:textId="77777777" w:rsidR="00257C0C" w:rsidRDefault="00257C0C" w:rsidP="00257C0C">
      <w:pPr>
        <w:rPr>
          <w:rFonts w:hint="eastAsia"/>
        </w:rPr>
      </w:pPr>
      <w:r>
        <w:rPr>
          <w:rFonts w:hint="eastAsia"/>
        </w:rPr>
        <w:t>Token prompt: 5054, completion: 142</w:t>
      </w:r>
    </w:p>
    <w:p w14:paraId="7715BDAA" w14:textId="77777777" w:rsidR="00257C0C" w:rsidRDefault="00257C0C" w:rsidP="00257C0C">
      <w:pPr>
        <w:rPr>
          <w:rFonts w:hint="eastAsia"/>
        </w:rPr>
      </w:pPr>
    </w:p>
    <w:p w14:paraId="181A29B5" w14:textId="77777777" w:rsidR="00257C0C" w:rsidRDefault="00257C0C" w:rsidP="00257C0C">
      <w:pPr>
        <w:rPr>
          <w:rFonts w:hint="eastAsia"/>
        </w:rPr>
      </w:pPr>
      <w:r>
        <w:rPr>
          <w:rFonts w:hint="eastAsia"/>
        </w:rPr>
        <w:t>search chunks number: 11</w:t>
      </w:r>
    </w:p>
    <w:p w14:paraId="3EBEBD7A" w14:textId="77777777" w:rsidR="00257C0C" w:rsidRDefault="00257C0C" w:rsidP="00257C0C">
      <w:pPr>
        <w:rPr>
          <w:rFonts w:hint="eastAsia"/>
        </w:rPr>
      </w:pPr>
    </w:p>
    <w:p w14:paraId="3677B80E" w14:textId="77777777" w:rsidR="00257C0C" w:rsidRDefault="00257C0C" w:rsidP="00257C0C">
      <w:pPr>
        <w:rPr>
          <w:rFonts w:hint="eastAsia"/>
        </w:rPr>
      </w:pPr>
      <w:r>
        <w:rPr>
          <w:rFonts w:hint="eastAsia"/>
        </w:rPr>
        <w:t>Based on the provided documents, Tanshinone IIA (Tan IIA) is primarily used for the treatment of three key cardiovascular diseases: atherosclerosis, myocardial infarction, and cardiac hypertrophy. Below is a detailed breakdown of its applications for each condition:</w:t>
      </w:r>
    </w:p>
    <w:p w14:paraId="29DCB68C" w14:textId="77777777" w:rsidR="00257C0C" w:rsidRDefault="00257C0C" w:rsidP="00257C0C">
      <w:pPr>
        <w:rPr>
          <w:rFonts w:hint="eastAsia"/>
        </w:rPr>
      </w:pPr>
    </w:p>
    <w:p w14:paraId="1353DAF3" w14:textId="77777777" w:rsidR="00257C0C" w:rsidRDefault="00257C0C" w:rsidP="00257C0C">
      <w:pPr>
        <w:rPr>
          <w:rFonts w:hint="eastAsia"/>
        </w:rPr>
      </w:pPr>
      <w:r>
        <w:rPr>
          <w:rFonts w:hint="eastAsia"/>
        </w:rPr>
        <w:t>Atherosclerosis</w:t>
      </w:r>
    </w:p>
    <w:p w14:paraId="130357B3" w14:textId="77777777" w:rsidR="00257C0C" w:rsidRDefault="00257C0C" w:rsidP="00257C0C">
      <w:pPr>
        <w:rPr>
          <w:rFonts w:hint="eastAsia"/>
        </w:rPr>
      </w:pPr>
      <w:r>
        <w:rPr>
          <w:rFonts w:hint="eastAsia"/>
        </w:rPr>
        <w:t xml:space="preserve">Tan IIA is a potent anti-atherogenic agent with well-documented therapeutic use for atherosclerosis. As the most abundant diterpene quinone in Salvia miltiorrhiza </w:t>
      </w:r>
      <w:r>
        <w:rPr>
          <w:rFonts w:hint="eastAsia"/>
        </w:rPr>
        <w:lastRenderedPageBreak/>
        <w:t>(Danshen), it exhibits protective effects against atherogenesis through multiple mechanisms. These include inhibiting oxLDL-induced NLRP3 inflammasome activation (regulating both "priming" and "activation" steps) [1], reducing in vivo production of pro-inflammatory cytokines (IL-1β/IL-18) [1], and suppressing inflammatory factors (e.g., CRP, OX-LDL, IL-6, TNF-α) via negative regulation of miR-155 expression [2]. Additionally, it has been used as an anti-atherosclerosis drug in China and Southeast Asian countries for centuries [1], and its efficacy against atherosclerosis and associated inflammatory reactions has been demonstrated in experimental models [3].</w:t>
      </w:r>
    </w:p>
    <w:p w14:paraId="02482315" w14:textId="77777777" w:rsidR="00257C0C" w:rsidRDefault="00257C0C" w:rsidP="00257C0C">
      <w:pPr>
        <w:rPr>
          <w:rFonts w:hint="eastAsia"/>
        </w:rPr>
      </w:pPr>
    </w:p>
    <w:p w14:paraId="247680D2" w14:textId="77777777" w:rsidR="00257C0C" w:rsidRDefault="00257C0C" w:rsidP="00257C0C">
      <w:pPr>
        <w:rPr>
          <w:rFonts w:hint="eastAsia"/>
        </w:rPr>
      </w:pPr>
      <w:r>
        <w:rPr>
          <w:rFonts w:hint="eastAsia"/>
        </w:rPr>
        <w:t>Myocardial Infarction (MI)</w:t>
      </w:r>
    </w:p>
    <w:p w14:paraId="7138C7DD" w14:textId="77777777" w:rsidR="00257C0C" w:rsidRDefault="00257C0C" w:rsidP="00257C0C">
      <w:pPr>
        <w:rPr>
          <w:rFonts w:hint="eastAsia"/>
        </w:rPr>
      </w:pPr>
      <w:r>
        <w:rPr>
          <w:rFonts w:hint="eastAsia"/>
        </w:rPr>
        <w:t>Tan IIA is widely applied in the treatment of myocardial infarction, with clinical and experimental evidence supporting its efficacy. It reduces infarct size and improves cardiac dysfunction after ischemia/reperfusion (I/R) injury in diabetic rats, accompanied by decreased apoptosis and inflammation [4]. Clinically, it has been used to treat MI, with studies showing reduced severity of MI in treated patients compared to control groups [5]. Mechanistically, it attenuates MI and prevents left ventricular remodeling (VR) [5], improves cardiac function in rats with MI-induced heart failure [6], and alleviates cardiac fibrosis and ventricular remodeling post-MI by upregulating miR-205-3p and downregulating TGF-β1 [7]. Sodium sulfonate forms of Tan IIA are also used clinically for MI treatment [8][9], and it is included in ongoing clinical trials for MI therapy [10].</w:t>
      </w:r>
    </w:p>
    <w:p w14:paraId="2A585662" w14:textId="77777777" w:rsidR="00257C0C" w:rsidRDefault="00257C0C" w:rsidP="00257C0C">
      <w:pPr>
        <w:rPr>
          <w:rFonts w:hint="eastAsia"/>
        </w:rPr>
      </w:pPr>
    </w:p>
    <w:p w14:paraId="19F6B310" w14:textId="77777777" w:rsidR="00257C0C" w:rsidRDefault="00257C0C" w:rsidP="00257C0C">
      <w:pPr>
        <w:rPr>
          <w:rFonts w:hint="eastAsia"/>
        </w:rPr>
      </w:pPr>
      <w:r>
        <w:rPr>
          <w:rFonts w:hint="eastAsia"/>
        </w:rPr>
        <w:t>Cardiac Hypertrophy</w:t>
      </w:r>
    </w:p>
    <w:p w14:paraId="28402EE7" w14:textId="77777777" w:rsidR="00257C0C" w:rsidRDefault="00257C0C" w:rsidP="00257C0C">
      <w:pPr>
        <w:rPr>
          <w:rFonts w:hint="eastAsia"/>
        </w:rPr>
      </w:pPr>
      <w:r>
        <w:rPr>
          <w:rFonts w:hint="eastAsia"/>
        </w:rPr>
        <w:t>Tan IIA serves as a preventive and therapeutic agent for cardiac hypertrophy, acting through multiple signaling pathways. It attenuates cardiomyocyte hypertrophy induced by isoproterenol (ISO) by inhibiting the Calcineurin/NFATc3 pathway [11] and plays a preventive role in ISO-induced cardiac hypertrophy [11]. Additionally, it targets galectin-3 to reduce hypertrophy [12] and inhibits pathological hypertrophy via pathways including AT1R, NO/NOS, and TGF-β1/Smads [13]. Its protective effects against cardiac hypertrophy are also linked to attenuation of oxidative stress-induced apoptosis [14].</w:t>
      </w:r>
    </w:p>
    <w:p w14:paraId="41540F56" w14:textId="77777777" w:rsidR="00257C0C" w:rsidRDefault="00257C0C" w:rsidP="00257C0C">
      <w:pPr>
        <w:rPr>
          <w:rFonts w:hint="eastAsia"/>
        </w:rPr>
      </w:pPr>
    </w:p>
    <w:p w14:paraId="50DD31A7" w14:textId="77777777" w:rsidR="00257C0C" w:rsidRDefault="00257C0C" w:rsidP="00257C0C">
      <w:pPr>
        <w:rPr>
          <w:rFonts w:hint="eastAsia"/>
        </w:rPr>
      </w:pPr>
      <w:r>
        <w:rPr>
          <w:rFonts w:hint="eastAsia"/>
        </w:rPr>
        <w:t>Collectively, these three cardiovascular diseases—atherosclerosis, myocardial infarction, and cardiac hypertrophy—represent the primary targets of Tan IIA for treatment, as consistently highlighted across the provided documents.</w:t>
      </w:r>
    </w:p>
    <w:p w14:paraId="50C6C496" w14:textId="77777777" w:rsidR="00257C0C" w:rsidRDefault="00257C0C" w:rsidP="00257C0C">
      <w:pPr>
        <w:rPr>
          <w:rFonts w:hint="eastAsia"/>
        </w:rPr>
      </w:pPr>
    </w:p>
    <w:p w14:paraId="74707E10" w14:textId="77777777" w:rsidR="00257C0C" w:rsidRDefault="00257C0C" w:rsidP="00257C0C">
      <w:pPr>
        <w:rPr>
          <w:rFonts w:hint="eastAsia"/>
        </w:rPr>
      </w:pPr>
      <w:r>
        <w:rPr>
          <w:rFonts w:hint="eastAsia"/>
        </w:rPr>
        <w:t>References</w:t>
      </w:r>
    </w:p>
    <w:p w14:paraId="1AA12845" w14:textId="77777777" w:rsidR="00257C0C" w:rsidRDefault="00257C0C" w:rsidP="00257C0C">
      <w:pPr>
        <w:rPr>
          <w:rFonts w:hint="eastAsia"/>
        </w:rPr>
      </w:pPr>
      <w:r>
        <w:rPr>
          <w:rFonts w:hint="eastAsia"/>
        </w:rPr>
        <w:t>[1] Wen J, Chang Y, Huo S, Li W, Huang H, Gao Y, Lin H, Zhang J, Zhang Y, Zuo Y, Cao X, Zhong F., Tanshinone IIA attenuates atherosclerosis via inhibiting NLRP3 inflammasome activation, 2020, Aging (Albany NY)</w:t>
      </w:r>
    </w:p>
    <w:p w14:paraId="3392ADAB" w14:textId="77777777" w:rsidR="00257C0C" w:rsidRDefault="00257C0C" w:rsidP="00257C0C">
      <w:pPr>
        <w:rPr>
          <w:rFonts w:hint="eastAsia"/>
        </w:rPr>
      </w:pPr>
      <w:r>
        <w:rPr>
          <w:rFonts w:hint="eastAsia"/>
        </w:rPr>
        <w:t>[2] Ngum JA, Tatang FJ, Toumeni MH, Nguengo SN, Simo USF, Mezajou CF, Kameni C, Ngongang NN, Tchinda MF, Dongho Dongmo FF, Akami M, Ngane Ngono AR, Tamgue O., An overview of natural products that modulate the expression of non-coding RNAs involved in oxidative stress and inflammation-associated disorders, 2023, Front Pharmacol</w:t>
      </w:r>
    </w:p>
    <w:p w14:paraId="1D1D415B" w14:textId="77777777" w:rsidR="00257C0C" w:rsidRDefault="00257C0C" w:rsidP="00257C0C">
      <w:pPr>
        <w:rPr>
          <w:rFonts w:hint="eastAsia"/>
        </w:rPr>
      </w:pPr>
      <w:r>
        <w:rPr>
          <w:rFonts w:hint="eastAsia"/>
        </w:rPr>
        <w:t>[3] Li Y, Guo Y, Chen Y, Wang Y, You Y, Yang Q, Weng X, Li Q, Zhu X, Zhou B, Liu X, Gong Z, Zhang R., Establishment of an interleukin-1β-induced inflammation-activated endothelial cell-smooth muscle cell-mononuclear cell co-culture model and evaluation of the anti-inflammatory effects of tanshinone IIA on atherosclerosis, 2015, Mol Med Rep</w:t>
      </w:r>
    </w:p>
    <w:p w14:paraId="0660F76F" w14:textId="77777777" w:rsidR="00257C0C" w:rsidRDefault="00257C0C" w:rsidP="00257C0C">
      <w:pPr>
        <w:rPr>
          <w:rFonts w:hint="eastAsia"/>
        </w:rPr>
      </w:pPr>
      <w:r>
        <w:rPr>
          <w:rFonts w:hint="eastAsia"/>
        </w:rPr>
        <w:t>[4] Sun D, Shen M, Li J, Li W, Zhang Y, Zhao L, Zhang Z, Yuan Y, Wang H, Cao F., Cardioprotective effects of tanshinone IIA pretreatment via kinin B2 receptor-Akt-GSK-3β dependent pathway in experimental diabetic cardiomyopathy, 2011, Cardiovasc Diabetol</w:t>
      </w:r>
    </w:p>
    <w:p w14:paraId="510119B7" w14:textId="77777777" w:rsidR="00257C0C" w:rsidRDefault="00257C0C" w:rsidP="00257C0C">
      <w:pPr>
        <w:rPr>
          <w:rFonts w:hint="eastAsia"/>
        </w:rPr>
      </w:pPr>
      <w:r>
        <w:rPr>
          <w:rFonts w:hint="eastAsia"/>
        </w:rPr>
        <w:t>[5] Wu DM, Wang YJ, Han XR, Wen X, Li L, Xu L, Lu J, Zheng YL., Tanshinone IIA prevents left ventricular remodelling via the TLR4/MyD88/NF-κB signalling pathway in rats with myocardial infarction, 2018, J Cell Mol Med</w:t>
      </w:r>
    </w:p>
    <w:p w14:paraId="32446AC2" w14:textId="77777777" w:rsidR="00257C0C" w:rsidRDefault="00257C0C" w:rsidP="00257C0C">
      <w:pPr>
        <w:rPr>
          <w:rFonts w:hint="eastAsia"/>
        </w:rPr>
      </w:pPr>
      <w:r>
        <w:rPr>
          <w:rFonts w:hint="eastAsia"/>
        </w:rPr>
        <w:t>[6] Chen R, Chen W, Huang X, Rui Q., Tanshinone IIA attenuates heart failure via inhibiting oxidative stress in myocardial infarction rats, 2021, Mol Med Rep</w:t>
      </w:r>
    </w:p>
    <w:p w14:paraId="05C04FD3" w14:textId="77777777" w:rsidR="00257C0C" w:rsidRDefault="00257C0C" w:rsidP="00257C0C">
      <w:pPr>
        <w:rPr>
          <w:rFonts w:hint="eastAsia"/>
        </w:rPr>
      </w:pPr>
      <w:r>
        <w:rPr>
          <w:rFonts w:hint="eastAsia"/>
        </w:rPr>
        <w:t>[7] Qiao P, Xu J, Liu X, Li X., Tanshinone IIA Improves Ventricular Remodeling following Cardiac Infarction by Regulating miR-205-3p, 2021, Dis Markers</w:t>
      </w:r>
    </w:p>
    <w:p w14:paraId="3DC2FFBC" w14:textId="77777777" w:rsidR="00257C0C" w:rsidRDefault="00257C0C" w:rsidP="00257C0C">
      <w:pPr>
        <w:rPr>
          <w:rFonts w:hint="eastAsia"/>
        </w:rPr>
      </w:pPr>
      <w:r>
        <w:rPr>
          <w:rFonts w:hint="eastAsia"/>
        </w:rPr>
        <w:t>[8] Zhan Z, Fang W, Ma X, Chen T, Cui G, Ma Y, Kang L, Nan T, Lin H, Tang J, Zhang Y, Lai C, Ren Z, Wang Y, Zhao Y, Shen Y, Wang L, Zeng W, Guo J, Huang L., Metabolome and transcriptome analyses reveal quality change in the orange-rooted Salvia miltiorrhiza (Danshen) from cultivated field, 2019, Chin Med</w:t>
      </w:r>
    </w:p>
    <w:p w14:paraId="7CD99DF8" w14:textId="77777777" w:rsidR="00257C0C" w:rsidRDefault="00257C0C" w:rsidP="00257C0C">
      <w:pPr>
        <w:rPr>
          <w:rFonts w:hint="eastAsia"/>
        </w:rPr>
      </w:pPr>
      <w:r>
        <w:rPr>
          <w:rFonts w:hint="eastAsia"/>
        </w:rPr>
        <w:t>[9] Xing L, Tan ZR, Cheng JL, Huang WH, Zhang W, Deng W, Yuan CS, Zhou HH., Bioavailability and pharmacokinetic comparison of tanshinones between two formulations of Salvia miltiorrhiza in healthy volunteers, 2017, Sci Rep</w:t>
      </w:r>
    </w:p>
    <w:p w14:paraId="438E28A8" w14:textId="77777777" w:rsidR="00257C0C" w:rsidRDefault="00257C0C" w:rsidP="00257C0C">
      <w:pPr>
        <w:rPr>
          <w:rFonts w:hint="eastAsia"/>
        </w:rPr>
      </w:pPr>
      <w:r>
        <w:rPr>
          <w:rFonts w:hint="eastAsia"/>
        </w:rPr>
        <w:lastRenderedPageBreak/>
        <w:t>[10] Guerra, Angela R.; Duarte, Iola F.; Duarte, Maria F., Role of Isoprenoid Compounds on Angiogenic Regulation: Opportunities and Challenges, 2016, CURRENT MEDICINAL CHEMISTRY</w:t>
      </w:r>
    </w:p>
    <w:p w14:paraId="3FBA8EB9" w14:textId="77777777" w:rsidR="00257C0C" w:rsidRDefault="00257C0C" w:rsidP="00257C0C">
      <w:pPr>
        <w:rPr>
          <w:rFonts w:hint="eastAsia"/>
        </w:rPr>
      </w:pPr>
      <w:r>
        <w:rPr>
          <w:rFonts w:hint="eastAsia"/>
        </w:rPr>
        <w:t>[11] Tan X, Li J, Wang X, Chen N, Cai B, Wang G, Shan H, Dong D, Liu Y, Li X, Yang F, Li X, Zhang P, Li X, Yang B, Lu Y., Tanshinone IIA protects against cardiac hypertrophy via inhibiting calcineurin/NFATc3 pathway, 2011, Int J Biol Sci</w:t>
      </w:r>
    </w:p>
    <w:p w14:paraId="730212F0" w14:textId="77777777" w:rsidR="00257C0C" w:rsidRDefault="00257C0C" w:rsidP="00257C0C">
      <w:pPr>
        <w:rPr>
          <w:rFonts w:hint="eastAsia"/>
        </w:rPr>
      </w:pPr>
      <w:r>
        <w:rPr>
          <w:rFonts w:hint="eastAsia"/>
        </w:rPr>
        <w:t>[12] Zhang M, Chen Y, Chen H, Shen Y, Pang L, Wu W, Yu Z., Tanshinone IIA alleviates cardiac hypertrophy through m6A modification of galectin-3, 2022, Bioengineered</w:t>
      </w:r>
    </w:p>
    <w:p w14:paraId="319D892F" w14:textId="77777777" w:rsidR="00257C0C" w:rsidRDefault="00257C0C" w:rsidP="00257C0C">
      <w:pPr>
        <w:rPr>
          <w:rFonts w:hint="eastAsia"/>
        </w:rPr>
      </w:pPr>
      <w:r>
        <w:rPr>
          <w:rFonts w:hint="eastAsia"/>
        </w:rPr>
        <w:t>[13] Akaberi, M.; Iranshahi, M.; Mehri, S., Molecular Signaling Pathways Behind the Biological Effects of Salvia Species Diterpenes in Neuropharmacology and Cardiology, 2016, PHYTOTHERAPY RESEARCH</w:t>
      </w:r>
    </w:p>
    <w:p w14:paraId="50C47CB6" w14:textId="03A49DA1" w:rsidR="00CA3879" w:rsidRDefault="00257C0C" w:rsidP="00257C0C">
      <w:pPr>
        <w:rPr>
          <w:rFonts w:hint="eastAsia"/>
        </w:rPr>
      </w:pPr>
      <w:r>
        <w:rPr>
          <w:rFonts w:hint="eastAsia"/>
        </w:rPr>
        <w:t>[14] Zhang XM, Ma J, Sun Y, Yu BQ, Jiao ZM, Wang D, Yu MY, Li JY, Fu J., Tanshinone IIA promotes the differentiation of bone marrow mesenchymal stem cells into neuronal-like cells in a spinal cord injury model, 2018, J Transl Med</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CE8B7" w14:textId="77777777" w:rsidR="001C7819" w:rsidRDefault="001C7819" w:rsidP="00257C0C">
      <w:pPr>
        <w:spacing w:after="0" w:line="240" w:lineRule="auto"/>
        <w:rPr>
          <w:rFonts w:hint="eastAsia"/>
        </w:rPr>
      </w:pPr>
      <w:r>
        <w:separator/>
      </w:r>
    </w:p>
  </w:endnote>
  <w:endnote w:type="continuationSeparator" w:id="0">
    <w:p w14:paraId="74F626C8" w14:textId="77777777" w:rsidR="001C7819" w:rsidRDefault="001C7819" w:rsidP="00257C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81556" w14:textId="77777777" w:rsidR="001C7819" w:rsidRDefault="001C7819" w:rsidP="00257C0C">
      <w:pPr>
        <w:spacing w:after="0" w:line="240" w:lineRule="auto"/>
        <w:rPr>
          <w:rFonts w:hint="eastAsia"/>
        </w:rPr>
      </w:pPr>
      <w:r>
        <w:separator/>
      </w:r>
    </w:p>
  </w:footnote>
  <w:footnote w:type="continuationSeparator" w:id="0">
    <w:p w14:paraId="521FA82A" w14:textId="77777777" w:rsidR="001C7819" w:rsidRDefault="001C7819" w:rsidP="00257C0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E31"/>
    <w:rsid w:val="001C7819"/>
    <w:rsid w:val="001F6576"/>
    <w:rsid w:val="00257C0C"/>
    <w:rsid w:val="00327F37"/>
    <w:rsid w:val="00CA3879"/>
    <w:rsid w:val="00F16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EDC725D-B70C-437C-8DBC-A2829F44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6E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6E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6E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6E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6E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16E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6E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6E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16E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6E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6E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6E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6E31"/>
    <w:rPr>
      <w:rFonts w:cstheme="majorBidi"/>
      <w:color w:val="0F4761" w:themeColor="accent1" w:themeShade="BF"/>
      <w:sz w:val="28"/>
      <w:szCs w:val="28"/>
    </w:rPr>
  </w:style>
  <w:style w:type="character" w:customStyle="1" w:styleId="50">
    <w:name w:val="标题 5 字符"/>
    <w:basedOn w:val="a0"/>
    <w:link w:val="5"/>
    <w:uiPriority w:val="9"/>
    <w:semiHidden/>
    <w:rsid w:val="00F16E31"/>
    <w:rPr>
      <w:rFonts w:cstheme="majorBidi"/>
      <w:color w:val="0F4761" w:themeColor="accent1" w:themeShade="BF"/>
      <w:sz w:val="24"/>
    </w:rPr>
  </w:style>
  <w:style w:type="character" w:customStyle="1" w:styleId="60">
    <w:name w:val="标题 6 字符"/>
    <w:basedOn w:val="a0"/>
    <w:link w:val="6"/>
    <w:uiPriority w:val="9"/>
    <w:semiHidden/>
    <w:rsid w:val="00F16E31"/>
    <w:rPr>
      <w:rFonts w:cstheme="majorBidi"/>
      <w:b/>
      <w:bCs/>
      <w:color w:val="0F4761" w:themeColor="accent1" w:themeShade="BF"/>
    </w:rPr>
  </w:style>
  <w:style w:type="character" w:customStyle="1" w:styleId="70">
    <w:name w:val="标题 7 字符"/>
    <w:basedOn w:val="a0"/>
    <w:link w:val="7"/>
    <w:uiPriority w:val="9"/>
    <w:semiHidden/>
    <w:rsid w:val="00F16E31"/>
    <w:rPr>
      <w:rFonts w:cstheme="majorBidi"/>
      <w:b/>
      <w:bCs/>
      <w:color w:val="595959" w:themeColor="text1" w:themeTint="A6"/>
    </w:rPr>
  </w:style>
  <w:style w:type="character" w:customStyle="1" w:styleId="80">
    <w:name w:val="标题 8 字符"/>
    <w:basedOn w:val="a0"/>
    <w:link w:val="8"/>
    <w:uiPriority w:val="9"/>
    <w:semiHidden/>
    <w:rsid w:val="00F16E31"/>
    <w:rPr>
      <w:rFonts w:cstheme="majorBidi"/>
      <w:color w:val="595959" w:themeColor="text1" w:themeTint="A6"/>
    </w:rPr>
  </w:style>
  <w:style w:type="character" w:customStyle="1" w:styleId="90">
    <w:name w:val="标题 9 字符"/>
    <w:basedOn w:val="a0"/>
    <w:link w:val="9"/>
    <w:uiPriority w:val="9"/>
    <w:semiHidden/>
    <w:rsid w:val="00F16E31"/>
    <w:rPr>
      <w:rFonts w:eastAsiaTheme="majorEastAsia" w:cstheme="majorBidi"/>
      <w:color w:val="595959" w:themeColor="text1" w:themeTint="A6"/>
    </w:rPr>
  </w:style>
  <w:style w:type="paragraph" w:styleId="a3">
    <w:name w:val="Title"/>
    <w:basedOn w:val="a"/>
    <w:next w:val="a"/>
    <w:link w:val="a4"/>
    <w:uiPriority w:val="10"/>
    <w:qFormat/>
    <w:rsid w:val="00F16E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6E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E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6E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E31"/>
    <w:pPr>
      <w:spacing w:before="160"/>
      <w:jc w:val="center"/>
    </w:pPr>
    <w:rPr>
      <w:i/>
      <w:iCs/>
      <w:color w:val="404040" w:themeColor="text1" w:themeTint="BF"/>
    </w:rPr>
  </w:style>
  <w:style w:type="character" w:customStyle="1" w:styleId="a8">
    <w:name w:val="引用 字符"/>
    <w:basedOn w:val="a0"/>
    <w:link w:val="a7"/>
    <w:uiPriority w:val="29"/>
    <w:rsid w:val="00F16E31"/>
    <w:rPr>
      <w:i/>
      <w:iCs/>
      <w:color w:val="404040" w:themeColor="text1" w:themeTint="BF"/>
    </w:rPr>
  </w:style>
  <w:style w:type="paragraph" w:styleId="a9">
    <w:name w:val="List Paragraph"/>
    <w:basedOn w:val="a"/>
    <w:uiPriority w:val="34"/>
    <w:qFormat/>
    <w:rsid w:val="00F16E31"/>
    <w:pPr>
      <w:ind w:left="720"/>
      <w:contextualSpacing/>
    </w:pPr>
  </w:style>
  <w:style w:type="character" w:styleId="aa">
    <w:name w:val="Intense Emphasis"/>
    <w:basedOn w:val="a0"/>
    <w:uiPriority w:val="21"/>
    <w:qFormat/>
    <w:rsid w:val="00F16E31"/>
    <w:rPr>
      <w:i/>
      <w:iCs/>
      <w:color w:val="0F4761" w:themeColor="accent1" w:themeShade="BF"/>
    </w:rPr>
  </w:style>
  <w:style w:type="paragraph" w:styleId="ab">
    <w:name w:val="Intense Quote"/>
    <w:basedOn w:val="a"/>
    <w:next w:val="a"/>
    <w:link w:val="ac"/>
    <w:uiPriority w:val="30"/>
    <w:qFormat/>
    <w:rsid w:val="00F1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6E31"/>
    <w:rPr>
      <w:i/>
      <w:iCs/>
      <w:color w:val="0F4761" w:themeColor="accent1" w:themeShade="BF"/>
    </w:rPr>
  </w:style>
  <w:style w:type="character" w:styleId="ad">
    <w:name w:val="Intense Reference"/>
    <w:basedOn w:val="a0"/>
    <w:uiPriority w:val="32"/>
    <w:qFormat/>
    <w:rsid w:val="00F16E31"/>
    <w:rPr>
      <w:b/>
      <w:bCs/>
      <w:smallCaps/>
      <w:color w:val="0F4761" w:themeColor="accent1" w:themeShade="BF"/>
      <w:spacing w:val="5"/>
    </w:rPr>
  </w:style>
  <w:style w:type="paragraph" w:styleId="ae">
    <w:name w:val="header"/>
    <w:basedOn w:val="a"/>
    <w:link w:val="af"/>
    <w:uiPriority w:val="99"/>
    <w:unhideWhenUsed/>
    <w:rsid w:val="00257C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57C0C"/>
    <w:rPr>
      <w:sz w:val="18"/>
      <w:szCs w:val="18"/>
    </w:rPr>
  </w:style>
  <w:style w:type="paragraph" w:styleId="af0">
    <w:name w:val="footer"/>
    <w:basedOn w:val="a"/>
    <w:link w:val="af1"/>
    <w:uiPriority w:val="99"/>
    <w:unhideWhenUsed/>
    <w:rsid w:val="00257C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57C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893</Words>
  <Characters>5657</Characters>
  <Application>Microsoft Office Word</Application>
  <DocSecurity>0</DocSecurity>
  <Lines>101</Lines>
  <Paragraphs>40</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2026-02-05T07:37:00Z</dcterms:created>
  <dcterms:modified xsi:type="dcterms:W3CDTF">2026-02-05T07:37:00Z</dcterms:modified>
</cp:coreProperties>
</file>