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D09F" w14:textId="77777777" w:rsidR="00B917EC" w:rsidRDefault="00B917EC" w:rsidP="00B917EC">
      <w:pPr>
        <w:rPr>
          <w:rFonts w:hint="eastAsia"/>
        </w:rPr>
      </w:pPr>
      <w:r>
        <w:rPr>
          <w:rFonts w:hint="eastAsia"/>
        </w:rPr>
        <w:t>Structural characteristics of natural Pyrethrins.</w:t>
      </w:r>
    </w:p>
    <w:p w14:paraId="610A2FAA" w14:textId="77777777" w:rsidR="00B917EC" w:rsidRDefault="00B917EC" w:rsidP="00B917EC">
      <w:pPr>
        <w:rPr>
          <w:rFonts w:hint="eastAsia"/>
        </w:rPr>
      </w:pPr>
      <w:r>
        <w:rPr>
          <w:rFonts w:hint="eastAsia"/>
        </w:rPr>
        <w:t>Chat ID: 20260205-151912-598964</w:t>
      </w:r>
    </w:p>
    <w:p w14:paraId="5ED366AC" w14:textId="77777777" w:rsidR="00B917EC" w:rsidRDefault="00B917EC" w:rsidP="00B917EC">
      <w:pPr>
        <w:rPr>
          <w:rFonts w:hint="eastAsia"/>
        </w:rPr>
      </w:pPr>
    </w:p>
    <w:p w14:paraId="6F16AD1F" w14:textId="77777777" w:rsidR="00B917EC" w:rsidRDefault="00B917EC" w:rsidP="00B917EC">
      <w:pPr>
        <w:rPr>
          <w:rFonts w:hint="eastAsia"/>
        </w:rPr>
      </w:pPr>
      <w:r>
        <w:rPr>
          <w:rFonts w:ascii="Segoe UI Emoji" w:hAnsi="Segoe UI Emoji" w:cs="Segoe UI Emoji"/>
        </w:rPr>
        <w:t>🌿</w:t>
      </w:r>
      <w:r>
        <w:rPr>
          <w:rFonts w:hint="eastAsia"/>
        </w:rPr>
        <w:t xml:space="preserve"> Summary all knowledge for: Pyrethrins</w:t>
      </w:r>
    </w:p>
    <w:p w14:paraId="53FC79E4" w14:textId="77777777" w:rsidR="00B917EC" w:rsidRDefault="00B917EC" w:rsidP="00B917EC">
      <w:pPr>
        <w:rPr>
          <w:rFonts w:hint="eastAsia"/>
        </w:rPr>
      </w:pPr>
    </w:p>
    <w:p w14:paraId="17DD14F2" w14:textId="77777777" w:rsidR="00B917EC" w:rsidRDefault="00B917EC" w:rsidP="00B917EC">
      <w:pPr>
        <w:rPr>
          <w:rFonts w:hint="eastAsia"/>
        </w:rPr>
      </w:pPr>
      <w:r>
        <w:rPr>
          <w:rFonts w:hint="eastAsia"/>
        </w:rPr>
        <w:t>knowledge graph entries found: 258, molecules found: 5, attributes found: 50</w:t>
      </w:r>
    </w:p>
    <w:p w14:paraId="177937B9" w14:textId="77777777" w:rsidR="00B917EC" w:rsidRDefault="00B917EC" w:rsidP="00B917EC">
      <w:pPr>
        <w:rPr>
          <w:rFonts w:hint="eastAsia"/>
        </w:rPr>
      </w:pPr>
      <w:r>
        <w:rPr>
          <w:rFonts w:ascii="Segoe UI Emoji" w:hAnsi="Segoe UI Emoji" w:cs="Segoe UI Emoji"/>
        </w:rPr>
        <w:t>🤖</w:t>
      </w:r>
      <w:r>
        <w:rPr>
          <w:rFonts w:hint="eastAsia"/>
        </w:rPr>
        <w:t xml:space="preserve"> Accurate search</w:t>
      </w:r>
    </w:p>
    <w:p w14:paraId="205B6357" w14:textId="77777777" w:rsidR="00B917EC" w:rsidRDefault="00B917EC" w:rsidP="00B917EC">
      <w:pPr>
        <w:rPr>
          <w:rFonts w:hint="eastAsia"/>
        </w:rPr>
      </w:pPr>
    </w:p>
    <w:p w14:paraId="6CFEBDBF" w14:textId="77777777" w:rsidR="00B917EC" w:rsidRDefault="00B917EC" w:rsidP="00B917EC">
      <w:pPr>
        <w:rPr>
          <w:rFonts w:hint="eastAsia"/>
        </w:rPr>
      </w:pPr>
      <w:r>
        <w:rPr>
          <w:rFonts w:ascii="Segoe UI Emoji" w:hAnsi="Segoe UI Emoji" w:cs="Segoe UI Emoji"/>
        </w:rPr>
        <w:t>🤖</w:t>
      </w:r>
      <w:r>
        <w:rPr>
          <w:rFonts w:hint="eastAsia"/>
        </w:rPr>
        <w:t xml:space="preserve"> Accurate search</w:t>
      </w:r>
    </w:p>
    <w:p w14:paraId="03C22A9F" w14:textId="77777777" w:rsidR="00B917EC" w:rsidRDefault="00B917EC" w:rsidP="00B917EC">
      <w:pPr>
        <w:rPr>
          <w:rFonts w:hint="eastAsia"/>
        </w:rPr>
      </w:pPr>
    </w:p>
    <w:p w14:paraId="4AE9CE55" w14:textId="77777777" w:rsidR="00B917EC" w:rsidRDefault="00B917EC" w:rsidP="00B917EC">
      <w:pPr>
        <w:rPr>
          <w:rFonts w:hint="eastAsia"/>
        </w:rPr>
      </w:pPr>
      <w:r>
        <w:rPr>
          <w:rFonts w:hint="eastAsia"/>
        </w:rPr>
        <w:t>knowledge graph entries found: 3, literatures found: 12</w:t>
      </w:r>
    </w:p>
    <w:p w14:paraId="069D720B" w14:textId="77777777" w:rsidR="00B917EC" w:rsidRDefault="00B917EC" w:rsidP="00B917EC">
      <w:pPr>
        <w:rPr>
          <w:rFonts w:hint="eastAsia"/>
        </w:rPr>
      </w:pPr>
      <w:r>
        <w:rPr>
          <w:rFonts w:hint="eastAsia"/>
        </w:rPr>
        <w:t>Token prompt: 7287, completion: 232</w:t>
      </w:r>
    </w:p>
    <w:p w14:paraId="612CB755" w14:textId="77777777" w:rsidR="00B917EC" w:rsidRDefault="00B917EC" w:rsidP="00B917EC">
      <w:pPr>
        <w:rPr>
          <w:rFonts w:hint="eastAsia"/>
        </w:rPr>
      </w:pPr>
    </w:p>
    <w:p w14:paraId="0B821F95" w14:textId="77777777" w:rsidR="00B917EC" w:rsidRDefault="00B917EC" w:rsidP="00B917EC">
      <w:pPr>
        <w:rPr>
          <w:rFonts w:hint="eastAsia"/>
        </w:rPr>
      </w:pPr>
      <w:r>
        <w:rPr>
          <w:rFonts w:hint="eastAsia"/>
        </w:rPr>
        <w:t>search chunks number: 3</w:t>
      </w:r>
    </w:p>
    <w:p w14:paraId="1A025998" w14:textId="77777777" w:rsidR="00B917EC" w:rsidRDefault="00B917EC" w:rsidP="00B917EC">
      <w:pPr>
        <w:rPr>
          <w:rFonts w:hint="eastAsia"/>
        </w:rPr>
      </w:pPr>
    </w:p>
    <w:p w14:paraId="6733D41D" w14:textId="77777777" w:rsidR="00B917EC" w:rsidRDefault="00B917EC" w:rsidP="00B917EC">
      <w:pPr>
        <w:rPr>
          <w:rFonts w:hint="eastAsia"/>
        </w:rPr>
      </w:pPr>
      <w:r>
        <w:rPr>
          <w:rFonts w:hint="eastAsia"/>
        </w:rPr>
        <w:t>Core Classification and Composition</w:t>
      </w:r>
    </w:p>
    <w:p w14:paraId="4A5D49B5" w14:textId="77777777" w:rsidR="00B917EC" w:rsidRDefault="00B917EC" w:rsidP="00B917EC">
      <w:pPr>
        <w:rPr>
          <w:rFonts w:hint="eastAsia"/>
        </w:rPr>
      </w:pPr>
      <w:r>
        <w:rPr>
          <w:rFonts w:hint="eastAsia"/>
        </w:rPr>
        <w:t>Natural pyrethrins are classified as meroterpenoids [1][2][3][4][5][6][7] and consist of six ester compounds: pyrethrin I/II, cinerin I/II, and jasmolin I/II [1][2][4][8]. These compounds are the active ingredients extracted from the pyrethrum flowers of Tanacetum cinerariifolium (a plant in the Anthemideae tribe) [3][9][8], and they are the most widely used botanical insecticide [3].</w:t>
      </w:r>
    </w:p>
    <w:p w14:paraId="77E1712D" w14:textId="77777777" w:rsidR="00B917EC" w:rsidRDefault="00B917EC" w:rsidP="00B917EC">
      <w:pPr>
        <w:rPr>
          <w:rFonts w:hint="eastAsia"/>
        </w:rPr>
      </w:pPr>
    </w:p>
    <w:p w14:paraId="1EBFD60B" w14:textId="77777777" w:rsidR="00B917EC" w:rsidRDefault="00B917EC" w:rsidP="00B917EC">
      <w:pPr>
        <w:rPr>
          <w:rFonts w:hint="eastAsia"/>
        </w:rPr>
      </w:pPr>
      <w:r>
        <w:rPr>
          <w:rFonts w:hint="eastAsia"/>
        </w:rPr>
        <w:t>Structural Architecture</w:t>
      </w:r>
    </w:p>
    <w:p w14:paraId="40831FDD" w14:textId="77777777" w:rsidR="00B917EC" w:rsidRDefault="00B917EC" w:rsidP="00B917EC">
      <w:pPr>
        <w:rPr>
          <w:rFonts w:hint="eastAsia"/>
        </w:rPr>
      </w:pPr>
      <w:r>
        <w:rPr>
          <w:rFonts w:hint="eastAsia"/>
        </w:rPr>
        <w:t>The six pyrethrin compounds are formed by the esterification (condensation) of two types of moieties: an acid half and an alcohol half [1][4][6][8].</w:t>
      </w:r>
    </w:p>
    <w:p w14:paraId="016A4026" w14:textId="77777777" w:rsidR="00B917EC" w:rsidRDefault="00B917EC" w:rsidP="00B917EC">
      <w:pPr>
        <w:rPr>
          <w:rFonts w:hint="eastAsia"/>
        </w:rPr>
      </w:pPr>
    </w:p>
    <w:p w14:paraId="642BA3A1" w14:textId="77777777" w:rsidR="00B917EC" w:rsidRDefault="00B917EC" w:rsidP="00B917EC">
      <w:pPr>
        <w:rPr>
          <w:rFonts w:hint="eastAsia"/>
        </w:rPr>
      </w:pPr>
      <w:r>
        <w:rPr>
          <w:rFonts w:hint="eastAsia"/>
        </w:rPr>
        <w:t>Acid moieties: The acid component is either (1R,3R)-chrysanthemic acid or (1R,3R)-</w:t>
      </w:r>
      <w:r>
        <w:rPr>
          <w:rFonts w:hint="eastAsia"/>
        </w:rPr>
        <w:lastRenderedPageBreak/>
        <w:t>pyrethric acid [1][4][6].</w:t>
      </w:r>
    </w:p>
    <w:p w14:paraId="79314FAC" w14:textId="77777777" w:rsidR="00B917EC" w:rsidRDefault="00B917EC" w:rsidP="00B917EC">
      <w:pPr>
        <w:rPr>
          <w:rFonts w:hint="eastAsia"/>
        </w:rPr>
      </w:pPr>
      <w:r>
        <w:rPr>
          <w:rFonts w:hint="eastAsia"/>
        </w:rPr>
        <w:t>Alcohol moieties: The alcohol component is one of three unsaturated hydroxy-cycloketones collectively called rethrolones: (S)-pyrethrolone, (S)-cinerolone, and (S)-jasmololone [1][4][6][8].</w:t>
      </w:r>
    </w:p>
    <w:p w14:paraId="73CA6C46" w14:textId="77777777" w:rsidR="00B917EC" w:rsidRDefault="00B917EC" w:rsidP="00B917EC">
      <w:pPr>
        <w:rPr>
          <w:rFonts w:hint="eastAsia"/>
        </w:rPr>
      </w:pPr>
      <w:r>
        <w:rPr>
          <w:rFonts w:hint="eastAsia"/>
        </w:rPr>
        <w:t>The specific pairing of these moieties generates the six distinct pyrethrin compounds [1][2][4][8].</w:t>
      </w:r>
    </w:p>
    <w:p w14:paraId="37A89DC2" w14:textId="77777777" w:rsidR="00B917EC" w:rsidRDefault="00B917EC" w:rsidP="00B917EC">
      <w:pPr>
        <w:rPr>
          <w:rFonts w:hint="eastAsia"/>
        </w:rPr>
      </w:pPr>
    </w:p>
    <w:p w14:paraId="5AB8FDB5" w14:textId="77777777" w:rsidR="00B917EC" w:rsidRDefault="00B917EC" w:rsidP="00B917EC">
      <w:pPr>
        <w:rPr>
          <w:rFonts w:hint="eastAsia"/>
        </w:rPr>
      </w:pPr>
      <w:r>
        <w:rPr>
          <w:rFonts w:hint="eastAsia"/>
        </w:rPr>
        <w:t>Biosynthetic Origins</w:t>
      </w:r>
    </w:p>
    <w:p w14:paraId="05E9E79E" w14:textId="77777777" w:rsidR="00B917EC" w:rsidRDefault="00B917EC" w:rsidP="00B917EC">
      <w:pPr>
        <w:rPr>
          <w:rFonts w:hint="eastAsia"/>
        </w:rPr>
      </w:pPr>
      <w:r>
        <w:rPr>
          <w:rFonts w:hint="eastAsia"/>
        </w:rPr>
        <w:t>The two moieties of pyrethrins derive from independent biosynthetic pathways:</w:t>
      </w:r>
    </w:p>
    <w:p w14:paraId="79674A39" w14:textId="77777777" w:rsidR="00B917EC" w:rsidRDefault="00B917EC" w:rsidP="00B917EC">
      <w:pPr>
        <w:rPr>
          <w:rFonts w:hint="eastAsia"/>
        </w:rPr>
      </w:pPr>
    </w:p>
    <w:p w14:paraId="0A9764E5" w14:textId="77777777" w:rsidR="00B917EC" w:rsidRDefault="00B917EC" w:rsidP="00B917EC">
      <w:pPr>
        <w:rPr>
          <w:rFonts w:hint="eastAsia"/>
        </w:rPr>
      </w:pPr>
      <w:r>
        <w:rPr>
          <w:rFonts w:hint="eastAsia"/>
        </w:rPr>
        <w:t>The acid moieties (monoterpenoid acids: chrysanthemic acid and pyrethric acid) are biosynthesized via the 2-C-methyl-D-erythritol 4-phosphate (MEP) pathway, a terpenoid biosynthesis pathway [5][7][10].</w:t>
      </w:r>
    </w:p>
    <w:p w14:paraId="6D066627" w14:textId="77777777" w:rsidR="00B917EC" w:rsidRDefault="00B917EC" w:rsidP="00B917EC">
      <w:pPr>
        <w:rPr>
          <w:rFonts w:hint="eastAsia"/>
        </w:rPr>
      </w:pPr>
      <w:r>
        <w:rPr>
          <w:rFonts w:hint="eastAsia"/>
        </w:rPr>
        <w:t>The alcohol moieties (rethrolone-type oxylipin alcohols) are biosynthesized via the oxylipin pathway, which is part of the jasmonic acid (JA) biosynthesis pathway [5][6][7][10].</w:t>
      </w:r>
    </w:p>
    <w:p w14:paraId="2989D284" w14:textId="77777777" w:rsidR="00B917EC" w:rsidRDefault="00B917EC" w:rsidP="00B917EC">
      <w:pPr>
        <w:rPr>
          <w:rFonts w:hint="eastAsia"/>
        </w:rPr>
      </w:pPr>
      <w:r>
        <w:rPr>
          <w:rFonts w:hint="eastAsia"/>
        </w:rPr>
        <w:t>This dual origin classifies pyrethrins as meroterpenoids, reflecting their hybrid terpenoid and non-terpenoid (oxylipin/JA pathway-derived) structure [1][2][3][4][5][6][7].</w:t>
      </w:r>
    </w:p>
    <w:p w14:paraId="275DDE9B" w14:textId="77777777" w:rsidR="00B917EC" w:rsidRDefault="00B917EC" w:rsidP="00B917EC">
      <w:pPr>
        <w:rPr>
          <w:rFonts w:hint="eastAsia"/>
        </w:rPr>
      </w:pPr>
    </w:p>
    <w:p w14:paraId="5731B32E" w14:textId="77777777" w:rsidR="00B917EC" w:rsidRDefault="00B917EC" w:rsidP="00B917EC">
      <w:pPr>
        <w:rPr>
          <w:rFonts w:hint="eastAsia"/>
        </w:rPr>
      </w:pPr>
      <w:r>
        <w:rPr>
          <w:rFonts w:hint="eastAsia"/>
        </w:rPr>
        <w:t>Enzymatic Specificity and Substrate Interactions</w:t>
      </w:r>
    </w:p>
    <w:p w14:paraId="28B3C181" w14:textId="77777777" w:rsidR="00B917EC" w:rsidRDefault="00B917EC" w:rsidP="00B917EC">
      <w:pPr>
        <w:rPr>
          <w:rFonts w:hint="eastAsia"/>
        </w:rPr>
      </w:pPr>
      <w:r>
        <w:rPr>
          <w:rFonts w:hint="eastAsia"/>
        </w:rPr>
        <w:t>TcGLIP, a GDSL lipase that catalyzes the ester bond formation in pyrethrins, exhibits high stereospecificity for acyl-CoA (acid) and alcohol substrates [1]. Key structural features of the substrates are critical for interactions with TcGLIP:</w:t>
      </w:r>
    </w:p>
    <w:p w14:paraId="13134AE2" w14:textId="77777777" w:rsidR="00B917EC" w:rsidRDefault="00B917EC" w:rsidP="00B917EC">
      <w:pPr>
        <w:rPr>
          <w:rFonts w:hint="eastAsia"/>
        </w:rPr>
      </w:pPr>
    </w:p>
    <w:p w14:paraId="662C6B7C" w14:textId="77777777" w:rsidR="00B917EC" w:rsidRDefault="00B917EC" w:rsidP="00B917EC">
      <w:pPr>
        <w:rPr>
          <w:rFonts w:hint="eastAsia"/>
        </w:rPr>
      </w:pPr>
      <w:r>
        <w:rPr>
          <w:rFonts w:hint="eastAsia"/>
        </w:rPr>
        <w:t>The cysteamine moiety in (1R,3R)-chrysanthemoyl CoA (the activated form of chrysanthemic acid) [1].</w:t>
      </w:r>
    </w:p>
    <w:p w14:paraId="51245467" w14:textId="77777777" w:rsidR="00B917EC" w:rsidRDefault="00B917EC" w:rsidP="00B917EC">
      <w:pPr>
        <w:rPr>
          <w:rFonts w:hint="eastAsia"/>
        </w:rPr>
      </w:pPr>
      <w:r>
        <w:rPr>
          <w:rFonts w:hint="eastAsia"/>
        </w:rPr>
        <w:t>The conjugated diene moiety in (S)-pyrethrolone [1].</w:t>
      </w:r>
    </w:p>
    <w:p w14:paraId="79C6E3E2" w14:textId="77777777" w:rsidR="00B917EC" w:rsidRDefault="00B917EC" w:rsidP="00B917EC">
      <w:pPr>
        <w:rPr>
          <w:rFonts w:hint="eastAsia"/>
        </w:rPr>
      </w:pPr>
      <w:r>
        <w:rPr>
          <w:rFonts w:hint="eastAsia"/>
        </w:rPr>
        <w:t xml:space="preserve">Additionally, CoA released from chrysanthemoyl CoA during the reaction reduces TcGLIP’s substrate affinity via feedback inhibition [1]. The catalytic efficiency of TcGLIP varies by alcohol substrate: (S)-pyrethrolone shows the highest efficiency, followed by (S)-cinerolone and (S)-jasmololone [1]. This efficiency gradient contributes to </w:t>
      </w:r>
      <w:r>
        <w:rPr>
          <w:rFonts w:hint="eastAsia"/>
        </w:rPr>
        <w:lastRenderedPageBreak/>
        <w:t>determining the pyrethrin composition in T. cinerariifolium [1].</w:t>
      </w:r>
    </w:p>
    <w:p w14:paraId="5E214797" w14:textId="77777777" w:rsidR="00B917EC" w:rsidRDefault="00B917EC" w:rsidP="00B917EC">
      <w:pPr>
        <w:rPr>
          <w:rFonts w:hint="eastAsia"/>
        </w:rPr>
      </w:pPr>
    </w:p>
    <w:p w14:paraId="3DC45AAD" w14:textId="77777777" w:rsidR="00B917EC" w:rsidRDefault="00B917EC" w:rsidP="00B917EC">
      <w:pPr>
        <w:rPr>
          <w:rFonts w:hint="eastAsia"/>
        </w:rPr>
      </w:pPr>
      <w:r>
        <w:rPr>
          <w:rFonts w:hint="eastAsia"/>
        </w:rPr>
        <w:t>References</w:t>
      </w:r>
    </w:p>
    <w:p w14:paraId="30D76B20" w14:textId="77777777" w:rsidR="00B917EC" w:rsidRDefault="00B917EC" w:rsidP="00B917EC">
      <w:pPr>
        <w:rPr>
          <w:rFonts w:hint="eastAsia"/>
        </w:rPr>
      </w:pPr>
      <w:r>
        <w:rPr>
          <w:rFonts w:hint="eastAsia"/>
        </w:rPr>
        <w:t>[1] Sugisaka Y, Aoyama S, Kumagai K, Ihara M, Matsuda K., TcGLIP GDSL Lipase Substrate Specificity Co-determines the Pyrethrin Composition in Tanacetum cinerariifolium, 2022, J Agric Food Chem</w:t>
      </w:r>
    </w:p>
    <w:p w14:paraId="53358104" w14:textId="77777777" w:rsidR="00B917EC" w:rsidRDefault="00B917EC" w:rsidP="00B917EC">
      <w:pPr>
        <w:rPr>
          <w:rFonts w:hint="eastAsia"/>
        </w:rPr>
      </w:pPr>
      <w:r>
        <w:rPr>
          <w:rFonts w:hint="eastAsia"/>
        </w:rPr>
        <w:t>[2] Yamashiro T, Shiraishi A, Nakayama K, Satake H., Draft Genome of Tanacetum Coccineum: Genomic Comparison of Closely Related Tanacetum-Family Plants, 2022, Int J Mol Sci</w:t>
      </w:r>
    </w:p>
    <w:p w14:paraId="46A360DA" w14:textId="77777777" w:rsidR="00B917EC" w:rsidRDefault="00B917EC" w:rsidP="00B917EC">
      <w:pPr>
        <w:rPr>
          <w:rFonts w:hint="eastAsia"/>
        </w:rPr>
      </w:pPr>
      <w:r>
        <w:rPr>
          <w:rFonts w:hint="eastAsia"/>
        </w:rPr>
        <w:t>[3] Yang T, Stoopen G, Wiegers G, Mao J, Wang C, Dicke M, Jongsma MA., Pyrethrins protect pyrethrum leaves against attack by western flower thrips, Frankliniella occidentalis, 2012, J Chem Ecol</w:t>
      </w:r>
    </w:p>
    <w:p w14:paraId="04C76257" w14:textId="77777777" w:rsidR="00B917EC" w:rsidRDefault="00B917EC" w:rsidP="00B917EC">
      <w:r>
        <w:t>[4] Hodoșan C, Gîrd CE, Ghica MV, Dinu-Pîrvu CE, Nistor L, B</w:t>
      </w:r>
      <w:r>
        <w:rPr>
          <w:rFonts w:ascii="Cambria" w:hAnsi="Cambria" w:cs="Cambria"/>
        </w:rPr>
        <w:t>ă</w:t>
      </w:r>
      <w:r>
        <w:t>rbuic</w:t>
      </w:r>
      <w:r>
        <w:rPr>
          <w:rFonts w:ascii="Cambria" w:hAnsi="Cambria" w:cs="Cambria"/>
        </w:rPr>
        <w:t>ă</w:t>
      </w:r>
      <w:r>
        <w:t xml:space="preserve"> IS, Marin </w:t>
      </w:r>
      <w:r>
        <w:rPr>
          <w:rFonts w:ascii="等线" w:eastAsia="等线" w:hAnsi="等线" w:cs="等线" w:hint="eastAsia"/>
        </w:rPr>
        <w:t>Ș</w:t>
      </w:r>
      <w:r>
        <w:t>C, Mihalache A, Popa L., Pyrethrins and Pyrethroids: A Comprehensive Review of Natural Occurring Compounds and Their Synthetic Derivatives, 2023, Plants (Basel)</w:t>
      </w:r>
    </w:p>
    <w:p w14:paraId="70146098" w14:textId="77777777" w:rsidR="00B917EC" w:rsidRDefault="00B917EC" w:rsidP="00B917EC">
      <w:pPr>
        <w:rPr>
          <w:rFonts w:hint="eastAsia"/>
        </w:rPr>
      </w:pPr>
      <w:r>
        <w:rPr>
          <w:rFonts w:hint="eastAsia"/>
        </w:rPr>
        <w:t>[5] Xu, Zhizhuo; Zeng, Tuo; Li, Jiawen; Zhou, Li; Li, Jinjin; Luo, Jing; Zheng, Riru; Wang, Yuanyuan; Hu, Hao; Wang, Caiyun, TcbZIP60 positively regulates pyrethrins biosynthesis in Tanacetum cinerariifolium, 2023, FRONTIERS IN PLANT SCIENCE</w:t>
      </w:r>
    </w:p>
    <w:p w14:paraId="58CAA1E0" w14:textId="77777777" w:rsidR="00B917EC" w:rsidRDefault="00B917EC" w:rsidP="00B917EC">
      <w:pPr>
        <w:rPr>
          <w:rFonts w:hint="eastAsia"/>
        </w:rPr>
      </w:pPr>
      <w:r>
        <w:rPr>
          <w:rFonts w:hint="eastAsia"/>
        </w:rPr>
        <w:t>[6] Matsuo N, Sugisaka Y, Aoyama S, Ihara M, Shinoyama H, Hosokawa M, Kamakura Y, Tanaka D, Tanabe Y, Matsuda K., Creating Pyrethrin Mimetic Phosphonates as Chemical Genetics Tools Targeting the GDSL Esterase/Lipase TcGLIP to Investigate Pyrethrin Biosynthesis, 2023, J Med Chem</w:t>
      </w:r>
    </w:p>
    <w:p w14:paraId="70B0F58C" w14:textId="77777777" w:rsidR="00B917EC" w:rsidRDefault="00B917EC" w:rsidP="00B917EC">
      <w:pPr>
        <w:rPr>
          <w:rFonts w:hint="eastAsia"/>
        </w:rPr>
      </w:pPr>
      <w:r>
        <w:rPr>
          <w:rFonts w:hint="eastAsia"/>
        </w:rPr>
        <w:t>[7] Hao DC, Song Y, Xiao P, Zhong Y, Wu P, Xu L., The genus Chrysanthemum: Phylogeny, biodiversity, phytometabolites, and chemodiversity, 2022, Front Plant Sci</w:t>
      </w:r>
    </w:p>
    <w:p w14:paraId="4FC900A2" w14:textId="77777777" w:rsidR="00B917EC" w:rsidRDefault="00B917EC" w:rsidP="00B917EC">
      <w:pPr>
        <w:rPr>
          <w:rFonts w:hint="eastAsia"/>
        </w:rPr>
      </w:pPr>
      <w:r>
        <w:rPr>
          <w:rFonts w:hint="eastAsia"/>
        </w:rPr>
        <w:t>[8] Khan, S.A.; Verma, P.; Parasharami, V.A.; Rahman, L.U., In vitro manipulations for value addition in potent herbal insecticidal activities of Chrysanthemum cinerariaefolium, 2018, Biotechnological Approaches for Medicinal and Aromatic Plants: Conservation, Genetic Improvement and Utilization</w:t>
      </w:r>
    </w:p>
    <w:p w14:paraId="6D2A1B98" w14:textId="77777777" w:rsidR="00B917EC" w:rsidRDefault="00B917EC" w:rsidP="00B917EC">
      <w:pPr>
        <w:rPr>
          <w:rFonts w:hint="eastAsia"/>
        </w:rPr>
      </w:pPr>
      <w:r>
        <w:rPr>
          <w:rFonts w:hint="eastAsia"/>
        </w:rPr>
        <w:t>[9] Li J, Xu Z, Zeng T, Zhou L, Li J, Hu H, Luo J, Wang C., Overexpression of TcCHS Increases Pyrethrin Content When Using a Genotype-Independent Transformation System in Pyrethrum (Tanacetum cinerariifolium), 2022, Plants (Basel)</w:t>
      </w:r>
    </w:p>
    <w:p w14:paraId="3D820F6B" w14:textId="037180C5" w:rsidR="00CA3879" w:rsidRDefault="00B917EC" w:rsidP="00B917EC">
      <w:pPr>
        <w:rPr>
          <w:rFonts w:hint="eastAsia"/>
        </w:rPr>
      </w:pPr>
      <w:r>
        <w:rPr>
          <w:rFonts w:hint="eastAsia"/>
        </w:rPr>
        <w:t xml:space="preserve">[10] Matsuda, Kazuhiko, Pyrethrin Biosynthesis and Its Regulation in Chrysanthemum cinerariaefolium, 2013, PYRETHROIDS: FROM CHRYSANTHEMUM TO MODERN </w:t>
      </w:r>
      <w:r>
        <w:rPr>
          <w:rFonts w:hint="eastAsia"/>
        </w:rPr>
        <w:lastRenderedPageBreak/>
        <w:t>INDUSTRIAL INSECTICIDE</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8F6E" w14:textId="77777777" w:rsidR="00236436" w:rsidRDefault="00236436" w:rsidP="00B917EC">
      <w:pPr>
        <w:spacing w:after="0" w:line="240" w:lineRule="auto"/>
        <w:rPr>
          <w:rFonts w:hint="eastAsia"/>
        </w:rPr>
      </w:pPr>
      <w:r>
        <w:separator/>
      </w:r>
    </w:p>
  </w:endnote>
  <w:endnote w:type="continuationSeparator" w:id="0">
    <w:p w14:paraId="3AC42B7A" w14:textId="77777777" w:rsidR="00236436" w:rsidRDefault="00236436" w:rsidP="00B917E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B18B" w14:textId="77777777" w:rsidR="00236436" w:rsidRDefault="00236436" w:rsidP="00B917EC">
      <w:pPr>
        <w:spacing w:after="0" w:line="240" w:lineRule="auto"/>
        <w:rPr>
          <w:rFonts w:hint="eastAsia"/>
        </w:rPr>
      </w:pPr>
      <w:r>
        <w:separator/>
      </w:r>
    </w:p>
  </w:footnote>
  <w:footnote w:type="continuationSeparator" w:id="0">
    <w:p w14:paraId="54D4FCCD" w14:textId="77777777" w:rsidR="00236436" w:rsidRDefault="00236436" w:rsidP="00B917E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DF2"/>
    <w:rsid w:val="001F6576"/>
    <w:rsid w:val="00236436"/>
    <w:rsid w:val="00327F37"/>
    <w:rsid w:val="00953DF2"/>
    <w:rsid w:val="00B917EC"/>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CB0A1CD-E04B-4924-9969-96AB959E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3D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3D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3D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3D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3D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3D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3D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3D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3D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3D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3D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3D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3DF2"/>
    <w:rPr>
      <w:rFonts w:cstheme="majorBidi"/>
      <w:color w:val="0F4761" w:themeColor="accent1" w:themeShade="BF"/>
      <w:sz w:val="28"/>
      <w:szCs w:val="28"/>
    </w:rPr>
  </w:style>
  <w:style w:type="character" w:customStyle="1" w:styleId="50">
    <w:name w:val="标题 5 字符"/>
    <w:basedOn w:val="a0"/>
    <w:link w:val="5"/>
    <w:uiPriority w:val="9"/>
    <w:semiHidden/>
    <w:rsid w:val="00953DF2"/>
    <w:rPr>
      <w:rFonts w:cstheme="majorBidi"/>
      <w:color w:val="0F4761" w:themeColor="accent1" w:themeShade="BF"/>
      <w:sz w:val="24"/>
    </w:rPr>
  </w:style>
  <w:style w:type="character" w:customStyle="1" w:styleId="60">
    <w:name w:val="标题 6 字符"/>
    <w:basedOn w:val="a0"/>
    <w:link w:val="6"/>
    <w:uiPriority w:val="9"/>
    <w:semiHidden/>
    <w:rsid w:val="00953DF2"/>
    <w:rPr>
      <w:rFonts w:cstheme="majorBidi"/>
      <w:b/>
      <w:bCs/>
      <w:color w:val="0F4761" w:themeColor="accent1" w:themeShade="BF"/>
    </w:rPr>
  </w:style>
  <w:style w:type="character" w:customStyle="1" w:styleId="70">
    <w:name w:val="标题 7 字符"/>
    <w:basedOn w:val="a0"/>
    <w:link w:val="7"/>
    <w:uiPriority w:val="9"/>
    <w:semiHidden/>
    <w:rsid w:val="00953DF2"/>
    <w:rPr>
      <w:rFonts w:cstheme="majorBidi"/>
      <w:b/>
      <w:bCs/>
      <w:color w:val="595959" w:themeColor="text1" w:themeTint="A6"/>
    </w:rPr>
  </w:style>
  <w:style w:type="character" w:customStyle="1" w:styleId="80">
    <w:name w:val="标题 8 字符"/>
    <w:basedOn w:val="a0"/>
    <w:link w:val="8"/>
    <w:uiPriority w:val="9"/>
    <w:semiHidden/>
    <w:rsid w:val="00953DF2"/>
    <w:rPr>
      <w:rFonts w:cstheme="majorBidi"/>
      <w:color w:val="595959" w:themeColor="text1" w:themeTint="A6"/>
    </w:rPr>
  </w:style>
  <w:style w:type="character" w:customStyle="1" w:styleId="90">
    <w:name w:val="标题 9 字符"/>
    <w:basedOn w:val="a0"/>
    <w:link w:val="9"/>
    <w:uiPriority w:val="9"/>
    <w:semiHidden/>
    <w:rsid w:val="00953DF2"/>
    <w:rPr>
      <w:rFonts w:eastAsiaTheme="majorEastAsia" w:cstheme="majorBidi"/>
      <w:color w:val="595959" w:themeColor="text1" w:themeTint="A6"/>
    </w:rPr>
  </w:style>
  <w:style w:type="paragraph" w:styleId="a3">
    <w:name w:val="Title"/>
    <w:basedOn w:val="a"/>
    <w:next w:val="a"/>
    <w:link w:val="a4"/>
    <w:uiPriority w:val="10"/>
    <w:qFormat/>
    <w:rsid w:val="00953D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3D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D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3D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3DF2"/>
    <w:pPr>
      <w:spacing w:before="160"/>
      <w:jc w:val="center"/>
    </w:pPr>
    <w:rPr>
      <w:i/>
      <w:iCs/>
      <w:color w:val="404040" w:themeColor="text1" w:themeTint="BF"/>
    </w:rPr>
  </w:style>
  <w:style w:type="character" w:customStyle="1" w:styleId="a8">
    <w:name w:val="引用 字符"/>
    <w:basedOn w:val="a0"/>
    <w:link w:val="a7"/>
    <w:uiPriority w:val="29"/>
    <w:rsid w:val="00953DF2"/>
    <w:rPr>
      <w:i/>
      <w:iCs/>
      <w:color w:val="404040" w:themeColor="text1" w:themeTint="BF"/>
    </w:rPr>
  </w:style>
  <w:style w:type="paragraph" w:styleId="a9">
    <w:name w:val="List Paragraph"/>
    <w:basedOn w:val="a"/>
    <w:uiPriority w:val="34"/>
    <w:qFormat/>
    <w:rsid w:val="00953DF2"/>
    <w:pPr>
      <w:ind w:left="720"/>
      <w:contextualSpacing/>
    </w:pPr>
  </w:style>
  <w:style w:type="character" w:styleId="aa">
    <w:name w:val="Intense Emphasis"/>
    <w:basedOn w:val="a0"/>
    <w:uiPriority w:val="21"/>
    <w:qFormat/>
    <w:rsid w:val="00953DF2"/>
    <w:rPr>
      <w:i/>
      <w:iCs/>
      <w:color w:val="0F4761" w:themeColor="accent1" w:themeShade="BF"/>
    </w:rPr>
  </w:style>
  <w:style w:type="paragraph" w:styleId="ab">
    <w:name w:val="Intense Quote"/>
    <w:basedOn w:val="a"/>
    <w:next w:val="a"/>
    <w:link w:val="ac"/>
    <w:uiPriority w:val="30"/>
    <w:qFormat/>
    <w:rsid w:val="00953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3DF2"/>
    <w:rPr>
      <w:i/>
      <w:iCs/>
      <w:color w:val="0F4761" w:themeColor="accent1" w:themeShade="BF"/>
    </w:rPr>
  </w:style>
  <w:style w:type="character" w:styleId="ad">
    <w:name w:val="Intense Reference"/>
    <w:basedOn w:val="a0"/>
    <w:uiPriority w:val="32"/>
    <w:qFormat/>
    <w:rsid w:val="00953DF2"/>
    <w:rPr>
      <w:b/>
      <w:bCs/>
      <w:smallCaps/>
      <w:color w:val="0F4761" w:themeColor="accent1" w:themeShade="BF"/>
      <w:spacing w:val="5"/>
    </w:rPr>
  </w:style>
  <w:style w:type="paragraph" w:styleId="ae">
    <w:name w:val="header"/>
    <w:basedOn w:val="a"/>
    <w:link w:val="af"/>
    <w:uiPriority w:val="99"/>
    <w:unhideWhenUsed/>
    <w:rsid w:val="00B917E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917EC"/>
    <w:rPr>
      <w:sz w:val="18"/>
      <w:szCs w:val="18"/>
    </w:rPr>
  </w:style>
  <w:style w:type="paragraph" w:styleId="af0">
    <w:name w:val="footer"/>
    <w:basedOn w:val="a"/>
    <w:link w:val="af1"/>
    <w:uiPriority w:val="99"/>
    <w:unhideWhenUsed/>
    <w:rsid w:val="00B917E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917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664</Words>
  <Characters>4390</Characters>
  <Application>Microsoft Office Word</Application>
  <DocSecurity>0</DocSecurity>
  <Lines>75</Lines>
  <Paragraphs>28</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2026-02-05T07:22:00Z</dcterms:created>
  <dcterms:modified xsi:type="dcterms:W3CDTF">2026-02-05T07:22:00Z</dcterms:modified>
</cp:coreProperties>
</file>