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79D94" w14:textId="77777777" w:rsidR="00001923" w:rsidRDefault="00001923" w:rsidP="00001923">
      <w:pPr>
        <w:rPr>
          <w:rFonts w:hint="eastAsia"/>
        </w:rPr>
      </w:pPr>
      <w:r>
        <w:rPr>
          <w:rFonts w:hint="eastAsia"/>
        </w:rPr>
        <w:t>Biological processes regulated by Menthol.</w:t>
      </w:r>
    </w:p>
    <w:p w14:paraId="70A4F3C1" w14:textId="77777777" w:rsidR="00001923" w:rsidRDefault="00001923" w:rsidP="00001923">
      <w:pPr>
        <w:rPr>
          <w:rFonts w:hint="eastAsia"/>
        </w:rPr>
      </w:pPr>
      <w:r>
        <w:rPr>
          <w:rFonts w:hint="eastAsia"/>
        </w:rPr>
        <w:t>Chat ID: 20260205-151601-961948</w:t>
      </w:r>
    </w:p>
    <w:p w14:paraId="03282DC7" w14:textId="77777777" w:rsidR="00001923" w:rsidRDefault="00001923" w:rsidP="00001923">
      <w:pPr>
        <w:rPr>
          <w:rFonts w:hint="eastAsia"/>
        </w:rPr>
      </w:pPr>
    </w:p>
    <w:p w14:paraId="3770D421" w14:textId="77777777" w:rsidR="00001923" w:rsidRDefault="00001923" w:rsidP="00001923">
      <w:pPr>
        <w:rPr>
          <w:rFonts w:hint="eastAsia"/>
        </w:rPr>
      </w:pPr>
      <w:r>
        <w:rPr>
          <w:rFonts w:ascii="Segoe UI Emoji" w:hAnsi="Segoe UI Emoji" w:cs="Segoe UI Emoji"/>
        </w:rPr>
        <w:t>🌿</w:t>
      </w:r>
      <w:r>
        <w:rPr>
          <w:rFonts w:hint="eastAsia"/>
        </w:rPr>
        <w:t xml:space="preserve"> Summary all knowledge for: Menthol</w:t>
      </w:r>
    </w:p>
    <w:p w14:paraId="7E86CF9A" w14:textId="77777777" w:rsidR="00001923" w:rsidRDefault="00001923" w:rsidP="00001923">
      <w:pPr>
        <w:rPr>
          <w:rFonts w:hint="eastAsia"/>
        </w:rPr>
      </w:pPr>
    </w:p>
    <w:p w14:paraId="14D74115" w14:textId="77777777" w:rsidR="00001923" w:rsidRDefault="00001923" w:rsidP="00001923">
      <w:pPr>
        <w:rPr>
          <w:rFonts w:hint="eastAsia"/>
        </w:rPr>
      </w:pPr>
      <w:r>
        <w:rPr>
          <w:rFonts w:hint="eastAsia"/>
        </w:rPr>
        <w:t>knowledge graph entries found: 300, molecules found: 29, attributes found: 50</w:t>
      </w:r>
    </w:p>
    <w:p w14:paraId="20E8791B" w14:textId="77777777" w:rsidR="00001923" w:rsidRDefault="00001923" w:rsidP="00001923">
      <w:pPr>
        <w:rPr>
          <w:rFonts w:hint="eastAsia"/>
        </w:rPr>
      </w:pPr>
      <w:r>
        <w:rPr>
          <w:rFonts w:ascii="Segoe UI Emoji" w:hAnsi="Segoe UI Emoji" w:cs="Segoe UI Emoji"/>
        </w:rPr>
        <w:t>🤖</w:t>
      </w:r>
      <w:r>
        <w:rPr>
          <w:rFonts w:hint="eastAsia"/>
        </w:rPr>
        <w:t xml:space="preserve"> Accurate search</w:t>
      </w:r>
    </w:p>
    <w:p w14:paraId="117AB650" w14:textId="77777777" w:rsidR="00001923" w:rsidRDefault="00001923" w:rsidP="00001923">
      <w:pPr>
        <w:rPr>
          <w:rFonts w:hint="eastAsia"/>
        </w:rPr>
      </w:pPr>
    </w:p>
    <w:p w14:paraId="2BB0C2B3" w14:textId="77777777" w:rsidR="00001923" w:rsidRDefault="00001923" w:rsidP="00001923">
      <w:pPr>
        <w:rPr>
          <w:rFonts w:hint="eastAsia"/>
        </w:rPr>
      </w:pPr>
      <w:r>
        <w:rPr>
          <w:rFonts w:hint="eastAsia"/>
        </w:rPr>
        <w:t>knowledge graph entries found: 10, literatures found: 97</w:t>
      </w:r>
    </w:p>
    <w:p w14:paraId="372A2A3D" w14:textId="77777777" w:rsidR="00001923" w:rsidRDefault="00001923" w:rsidP="00001923">
      <w:pPr>
        <w:rPr>
          <w:rFonts w:hint="eastAsia"/>
        </w:rPr>
      </w:pPr>
    </w:p>
    <w:p w14:paraId="67A33E80" w14:textId="77777777" w:rsidR="00001923" w:rsidRDefault="00001923" w:rsidP="00001923">
      <w:pPr>
        <w:rPr>
          <w:rFonts w:hint="eastAsia"/>
        </w:rPr>
      </w:pPr>
      <w:r>
        <w:rPr>
          <w:rFonts w:hint="eastAsia"/>
        </w:rPr>
        <w:t>Additional TeroKit data: Levomenthol</w:t>
      </w:r>
    </w:p>
    <w:p w14:paraId="7CA19441" w14:textId="77777777" w:rsidR="00001923" w:rsidRDefault="00001923" w:rsidP="00001923">
      <w:pPr>
        <w:rPr>
          <w:rFonts w:hint="eastAsia"/>
        </w:rPr>
      </w:pPr>
    </w:p>
    <w:p w14:paraId="5DC1870F" w14:textId="77777777" w:rsidR="00001923" w:rsidRDefault="00001923" w:rsidP="00001923">
      <w:pPr>
        <w:rPr>
          <w:rFonts w:hint="eastAsia"/>
        </w:rPr>
      </w:pPr>
      <w:r>
        <w:rPr>
          <w:rFonts w:hint="eastAsia"/>
        </w:rPr>
        <w:t>Token prompt: 5399, completion: 203</w:t>
      </w:r>
    </w:p>
    <w:p w14:paraId="6467379E" w14:textId="77777777" w:rsidR="00001923" w:rsidRDefault="00001923" w:rsidP="00001923">
      <w:pPr>
        <w:rPr>
          <w:rFonts w:hint="eastAsia"/>
        </w:rPr>
      </w:pPr>
    </w:p>
    <w:p w14:paraId="66CD9B30" w14:textId="77777777" w:rsidR="00001923" w:rsidRDefault="00001923" w:rsidP="00001923">
      <w:pPr>
        <w:rPr>
          <w:rFonts w:hint="eastAsia"/>
        </w:rPr>
      </w:pPr>
      <w:r>
        <w:rPr>
          <w:rFonts w:hint="eastAsia"/>
        </w:rPr>
        <w:t>search chunks number: 10</w:t>
      </w:r>
    </w:p>
    <w:p w14:paraId="78C764C3" w14:textId="77777777" w:rsidR="00001923" w:rsidRDefault="00001923" w:rsidP="00001923">
      <w:pPr>
        <w:rPr>
          <w:rFonts w:hint="eastAsia"/>
        </w:rPr>
      </w:pPr>
    </w:p>
    <w:p w14:paraId="1471955D" w14:textId="77777777" w:rsidR="00001923" w:rsidRDefault="00001923" w:rsidP="00001923">
      <w:pPr>
        <w:rPr>
          <w:rFonts w:hint="eastAsia"/>
        </w:rPr>
      </w:pPr>
      <w:r>
        <w:rPr>
          <w:rFonts w:hint="eastAsia"/>
        </w:rPr>
        <w:t>Inhibition of Cell Proliferation</w:t>
      </w:r>
    </w:p>
    <w:p w14:paraId="647BC276" w14:textId="77777777" w:rsidR="00001923" w:rsidRDefault="00001923" w:rsidP="00001923">
      <w:pPr>
        <w:rPr>
          <w:rFonts w:hint="eastAsia"/>
        </w:rPr>
      </w:pPr>
      <w:r>
        <w:rPr>
          <w:rFonts w:hint="eastAsia"/>
        </w:rPr>
        <w:t xml:space="preserve">Menthol regulates cell proliferation across multiple cell types and contexts. In Caco-2 cells, l-menthol inhibits proliferation, as demonstrated by differential proteome analysis [1]. In gastric cancer cells, it exerts dose- and time-dependent antiproliferative effects by modulating the cell cycle, repressing topoisomerase I, IIα, and IIIβ, and promoting NF-κB gene expression [1]. Menthol e-liquid preparations also reduce proliferation in periodontal ligament fibroblasts, unlike non-harmful flavorings such as lime or hazelnut [2]. For DU145 cells, menthol decreases both proliferation and motility [3]. Its antiproliferative activity is linked to cytotoxic mechanisms, including induction of apoptosis and autophagy via caspase cascade activation, alteration of BAX and p53/MDM2 signaling, and regulation of autophagy through the ATG3/mTOR pathway [4]. Menthol also inhibits proliferation in forestomach epithelium (assessed via Ki-67 markers) [5] and has been broadly shown to induce cell death alongside </w:t>
      </w:r>
      <w:r>
        <w:rPr>
          <w:rFonts w:hint="eastAsia"/>
        </w:rPr>
        <w:lastRenderedPageBreak/>
        <w:t>antiproliferative effects [6].</w:t>
      </w:r>
    </w:p>
    <w:p w14:paraId="7AE0131D" w14:textId="77777777" w:rsidR="00001923" w:rsidRDefault="00001923" w:rsidP="00001923">
      <w:pPr>
        <w:rPr>
          <w:rFonts w:hint="eastAsia"/>
        </w:rPr>
      </w:pPr>
    </w:p>
    <w:p w14:paraId="014A2F1C" w14:textId="77777777" w:rsidR="00001923" w:rsidRDefault="00001923" w:rsidP="00001923">
      <w:pPr>
        <w:rPr>
          <w:rFonts w:hint="eastAsia"/>
        </w:rPr>
      </w:pPr>
      <w:r>
        <w:rPr>
          <w:rFonts w:hint="eastAsia"/>
        </w:rPr>
        <w:t>Inhibition of Inflammatory Responses</w:t>
      </w:r>
    </w:p>
    <w:p w14:paraId="15FDE41F" w14:textId="77777777" w:rsidR="00001923" w:rsidRDefault="00001923" w:rsidP="00001923">
      <w:r>
        <w:rPr>
          <w:rFonts w:hint="eastAsia"/>
        </w:rPr>
        <w:t>Menthol alleviates inflammatory responses, particularly in lipopolysaccharide (LPS)-induced bovine mammary epithelial cells (BMECs) [7]. Mechanistically, it may act through the AMPK/ULK1/Nrf-2/autophagy pathway [7]. In LPS-treated cells, menthol downregulates genes involved in immune system processes and lipopolysaccharide-mediated signaling pathways, which are upregulated by LPS exposure [8]. Its anti-inflammatory effects are primarily mediated by reducing pro-inflammatory cytokines and related markers, pr</w:t>
      </w:r>
      <w:r>
        <w:t>otecting against inflammatory damage and chronic inflammation [9]. In vitro, menthol functions as a strong anti-inflammatory molecule with an EC</w:t>
      </w:r>
      <w:r>
        <w:rPr>
          <w:rFonts w:ascii="Cambria Math" w:hAnsi="Cambria Math" w:cs="Cambria Math"/>
        </w:rPr>
        <w:t>₅₀</w:t>
      </w:r>
      <w:r>
        <w:t xml:space="preserve"> of 1.5 </w:t>
      </w:r>
      <w:r>
        <w:rPr>
          <w:rFonts w:ascii="等线" w:eastAsia="等线" w:hAnsi="等线" w:cs="等线" w:hint="eastAsia"/>
        </w:rPr>
        <w:t>±</w:t>
      </w:r>
      <w:r>
        <w:t xml:space="preserve"> 0.1 mM, though it exhibits cytotoxicity at higher concentrations (EC</w:t>
      </w:r>
      <w:r>
        <w:rPr>
          <w:rFonts w:ascii="Cambria Math" w:hAnsi="Cambria Math" w:cs="Cambria Math"/>
        </w:rPr>
        <w:t>₅₀</w:t>
      </w:r>
      <w:r>
        <w:t xml:space="preserve"> = 3.5 </w:t>
      </w:r>
      <w:r>
        <w:rPr>
          <w:rFonts w:ascii="等线" w:eastAsia="等线" w:hAnsi="等线" w:cs="等线" w:hint="eastAsia"/>
        </w:rPr>
        <w:t>±</w:t>
      </w:r>
      <w:r>
        <w:t xml:space="preserve"> 0.2 mM) [10].</w:t>
      </w:r>
    </w:p>
    <w:p w14:paraId="48252D6A" w14:textId="77777777" w:rsidR="00001923" w:rsidRDefault="00001923" w:rsidP="00001923">
      <w:pPr>
        <w:rPr>
          <w:rFonts w:hint="eastAsia"/>
        </w:rPr>
      </w:pPr>
    </w:p>
    <w:p w14:paraId="554C0AAB" w14:textId="77777777" w:rsidR="00001923" w:rsidRDefault="00001923" w:rsidP="00001923">
      <w:pPr>
        <w:rPr>
          <w:rFonts w:hint="eastAsia"/>
        </w:rPr>
      </w:pPr>
      <w:r>
        <w:rPr>
          <w:rFonts w:hint="eastAsia"/>
        </w:rPr>
        <w:t>Induction of Antioxidant Activity</w:t>
      </w:r>
    </w:p>
    <w:p w14:paraId="61422B78" w14:textId="77777777" w:rsidR="00001923" w:rsidRDefault="00001923" w:rsidP="00001923">
      <w:r>
        <w:rPr>
          <w:rFonts w:hint="eastAsia"/>
        </w:rPr>
        <w:t>Menthol contributes to antioxidant activity, often as a major component of essential oils (EOs) such as peppermint EO (40.1% menthol) [11]. Its antioxidant properties are attributed to the presence of hydroxyl radicals (-OH) [11], which enhance radical scavenging. Menthol has been assessed for antioxidant activity via assays including 2,2-diphenyl-1-picrylhydrazyl (DPPH), 2,2’-azinobis(3-ethylbenzothiazoline-6-sulfonic acid) diammonium salt (ABTS), and β-carotene bleaching [12]. Modified and spent essential oils with high menthol concentrations exhibit increased antioxidant activity [13], and menthol enhances antioxidant enzymes in rainbow trout [14]. It also forms an antioxidant interface in emulsions, protecting lipids from oxidation [15]. However, menthol</w:t>
      </w:r>
      <w:r>
        <w:t xml:space="preserve"> has lower antioxidant activity than carvacrol due to higher E</w:t>
      </w:r>
      <w:r>
        <w:rPr>
          <w:rFonts w:ascii="Cambria Math" w:hAnsi="Cambria Math" w:cs="Cambria Math"/>
        </w:rPr>
        <w:t>₁</w:t>
      </w:r>
      <w:r>
        <w:t>/</w:t>
      </w:r>
      <w:r>
        <w:rPr>
          <w:rFonts w:ascii="Cambria Math" w:hAnsi="Cambria Math" w:cs="Cambria Math"/>
        </w:rPr>
        <w:t>₂</w:t>
      </w:r>
      <w:r>
        <w:t xml:space="preserve"> values in gas and solution phases [16].</w:t>
      </w:r>
    </w:p>
    <w:p w14:paraId="428A8345" w14:textId="77777777" w:rsidR="00001923" w:rsidRDefault="00001923" w:rsidP="00001923">
      <w:pPr>
        <w:rPr>
          <w:rFonts w:hint="eastAsia"/>
        </w:rPr>
      </w:pPr>
    </w:p>
    <w:p w14:paraId="56DABE63" w14:textId="77777777" w:rsidR="00001923" w:rsidRDefault="00001923" w:rsidP="00001923">
      <w:pPr>
        <w:rPr>
          <w:rFonts w:hint="eastAsia"/>
        </w:rPr>
      </w:pPr>
      <w:r>
        <w:rPr>
          <w:rFonts w:hint="eastAsia"/>
        </w:rPr>
        <w:t>Modulation of Antitumor Processes</w:t>
      </w:r>
    </w:p>
    <w:p w14:paraId="20C6D161" w14:textId="77777777" w:rsidR="00001923" w:rsidRDefault="00001923" w:rsidP="00001923">
      <w:pPr>
        <w:rPr>
          <w:rFonts w:hint="eastAsia"/>
        </w:rPr>
      </w:pPr>
      <w:r>
        <w:rPr>
          <w:rFonts w:hint="eastAsia"/>
        </w:rPr>
        <w:t>Menthol exhibits antitumor properties, with in vivo studies verifying its activity against A549 tumor cells in nude mice [17]. It is classified among monoterpenes with diverse antitumor properties [18], and menthol biosynthetic pathway transcripts are associated with antitumor contributions [19]. Its antitumor effects may overlap with antiproliferative and cytotoxic mechanisms, such as inducing apoptosis and autophagy [4].</w:t>
      </w:r>
    </w:p>
    <w:p w14:paraId="065B41EB" w14:textId="77777777" w:rsidR="00001923" w:rsidRDefault="00001923" w:rsidP="00001923">
      <w:pPr>
        <w:rPr>
          <w:rFonts w:hint="eastAsia"/>
        </w:rPr>
      </w:pPr>
    </w:p>
    <w:p w14:paraId="75FC9961" w14:textId="77777777" w:rsidR="00001923" w:rsidRDefault="00001923" w:rsidP="00001923">
      <w:pPr>
        <w:rPr>
          <w:rFonts w:hint="eastAsia"/>
        </w:rPr>
      </w:pPr>
      <w:r>
        <w:rPr>
          <w:rFonts w:hint="eastAsia"/>
        </w:rPr>
        <w:lastRenderedPageBreak/>
        <w:t>Regulation of Antipruritic Effects</w:t>
      </w:r>
    </w:p>
    <w:p w14:paraId="7695033D" w14:textId="77777777" w:rsidR="00001923" w:rsidRDefault="00001923" w:rsidP="00001923">
      <w:pPr>
        <w:rPr>
          <w:rFonts w:hint="eastAsia"/>
        </w:rPr>
      </w:pPr>
      <w:r>
        <w:rPr>
          <w:rFonts w:hint="eastAsia"/>
        </w:rPr>
        <w:t>Menthol acts as an antipruritic agent, used in topical formulations (prescription and over-the-counter) to reduce itching [20][21][22][23][24]. It inhibits histamine-induced itch (similar to 2–4°C cooling) at 1% concentration [24] and serotonin/substance P-induced scratching in mice at 0.3–3% l-menthol [24]. Menthol’s antipruritic effects are linked to TRPM8 activation, which mediates its cooling sensation [23].</w:t>
      </w:r>
    </w:p>
    <w:p w14:paraId="4DAA35AB" w14:textId="77777777" w:rsidR="00001923" w:rsidRDefault="00001923" w:rsidP="00001923">
      <w:pPr>
        <w:rPr>
          <w:rFonts w:hint="eastAsia"/>
        </w:rPr>
      </w:pPr>
    </w:p>
    <w:p w14:paraId="15D9BA5D" w14:textId="77777777" w:rsidR="00001923" w:rsidRDefault="00001923" w:rsidP="00001923">
      <w:pPr>
        <w:rPr>
          <w:rFonts w:hint="eastAsia"/>
        </w:rPr>
      </w:pPr>
      <w:r>
        <w:rPr>
          <w:rFonts w:hint="eastAsia"/>
        </w:rPr>
        <w:t>Neuroprotective Activity</w:t>
      </w:r>
    </w:p>
    <w:p w14:paraId="5CCF4212" w14:textId="77777777" w:rsidR="00001923" w:rsidRDefault="00001923" w:rsidP="00001923">
      <w:pPr>
        <w:rPr>
          <w:rFonts w:hint="eastAsia"/>
        </w:rPr>
      </w:pPr>
      <w:r>
        <w:rPr>
          <w:rFonts w:hint="eastAsia"/>
        </w:rPr>
        <w:t>Menthol contributes to neuroprotective effects, as part of peppermint EOs that shield neuronal cells from ischemia/reperfusion-induced brain injury [25]. Its neuroprotective properties are among the broader pharmacological activities of mint, alongside antioxidant and anti-inflammatory effects [26][27][28].</w:t>
      </w:r>
    </w:p>
    <w:p w14:paraId="1626A6E6" w14:textId="77777777" w:rsidR="00001923" w:rsidRDefault="00001923" w:rsidP="00001923">
      <w:pPr>
        <w:rPr>
          <w:rFonts w:hint="eastAsia"/>
        </w:rPr>
      </w:pPr>
    </w:p>
    <w:p w14:paraId="63DD90C8" w14:textId="77777777" w:rsidR="00001923" w:rsidRDefault="00001923" w:rsidP="00001923">
      <w:pPr>
        <w:rPr>
          <w:rFonts w:hint="eastAsia"/>
        </w:rPr>
      </w:pPr>
      <w:r>
        <w:rPr>
          <w:rFonts w:hint="eastAsia"/>
        </w:rPr>
        <w:t>References</w:t>
      </w:r>
    </w:p>
    <w:p w14:paraId="46083095" w14:textId="77777777" w:rsidR="00001923" w:rsidRDefault="00001923" w:rsidP="00001923">
      <w:pPr>
        <w:rPr>
          <w:rFonts w:hint="eastAsia"/>
        </w:rPr>
      </w:pPr>
      <w:r>
        <w:rPr>
          <w:rFonts w:hint="eastAsia"/>
        </w:rPr>
        <w:t>[1] Faridi, U.; Sisodia, B.S.; Shukla, A.K.; Shukla, R.K.; Darokar, M.P.; Dwivedi, U.N.; Shasany, A.K., Proteomics indicates modulation of tubulin polymerization by L-menthol inhibiting human epithelial colorectal adenocarcinoma cell proliferation, 2011, Proteomics</w:t>
      </w:r>
    </w:p>
    <w:p w14:paraId="433C9B7F" w14:textId="77777777" w:rsidR="00001923" w:rsidRDefault="00001923" w:rsidP="00001923">
      <w:pPr>
        <w:rPr>
          <w:rFonts w:hint="eastAsia"/>
        </w:rPr>
      </w:pPr>
      <w:r>
        <w:rPr>
          <w:rFonts w:hint="eastAsia"/>
        </w:rPr>
        <w:t>[2] Willershausen I, Wolf T, Weyer V, Sader R, Ghanaati S, Willershausen B., Influence of E-smoking liquids on human periodontal ligament fibroblasts, 2014, Head Face Med</w:t>
      </w:r>
    </w:p>
    <w:p w14:paraId="0726290A" w14:textId="77777777" w:rsidR="00001923" w:rsidRDefault="00001923" w:rsidP="00001923">
      <w:pPr>
        <w:rPr>
          <w:rFonts w:hint="eastAsia"/>
        </w:rPr>
      </w:pPr>
      <w:r>
        <w:rPr>
          <w:rFonts w:hint="eastAsia"/>
        </w:rPr>
        <w:t>[3] Araujo, D.A.M.; Silva, D.F.; Joca, H.C.; Leal-Cardoso, J.H.; Cruz, J.S., Menthol: Biological effects and toxicity, 2013, Natural Products: Phytochemistry, Botany and Metabolism of Alkaloids, Phenolics and Terpenes</w:t>
      </w:r>
    </w:p>
    <w:p w14:paraId="5E010633" w14:textId="77777777" w:rsidR="00001923" w:rsidRDefault="00001923" w:rsidP="00001923">
      <w:pPr>
        <w:rPr>
          <w:rFonts w:hint="eastAsia"/>
        </w:rPr>
      </w:pPr>
      <w:r>
        <w:rPr>
          <w:rFonts w:hint="eastAsia"/>
        </w:rPr>
        <w:t>[4] Naksawat M, Norkaew C, Charoensedtasin K, Roytrakul S, Tanyong D., Anti-leukemic effect of menthol, a peppermint compound, on induction of apoptosis and autophagy, 2023, PeerJ</w:t>
      </w:r>
    </w:p>
    <w:p w14:paraId="6857BAC0" w14:textId="77777777" w:rsidR="00001923" w:rsidRDefault="00001923" w:rsidP="00001923">
      <w:pPr>
        <w:rPr>
          <w:rFonts w:hint="eastAsia"/>
        </w:rPr>
      </w:pPr>
      <w:r>
        <w:rPr>
          <w:rFonts w:hint="eastAsia"/>
        </w:rPr>
        <w:t>[5] Santo, S.G.E.; Romualdo, G.R.; Santos, L.A.D.; Grassi, T.F.; Barbisan, L.F., Modifying effects of menthol against benzo(a)pyrene-induced forestomach carcinogenesis in female Swiss mice, 2021, Environmental Toxicology</w:t>
      </w:r>
    </w:p>
    <w:p w14:paraId="08A44AFE" w14:textId="77777777" w:rsidR="00001923" w:rsidRDefault="00001923" w:rsidP="00001923">
      <w:pPr>
        <w:rPr>
          <w:rFonts w:hint="eastAsia"/>
        </w:rPr>
      </w:pPr>
      <w:r>
        <w:rPr>
          <w:rFonts w:hint="eastAsia"/>
        </w:rPr>
        <w:t>[6] Hsu, P.-C.; Lan, R.S.; Brasky, T.M.; Marian, C.; Cheema, A.K.; Ressom, H.W.; Loffredo, C.A.; Pickworth, W.B.; Shields, P.G., Menthol smokers: Metabolomic profiling and smoking behavior, 2017, Cancer Epidemiology Biomarkers and Prevention</w:t>
      </w:r>
    </w:p>
    <w:p w14:paraId="21DDB3B0" w14:textId="77777777" w:rsidR="00001923" w:rsidRDefault="00001923" w:rsidP="00001923">
      <w:pPr>
        <w:rPr>
          <w:rFonts w:hint="eastAsia"/>
        </w:rPr>
      </w:pPr>
      <w:r>
        <w:rPr>
          <w:rFonts w:hint="eastAsia"/>
        </w:rPr>
        <w:lastRenderedPageBreak/>
        <w:t>[7] Liu, Songqi; Guo, Wenjin; Jia, Yuxi; Ye, Bojian; Liu, Shu; Fu, Shoupeng; Liu, Juxiong; Hu, Guiqiu, Menthol Targeting AMPK Alleviates the Inflammatory Response of Bovine Mammary Epithelial Cells and Restores the Synthesis of Milk Fat and Milk Protein, 2022, FRONTIERS IN IMMUNOLOGY</w:t>
      </w:r>
    </w:p>
    <w:p w14:paraId="5143305E" w14:textId="77777777" w:rsidR="00001923" w:rsidRDefault="00001923" w:rsidP="00001923">
      <w:pPr>
        <w:rPr>
          <w:rFonts w:hint="eastAsia"/>
        </w:rPr>
      </w:pPr>
      <w:r>
        <w:rPr>
          <w:rFonts w:hint="eastAsia"/>
        </w:rPr>
        <w:t>[8] Shahid M, Lee MY, Yeon A, Cho E, Sairam V, Valdiviez L, You S, Kim J., Menthol, a unique urinary volatile compound, is associated with chronic inflammation in interstitial cystitis, 2018, Sci Rep</w:t>
      </w:r>
    </w:p>
    <w:p w14:paraId="19A3604A" w14:textId="77777777" w:rsidR="00001923" w:rsidRDefault="00001923" w:rsidP="00001923">
      <w:pPr>
        <w:rPr>
          <w:rFonts w:hint="eastAsia"/>
        </w:rPr>
      </w:pPr>
      <w:r>
        <w:rPr>
          <w:rFonts w:hint="eastAsia"/>
        </w:rPr>
        <w:t>[9] Cheng H, An X., Cold stimuli, hot topic: An updated review on the biological activity of menthol in relation to inflammation, 2022, Front Immunol</w:t>
      </w:r>
    </w:p>
    <w:p w14:paraId="2BB1BE11" w14:textId="77777777" w:rsidR="00001923" w:rsidRDefault="00001923" w:rsidP="00001923">
      <w:pPr>
        <w:rPr>
          <w:rFonts w:hint="eastAsia"/>
        </w:rPr>
      </w:pPr>
      <w:r>
        <w:rPr>
          <w:rFonts w:hint="eastAsia"/>
        </w:rPr>
        <w:t>[10] Hilfiger L, Triaux Z, Marcic C, Héberlé E, Emhemmed F, Darbon P, Marchioni E, Petitjean H, Charlet A., Anti-Hyperalgesic Properties of Menthol and Pulegone, 2021, Front Pharmacol</w:t>
      </w:r>
    </w:p>
    <w:p w14:paraId="5CD55B14" w14:textId="77777777" w:rsidR="00001923" w:rsidRDefault="00001923" w:rsidP="00001923">
      <w:pPr>
        <w:rPr>
          <w:rFonts w:hint="eastAsia"/>
        </w:rPr>
      </w:pPr>
      <w:r>
        <w:rPr>
          <w:rFonts w:hint="eastAsia"/>
        </w:rPr>
        <w:t>[11] Valkova, Veronika; Duranova, Hana; Galovicova, Lucia; Vukovic, Nenad L.; Vukic, Milena; Kacaniova, Miroslava, In Vitro Antimicrobial Activity of Lavender, Mint, and Rosemary Essential Oils and the Effect of Their Vapours on Growth of Penicillium spp. in a Bread Model System, 2021, MOLECULES</w:t>
      </w:r>
    </w:p>
    <w:p w14:paraId="0014045B" w14:textId="77777777" w:rsidR="00001923" w:rsidRDefault="00001923" w:rsidP="00001923">
      <w:pPr>
        <w:rPr>
          <w:rFonts w:hint="eastAsia"/>
        </w:rPr>
      </w:pPr>
      <w:r>
        <w:rPr>
          <w:rFonts w:hint="eastAsia"/>
        </w:rPr>
        <w:t>[12] Dawidowicz, A.L.; Olszowy-Tomczyk, M., Does antioxidant properties of the main component of essential oil reflect its antioxidant properties? The comparison of antioxidant properties of essential oils and their main components, 2014, Natural Product Research</w:t>
      </w:r>
    </w:p>
    <w:p w14:paraId="1AF7D4BA" w14:textId="77777777" w:rsidR="00001923" w:rsidRDefault="00001923" w:rsidP="00001923">
      <w:pPr>
        <w:rPr>
          <w:rFonts w:hint="eastAsia"/>
        </w:rPr>
      </w:pPr>
      <w:r>
        <w:rPr>
          <w:rFonts w:hint="eastAsia"/>
        </w:rPr>
        <w:t>[13] Kumar, Prashant; Yadav, Anju; Chanotiya, Chandan Singh; Sahoo, Debasmita; Bawitlung, Laldingngheti; Pal, Anirban; Mohapatra, Priyabrat; Rout, Prasant Kumar, The potential of Sn-B-NaY-ZE catalyst for transformation of citronellal-rich essential oils to menthol-enrich oil via optimization through single factorial design to enhance their organoleptic profile and biological activities, 2023, RESEARCH ON CHEMICAL INTERMEDIATES</w:t>
      </w:r>
    </w:p>
    <w:p w14:paraId="30A8A9DB" w14:textId="77777777" w:rsidR="00001923" w:rsidRDefault="00001923" w:rsidP="00001923">
      <w:pPr>
        <w:rPr>
          <w:rFonts w:hint="eastAsia"/>
        </w:rPr>
      </w:pPr>
      <w:r>
        <w:rPr>
          <w:rFonts w:hint="eastAsia"/>
        </w:rPr>
        <w:t>[14] Moreira, R.C.; Vespermann, K.A.C.; Molina, G.; Bicas, J.L.; Maróstica Júnior, M.R., Health properties of dietary monoterpenes, 2022, Biomol. from Nat. Sources: Adv. and Appl.</w:t>
      </w:r>
    </w:p>
    <w:p w14:paraId="51890635" w14:textId="77777777" w:rsidR="00001923" w:rsidRDefault="00001923" w:rsidP="00001923">
      <w:pPr>
        <w:rPr>
          <w:rFonts w:hint="eastAsia"/>
        </w:rPr>
      </w:pPr>
      <w:r>
        <w:rPr>
          <w:rFonts w:hint="eastAsia"/>
        </w:rPr>
        <w:t>[15] Yang M, Cheng S, Lü L, Han Z, He J., Synergistic stabilization of a menthol Pickering emulsion by zein nanoparticles and starch nanocrystals: Preparation, structural characterization, and functional properties, 2024, PLoS One</w:t>
      </w:r>
    </w:p>
    <w:p w14:paraId="10BFFC51" w14:textId="77777777" w:rsidR="00001923" w:rsidRDefault="00001923" w:rsidP="00001923">
      <w:pPr>
        <w:rPr>
          <w:rFonts w:hint="eastAsia"/>
        </w:rPr>
      </w:pPr>
      <w:r>
        <w:rPr>
          <w:rFonts w:hint="eastAsia"/>
        </w:rPr>
        <w:t xml:space="preserve">[16] Javanshir, Z.; Razavi Mehr, M.; Fekri, M.H., Experimental and computational studies on the electrochemical behavior of carvacrol and menthol, 2021, Iranian Journal of </w:t>
      </w:r>
      <w:r>
        <w:rPr>
          <w:rFonts w:hint="eastAsia"/>
        </w:rPr>
        <w:lastRenderedPageBreak/>
        <w:t>Chemistry and Chemical Engineering</w:t>
      </w:r>
    </w:p>
    <w:p w14:paraId="303F79D5" w14:textId="77777777" w:rsidR="00001923" w:rsidRDefault="00001923" w:rsidP="00001923">
      <w:pPr>
        <w:rPr>
          <w:rFonts w:hint="eastAsia"/>
        </w:rPr>
      </w:pPr>
      <w:r>
        <w:rPr>
          <w:rFonts w:hint="eastAsia"/>
        </w:rPr>
        <w:t>[17] Liu Z, Li C, Mu L, Hu H, Qin X., Menthol induces apoptosis and inhibits proliferation and migration of nonsmall cell lung carcinoma in vitro and in vivo through Akt pathway, 2023, Clin Respir J</w:t>
      </w:r>
    </w:p>
    <w:p w14:paraId="0E31A205" w14:textId="77777777" w:rsidR="00001923" w:rsidRDefault="00001923" w:rsidP="00001923">
      <w:pPr>
        <w:rPr>
          <w:rFonts w:hint="eastAsia"/>
        </w:rPr>
      </w:pPr>
      <w:r>
        <w:rPr>
          <w:rFonts w:hint="eastAsia"/>
        </w:rPr>
        <w:t>[18] Zielinska-Blajet, Mariola; Pietrusiak, Przemyslaw; Feder-Kubis, Joanna, Selected Monocyclic Monoterpenes and Their Derivatives as Effective Anticancer Therapeutic Agents, 2021, INTERNATIONAL JOURNAL OF MOLECULAR SCIENCES</w:t>
      </w:r>
    </w:p>
    <w:p w14:paraId="212151CA" w14:textId="77777777" w:rsidR="00001923" w:rsidRDefault="00001923" w:rsidP="00001923">
      <w:pPr>
        <w:rPr>
          <w:rFonts w:hint="eastAsia"/>
        </w:rPr>
      </w:pPr>
      <w:r>
        <w:rPr>
          <w:rFonts w:hint="eastAsia"/>
        </w:rPr>
        <w:t>[19] Annadurai, Ramasamy S.; Jayakumar, Vasanthan; Mugasimangalam, Raja C.; Katta, Mohan A. V. S. K.; Anand, Sanchita; Gopinathan, Sreeja; Sarma, Santosh Prasad; Fernandes, Sunjay Jude; Mullapudi, Nandita; Murugesan, S.; Rao, Sudha Narayana, Next generation sequencing and de novo transcriptome analysis of Costus pictus D. Don, a non-model plant with potent anti-diabetic properties, 2013, BMC GENOMICS</w:t>
      </w:r>
    </w:p>
    <w:p w14:paraId="164B8029" w14:textId="77777777" w:rsidR="00001923" w:rsidRDefault="00001923" w:rsidP="00001923">
      <w:pPr>
        <w:rPr>
          <w:rFonts w:hint="eastAsia"/>
        </w:rPr>
      </w:pPr>
      <w:r>
        <w:rPr>
          <w:rFonts w:hint="eastAsia"/>
        </w:rPr>
        <w:t>[20] Huang SS, Su HH, Chien SY, Chung HY, Luo ST, Chu YT, Wang YH, MacDonald IJ, Lee HH, Chen YH., Activation of peripheral TRPM8 mitigates ischemic stroke by topically applied menthol, 2022, J Neuroinflammation</w:t>
      </w:r>
    </w:p>
    <w:p w14:paraId="69806D33" w14:textId="77777777" w:rsidR="00001923" w:rsidRDefault="00001923" w:rsidP="00001923">
      <w:pPr>
        <w:rPr>
          <w:rFonts w:hint="eastAsia"/>
        </w:rPr>
      </w:pPr>
      <w:r>
        <w:rPr>
          <w:rFonts w:hint="eastAsia"/>
        </w:rPr>
        <w:t>[21] Xu L, Han Y, Chen X, Aierken A, Wen H, Zheng W, Wang H, Lu X, Zhao Z, Ma C, Liang P, Yang W, Yang S, Yang F., Molecular mechanisms underlying menthol binding and activation of TRPM8 ion channel, 2020, Nat Commun</w:t>
      </w:r>
    </w:p>
    <w:p w14:paraId="7EEA223A" w14:textId="77777777" w:rsidR="00001923" w:rsidRDefault="00001923" w:rsidP="00001923">
      <w:pPr>
        <w:rPr>
          <w:rFonts w:hint="eastAsia"/>
        </w:rPr>
      </w:pPr>
      <w:r>
        <w:rPr>
          <w:rFonts w:hint="eastAsia"/>
        </w:rPr>
        <w:t>[22] Wang Y, Cao S, Yu K, Yang F, Yu X, Zhai Y, Wu C, Xu Y., Integrating tacrolimus into eutectic oil-based microemulsion for atopic dermatitis: simultaneously enhancing percutaneous delivery and treatment efficacy with relieving side effects, 2019, Int J Nanomedicine</w:t>
      </w:r>
    </w:p>
    <w:p w14:paraId="77301011" w14:textId="77777777" w:rsidR="00001923" w:rsidRDefault="00001923" w:rsidP="00001923">
      <w:pPr>
        <w:rPr>
          <w:rFonts w:hint="eastAsia"/>
        </w:rPr>
      </w:pPr>
      <w:r>
        <w:rPr>
          <w:rFonts w:hint="eastAsia"/>
        </w:rPr>
        <w:t>[23] Ramos-Filho AC, Shah A, Augusto TM, Barbosa GO, Leiria LO, de Carvalho HF, Antunes E, Grant AD., Menthol inhibits detrusor contractility independently of TRPM8 activation, 2014, PLoS One</w:t>
      </w:r>
    </w:p>
    <w:p w14:paraId="09E545E7" w14:textId="77777777" w:rsidR="00001923" w:rsidRDefault="00001923" w:rsidP="00001923">
      <w:pPr>
        <w:rPr>
          <w:rFonts w:hint="eastAsia"/>
        </w:rPr>
      </w:pPr>
      <w:r>
        <w:rPr>
          <w:rFonts w:hint="eastAsia"/>
        </w:rPr>
        <w:t>[24] Kamatou, Guy P. P.; Vermaak, Ilze; Viljoen, Alvaro M.; Lawrence, Brian M., Menthol: A simple monoterpene with remarkable biological properties, 2013, PHYTOCHEMISTRY</w:t>
      </w:r>
    </w:p>
    <w:p w14:paraId="3BB76DC9" w14:textId="77777777" w:rsidR="00001923" w:rsidRDefault="00001923" w:rsidP="00001923">
      <w:pPr>
        <w:rPr>
          <w:rFonts w:hint="eastAsia"/>
        </w:rPr>
      </w:pPr>
      <w:r>
        <w:rPr>
          <w:rFonts w:hint="eastAsia"/>
        </w:rPr>
        <w:t>[25] Stojanovi</w:t>
      </w:r>
      <w:r>
        <w:rPr>
          <w:rFonts w:ascii="Cambria" w:hAnsi="Cambria" w:cs="Cambria"/>
        </w:rPr>
        <w:t>ć</w:t>
      </w:r>
      <w:r>
        <w:rPr>
          <w:rFonts w:hint="eastAsia"/>
        </w:rPr>
        <w:t xml:space="preserve"> NM, Ran</w:t>
      </w:r>
      <w:r>
        <w:rPr>
          <w:rFonts w:ascii="Cambria" w:hAnsi="Cambria" w:cs="Cambria"/>
        </w:rPr>
        <w:t>đ</w:t>
      </w:r>
      <w:r>
        <w:rPr>
          <w:rFonts w:hint="eastAsia"/>
        </w:rPr>
        <w:t>elovi</w:t>
      </w:r>
      <w:r>
        <w:rPr>
          <w:rFonts w:ascii="Cambria" w:hAnsi="Cambria" w:cs="Cambria"/>
        </w:rPr>
        <w:t>ć</w:t>
      </w:r>
      <w:r>
        <w:rPr>
          <w:rFonts w:hint="eastAsia"/>
        </w:rPr>
        <w:t xml:space="preserve"> PJ, Simonovi</w:t>
      </w:r>
      <w:r>
        <w:rPr>
          <w:rFonts w:ascii="Cambria" w:hAnsi="Cambria" w:cs="Cambria"/>
        </w:rPr>
        <w:t>ć</w:t>
      </w:r>
      <w:r>
        <w:rPr>
          <w:rFonts w:hint="eastAsia"/>
        </w:rPr>
        <w:t xml:space="preserve"> M, Radi</w:t>
      </w:r>
      <w:r>
        <w:rPr>
          <w:rFonts w:ascii="Cambria" w:hAnsi="Cambria" w:cs="Cambria"/>
        </w:rPr>
        <w:t>ć</w:t>
      </w:r>
      <w:r>
        <w:rPr>
          <w:rFonts w:hint="eastAsia"/>
        </w:rPr>
        <w:t xml:space="preserve"> M, Todorovi</w:t>
      </w:r>
      <w:r>
        <w:rPr>
          <w:rFonts w:ascii="Cambria" w:hAnsi="Cambria" w:cs="Cambria"/>
        </w:rPr>
        <w:t>ć</w:t>
      </w:r>
      <w:r>
        <w:rPr>
          <w:rFonts w:hint="eastAsia"/>
        </w:rPr>
        <w:t xml:space="preserve"> S, Corrigan M, Harkin A, Boylan F., Essential Oil Constituents as Anti-Inflammatory and Neuroprotective Agents: An Insight through Microglia Modulation, 2024, Int J Mol Sci</w:t>
      </w:r>
    </w:p>
    <w:p w14:paraId="06FB7AB6" w14:textId="77777777" w:rsidR="00001923" w:rsidRDefault="00001923" w:rsidP="00001923">
      <w:r>
        <w:t>[26] Marc Vlaic RA, Mureșan V, Mureșan AE, Mureșan CC, Tanislav AE, Pușcaș A, Marţiș Petruţ GS, Ungur RA., Spicy and Aromatic Plants for Meat and Meat Analogues Applications, 2022, Plants (Basel)</w:t>
      </w:r>
    </w:p>
    <w:p w14:paraId="789F3E8D" w14:textId="77777777" w:rsidR="00001923" w:rsidRDefault="00001923" w:rsidP="00001923">
      <w:pPr>
        <w:rPr>
          <w:rFonts w:hint="eastAsia"/>
        </w:rPr>
      </w:pPr>
      <w:r>
        <w:rPr>
          <w:rFonts w:hint="eastAsia"/>
        </w:rPr>
        <w:lastRenderedPageBreak/>
        <w:t>[27] Wu, Xiaoxuan; Yang, Yu; Zhang, Huiming, Microbial fortification of pharmacological metabolites in medicinal plants, 2023, COMPUTATIONAL AND STRUCTURAL BIOTECHNOLOGY JOURNAL</w:t>
      </w:r>
    </w:p>
    <w:p w14:paraId="330688E8" w14:textId="102FAE66" w:rsidR="00CA3879" w:rsidRDefault="00001923" w:rsidP="00001923">
      <w:pPr>
        <w:rPr>
          <w:rFonts w:hint="eastAsia"/>
        </w:rPr>
      </w:pPr>
      <w:r>
        <w:rPr>
          <w:rFonts w:hint="eastAsia"/>
        </w:rPr>
        <w:t>[28] Chung, Moon-Soo; Singh, Akhileshwar; Jeong, Gyeong Han; Lee, Seung Sik; Chung, Byung Yeoup; Lee, Sungbeom, Comparative Analysis of Volatile Terpenoids Composition in Lavender Leaves in Response to Gamma Irradiation and Anticancer Effect of α-Santalene against Prostate Cancer, 2023, JOURNAL OF ESSENTIAL OIL BEARING PLANTS</w:t>
      </w:r>
    </w:p>
    <w:sectPr w:rsidR="00CA387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33469" w14:textId="77777777" w:rsidR="00B412EB" w:rsidRDefault="00B412EB" w:rsidP="00001923">
      <w:pPr>
        <w:spacing w:after="0" w:line="240" w:lineRule="auto"/>
        <w:rPr>
          <w:rFonts w:hint="eastAsia"/>
        </w:rPr>
      </w:pPr>
      <w:r>
        <w:separator/>
      </w:r>
    </w:p>
  </w:endnote>
  <w:endnote w:type="continuationSeparator" w:id="0">
    <w:p w14:paraId="61AED092" w14:textId="77777777" w:rsidR="00B412EB" w:rsidRDefault="00B412EB" w:rsidP="0000192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4151C" w14:textId="77777777" w:rsidR="00B412EB" w:rsidRDefault="00B412EB" w:rsidP="00001923">
      <w:pPr>
        <w:spacing w:after="0" w:line="240" w:lineRule="auto"/>
        <w:rPr>
          <w:rFonts w:hint="eastAsia"/>
        </w:rPr>
      </w:pPr>
      <w:r>
        <w:separator/>
      </w:r>
    </w:p>
  </w:footnote>
  <w:footnote w:type="continuationSeparator" w:id="0">
    <w:p w14:paraId="799C17C2" w14:textId="77777777" w:rsidR="00B412EB" w:rsidRDefault="00B412EB" w:rsidP="00001923">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593"/>
    <w:rsid w:val="00001923"/>
    <w:rsid w:val="001F6576"/>
    <w:rsid w:val="00327F37"/>
    <w:rsid w:val="00B412EB"/>
    <w:rsid w:val="00BE6593"/>
    <w:rsid w:val="00CA38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EB98E247-9EF6-4037-8361-E48755FED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E659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E659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E659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E659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E659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E659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E659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E659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E659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E659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E659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E659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E6593"/>
    <w:rPr>
      <w:rFonts w:cstheme="majorBidi"/>
      <w:color w:val="0F4761" w:themeColor="accent1" w:themeShade="BF"/>
      <w:sz w:val="28"/>
      <w:szCs w:val="28"/>
    </w:rPr>
  </w:style>
  <w:style w:type="character" w:customStyle="1" w:styleId="50">
    <w:name w:val="标题 5 字符"/>
    <w:basedOn w:val="a0"/>
    <w:link w:val="5"/>
    <w:uiPriority w:val="9"/>
    <w:semiHidden/>
    <w:rsid w:val="00BE6593"/>
    <w:rPr>
      <w:rFonts w:cstheme="majorBidi"/>
      <w:color w:val="0F4761" w:themeColor="accent1" w:themeShade="BF"/>
      <w:sz w:val="24"/>
    </w:rPr>
  </w:style>
  <w:style w:type="character" w:customStyle="1" w:styleId="60">
    <w:name w:val="标题 6 字符"/>
    <w:basedOn w:val="a0"/>
    <w:link w:val="6"/>
    <w:uiPriority w:val="9"/>
    <w:semiHidden/>
    <w:rsid w:val="00BE6593"/>
    <w:rPr>
      <w:rFonts w:cstheme="majorBidi"/>
      <w:b/>
      <w:bCs/>
      <w:color w:val="0F4761" w:themeColor="accent1" w:themeShade="BF"/>
    </w:rPr>
  </w:style>
  <w:style w:type="character" w:customStyle="1" w:styleId="70">
    <w:name w:val="标题 7 字符"/>
    <w:basedOn w:val="a0"/>
    <w:link w:val="7"/>
    <w:uiPriority w:val="9"/>
    <w:semiHidden/>
    <w:rsid w:val="00BE6593"/>
    <w:rPr>
      <w:rFonts w:cstheme="majorBidi"/>
      <w:b/>
      <w:bCs/>
      <w:color w:val="595959" w:themeColor="text1" w:themeTint="A6"/>
    </w:rPr>
  </w:style>
  <w:style w:type="character" w:customStyle="1" w:styleId="80">
    <w:name w:val="标题 8 字符"/>
    <w:basedOn w:val="a0"/>
    <w:link w:val="8"/>
    <w:uiPriority w:val="9"/>
    <w:semiHidden/>
    <w:rsid w:val="00BE6593"/>
    <w:rPr>
      <w:rFonts w:cstheme="majorBidi"/>
      <w:color w:val="595959" w:themeColor="text1" w:themeTint="A6"/>
    </w:rPr>
  </w:style>
  <w:style w:type="character" w:customStyle="1" w:styleId="90">
    <w:name w:val="标题 9 字符"/>
    <w:basedOn w:val="a0"/>
    <w:link w:val="9"/>
    <w:uiPriority w:val="9"/>
    <w:semiHidden/>
    <w:rsid w:val="00BE6593"/>
    <w:rPr>
      <w:rFonts w:eastAsiaTheme="majorEastAsia" w:cstheme="majorBidi"/>
      <w:color w:val="595959" w:themeColor="text1" w:themeTint="A6"/>
    </w:rPr>
  </w:style>
  <w:style w:type="paragraph" w:styleId="a3">
    <w:name w:val="Title"/>
    <w:basedOn w:val="a"/>
    <w:next w:val="a"/>
    <w:link w:val="a4"/>
    <w:uiPriority w:val="10"/>
    <w:qFormat/>
    <w:rsid w:val="00BE659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E65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E659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E659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E6593"/>
    <w:pPr>
      <w:spacing w:before="160"/>
      <w:jc w:val="center"/>
    </w:pPr>
    <w:rPr>
      <w:i/>
      <w:iCs/>
      <w:color w:val="404040" w:themeColor="text1" w:themeTint="BF"/>
    </w:rPr>
  </w:style>
  <w:style w:type="character" w:customStyle="1" w:styleId="a8">
    <w:name w:val="引用 字符"/>
    <w:basedOn w:val="a0"/>
    <w:link w:val="a7"/>
    <w:uiPriority w:val="29"/>
    <w:rsid w:val="00BE6593"/>
    <w:rPr>
      <w:i/>
      <w:iCs/>
      <w:color w:val="404040" w:themeColor="text1" w:themeTint="BF"/>
    </w:rPr>
  </w:style>
  <w:style w:type="paragraph" w:styleId="a9">
    <w:name w:val="List Paragraph"/>
    <w:basedOn w:val="a"/>
    <w:uiPriority w:val="34"/>
    <w:qFormat/>
    <w:rsid w:val="00BE6593"/>
    <w:pPr>
      <w:ind w:left="720"/>
      <w:contextualSpacing/>
    </w:pPr>
  </w:style>
  <w:style w:type="character" w:styleId="aa">
    <w:name w:val="Intense Emphasis"/>
    <w:basedOn w:val="a0"/>
    <w:uiPriority w:val="21"/>
    <w:qFormat/>
    <w:rsid w:val="00BE6593"/>
    <w:rPr>
      <w:i/>
      <w:iCs/>
      <w:color w:val="0F4761" w:themeColor="accent1" w:themeShade="BF"/>
    </w:rPr>
  </w:style>
  <w:style w:type="paragraph" w:styleId="ab">
    <w:name w:val="Intense Quote"/>
    <w:basedOn w:val="a"/>
    <w:next w:val="a"/>
    <w:link w:val="ac"/>
    <w:uiPriority w:val="30"/>
    <w:qFormat/>
    <w:rsid w:val="00BE65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E6593"/>
    <w:rPr>
      <w:i/>
      <w:iCs/>
      <w:color w:val="0F4761" w:themeColor="accent1" w:themeShade="BF"/>
    </w:rPr>
  </w:style>
  <w:style w:type="character" w:styleId="ad">
    <w:name w:val="Intense Reference"/>
    <w:basedOn w:val="a0"/>
    <w:uiPriority w:val="32"/>
    <w:qFormat/>
    <w:rsid w:val="00BE6593"/>
    <w:rPr>
      <w:b/>
      <w:bCs/>
      <w:smallCaps/>
      <w:color w:val="0F4761" w:themeColor="accent1" w:themeShade="BF"/>
      <w:spacing w:val="5"/>
    </w:rPr>
  </w:style>
  <w:style w:type="paragraph" w:styleId="ae">
    <w:name w:val="header"/>
    <w:basedOn w:val="a"/>
    <w:link w:val="af"/>
    <w:uiPriority w:val="99"/>
    <w:unhideWhenUsed/>
    <w:rsid w:val="00001923"/>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01923"/>
    <w:rPr>
      <w:sz w:val="18"/>
      <w:szCs w:val="18"/>
    </w:rPr>
  </w:style>
  <w:style w:type="paragraph" w:styleId="af0">
    <w:name w:val="footer"/>
    <w:basedOn w:val="a"/>
    <w:link w:val="af1"/>
    <w:uiPriority w:val="99"/>
    <w:unhideWhenUsed/>
    <w:rsid w:val="00001923"/>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0192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1442</Words>
  <Characters>9533</Characters>
  <Application>Microsoft Office Word</Application>
  <DocSecurity>0</DocSecurity>
  <Lines>164</Lines>
  <Paragraphs>62</Paragraphs>
  <ScaleCrop>false</ScaleCrop>
  <Company/>
  <LinksUpToDate>false</LinksUpToDate>
  <CharactersWithSpaces>10913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 kang</dc:creator>
  <cp:keywords/>
  <dc:description/>
  <cp:lastModifiedBy>xu kang</cp:lastModifiedBy>
  <cp:revision>2</cp:revision>
  <dcterms:created xsi:type="dcterms:W3CDTF">2026-02-05T07:19:00Z</dcterms:created>
  <dcterms:modified xsi:type="dcterms:W3CDTF">2026-02-05T07:19:00Z</dcterms:modified>
</cp:coreProperties>
</file>