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025A3" w14:textId="77777777" w:rsidR="005619A8" w:rsidRPr="005619A8" w:rsidRDefault="005619A8" w:rsidP="005619A8">
      <w:pPr>
        <w:shd w:val="clear" w:color="auto" w:fill="FDFDFD"/>
        <w:spacing w:before="450" w:after="0" w:line="240" w:lineRule="auto"/>
        <w:outlineLvl w:val="1"/>
        <w:rPr>
          <w:rFonts w:ascii="Helvetica" w:eastAsia="Times New Roman" w:hAnsi="Helvetica" w:cs="Helvetica"/>
          <w:b/>
          <w:bCs/>
          <w:color w:val="464646"/>
          <w:sz w:val="36"/>
          <w:szCs w:val="36"/>
          <w:lang w:val="en-US"/>
        </w:rPr>
      </w:pPr>
      <w:r w:rsidRPr="005619A8">
        <w:rPr>
          <w:rFonts w:ascii="Helvetica" w:eastAsia="Times New Roman" w:hAnsi="Helvetica" w:cs="Helvetica"/>
          <w:b/>
          <w:bCs/>
          <w:color w:val="464646"/>
          <w:sz w:val="36"/>
          <w:szCs w:val="36"/>
          <w:lang w:val="en-US"/>
        </w:rPr>
        <w:t>Theory</w:t>
      </w:r>
    </w:p>
    <w:p w14:paraId="541098F5" w14:textId="77777777" w:rsidR="005619A8" w:rsidRPr="005619A8" w:rsidRDefault="005619A8" w:rsidP="005619A8">
      <w:pPr>
        <w:shd w:val="clear" w:color="auto" w:fill="FDFDFD"/>
        <w:spacing w:before="450" w:after="0" w:line="240" w:lineRule="auto"/>
        <w:rPr>
          <w:rFonts w:ascii="Helvetica" w:eastAsia="Times New Roman" w:hAnsi="Helvetica" w:cs="Helvetica"/>
          <w:color w:val="464646"/>
          <w:sz w:val="24"/>
          <w:szCs w:val="24"/>
          <w:lang w:val="en-US"/>
        </w:rPr>
      </w:pPr>
      <w:r w:rsidRPr="005619A8">
        <w:rPr>
          <w:rFonts w:ascii="Helvetica" w:eastAsia="Times New Roman" w:hAnsi="Helvetica" w:cs="Helvetica"/>
          <w:color w:val="464646"/>
          <w:sz w:val="24"/>
          <w:szCs w:val="24"/>
          <w:lang w:val="en-US"/>
        </w:rPr>
        <w:t>SymBeam is based on classical Solid Mechanics and Strenght of Materials results to solve the beam equilibirum problem. A simple outline follows in the present section, without entering in any mathematical derivations.</w:t>
      </w:r>
    </w:p>
    <w:p w14:paraId="1BC8D86E" w14:textId="217ADD66" w:rsidR="005619A8" w:rsidRDefault="005619A8" w:rsidP="005619A8">
      <w:pPr>
        <w:numPr>
          <w:ilvl w:val="0"/>
          <w:numId w:val="1"/>
        </w:numPr>
        <w:shd w:val="clear" w:color="auto" w:fill="FDFDFD"/>
        <w:spacing w:before="100" w:beforeAutospacing="1" w:after="100" w:afterAutospacing="1" w:line="240" w:lineRule="auto"/>
        <w:ind w:left="1170"/>
        <w:rPr>
          <w:rFonts w:ascii="Helvetica" w:eastAsia="Times New Roman" w:hAnsi="Helvetica" w:cs="Helvetica"/>
          <w:color w:val="464646"/>
          <w:sz w:val="24"/>
          <w:szCs w:val="24"/>
          <w:lang w:val="en-US"/>
        </w:rPr>
      </w:pPr>
      <w:r w:rsidRPr="005619A8">
        <w:rPr>
          <w:rFonts w:ascii="Helvetica" w:eastAsia="Times New Roman" w:hAnsi="Helvetica" w:cs="Helvetica"/>
          <w:b/>
          <w:bCs/>
          <w:color w:val="464646"/>
          <w:sz w:val="24"/>
          <w:szCs w:val="24"/>
          <w:lang w:val="en-US"/>
        </w:rPr>
        <w:t>Reaction computation</w:t>
      </w:r>
      <w:r w:rsidRPr="005619A8">
        <w:rPr>
          <w:rFonts w:ascii="Helvetica" w:eastAsia="Times New Roman" w:hAnsi="Helvetica" w:cs="Helvetica"/>
          <w:color w:val="464646"/>
          <w:sz w:val="24"/>
          <w:szCs w:val="24"/>
          <w:lang w:val="en-US"/>
        </w:rPr>
        <w:t> - SymBeam does not allow for axial loads, currently. Therefore, depending on the support type, one shall need to compute a either a transverse reaction force or a reaction moment. These are computed by solving the algebraic system of linear equations arising from the equilibirum of forces and moments of the structure, accounting simultaneously for point loads and moments and distributed forces.</w:t>
      </w:r>
    </w:p>
    <w:p w14:paraId="018C6681" w14:textId="20A1CFAD" w:rsidR="005619A8" w:rsidRPr="005619A8" w:rsidRDefault="005619A8" w:rsidP="005619A8">
      <w:pPr>
        <w:shd w:val="clear" w:color="auto" w:fill="FDFDFD"/>
        <w:spacing w:before="100" w:beforeAutospacing="1" w:after="100" w:afterAutospacing="1" w:line="240" w:lineRule="auto"/>
        <w:ind w:left="1170"/>
        <w:jc w:val="center"/>
        <w:rPr>
          <w:rFonts w:ascii="Helvetica" w:eastAsia="Times New Roman" w:hAnsi="Helvetica" w:cs="Helvetica"/>
          <w:color w:val="464646"/>
          <w:sz w:val="24"/>
          <w:szCs w:val="24"/>
          <w:lang w:val="en-US"/>
        </w:rPr>
      </w:pPr>
      <w:r w:rsidRPr="005619A8">
        <w:rPr>
          <w:rFonts w:ascii="Helvetica" w:eastAsia="Times New Roman" w:hAnsi="Helvetica" w:cs="Helvetica"/>
          <w:color w:val="464646"/>
          <w:sz w:val="24"/>
          <w:szCs w:val="24"/>
          <w:lang w:val="en-US"/>
        </w:rPr>
        <w:drawing>
          <wp:inline distT="0" distB="0" distL="0" distR="0" wp14:anchorId="7AA8E5C1" wp14:editId="3C830903">
            <wp:extent cx="2095792" cy="342948"/>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95792" cy="342948"/>
                    </a:xfrm>
                    <a:prstGeom prst="rect">
                      <a:avLst/>
                    </a:prstGeom>
                  </pic:spPr>
                </pic:pic>
              </a:graphicData>
            </a:graphic>
          </wp:inline>
        </w:drawing>
      </w:r>
    </w:p>
    <w:p w14:paraId="0323BD3F" w14:textId="151B91D9" w:rsidR="005619A8" w:rsidRDefault="005619A8" w:rsidP="005619A8">
      <w:pPr>
        <w:numPr>
          <w:ilvl w:val="0"/>
          <w:numId w:val="2"/>
        </w:numPr>
        <w:shd w:val="clear" w:color="auto" w:fill="FDFDFD"/>
        <w:spacing w:before="100" w:beforeAutospacing="1" w:after="100" w:afterAutospacing="1" w:line="240" w:lineRule="auto"/>
        <w:ind w:left="1170"/>
        <w:rPr>
          <w:rFonts w:ascii="Helvetica" w:eastAsia="Times New Roman" w:hAnsi="Helvetica" w:cs="Helvetica"/>
          <w:color w:val="464646"/>
          <w:sz w:val="24"/>
          <w:szCs w:val="24"/>
          <w:lang w:val="en-US"/>
        </w:rPr>
      </w:pPr>
      <w:r w:rsidRPr="005619A8">
        <w:rPr>
          <w:rFonts w:ascii="Helvetica" w:eastAsia="Times New Roman" w:hAnsi="Helvetica" w:cs="Helvetica"/>
          <w:b/>
          <w:bCs/>
          <w:color w:val="464646"/>
          <w:sz w:val="24"/>
          <w:szCs w:val="24"/>
          <w:lang w:val="en-US"/>
        </w:rPr>
        <w:t>Bending diagrams</w:t>
      </w:r>
      <w:r w:rsidRPr="005619A8">
        <w:rPr>
          <w:rFonts w:ascii="Helvetica" w:eastAsia="Times New Roman" w:hAnsi="Helvetica" w:cs="Helvetica"/>
          <w:color w:val="464646"/>
          <w:sz w:val="24"/>
          <w:szCs w:val="24"/>
          <w:lang w:val="en-US"/>
        </w:rPr>
        <w:t> - the shear force and bending moment diagrams are computed by integrating the differential equations of equilibirum of the beam and imposing the boundary conditions in a sequential manner, starting from the initial point at </w:t>
      </w:r>
      <w:r w:rsidRPr="005619A8">
        <w:rPr>
          <w:rFonts w:ascii="Courier New" w:eastAsia="Times New Roman" w:hAnsi="Courier New" w:cs="Courier New"/>
          <w:color w:val="6C6C6C"/>
          <w:sz w:val="20"/>
          <w:szCs w:val="20"/>
          <w:bdr w:val="single" w:sz="6" w:space="0" w:color="D3D3D3" w:frame="1"/>
          <w:shd w:val="clear" w:color="auto" w:fill="F9F9F9"/>
          <w:lang w:val="en-US"/>
        </w:rPr>
        <w:t>x0</w:t>
      </w:r>
      <w:r w:rsidRPr="005619A8">
        <w:rPr>
          <w:rFonts w:ascii="Helvetica" w:eastAsia="Times New Roman" w:hAnsi="Helvetica" w:cs="Helvetica"/>
          <w:color w:val="464646"/>
          <w:sz w:val="24"/>
          <w:szCs w:val="24"/>
          <w:lang w:val="en-US"/>
        </w:rPr>
        <w:t>. The expressions obtained at the previous segment are used to set the boundary conditions for the next one.</w:t>
      </w:r>
    </w:p>
    <w:p w14:paraId="5DB6EF46" w14:textId="6F8D834F" w:rsidR="005619A8" w:rsidRPr="005619A8" w:rsidRDefault="005619A8" w:rsidP="005619A8">
      <w:pPr>
        <w:shd w:val="clear" w:color="auto" w:fill="FDFDFD"/>
        <w:spacing w:before="100" w:beforeAutospacing="1" w:after="100" w:afterAutospacing="1" w:line="240" w:lineRule="auto"/>
        <w:ind w:left="1170"/>
        <w:jc w:val="center"/>
        <w:rPr>
          <w:rFonts w:ascii="Helvetica" w:eastAsia="Times New Roman" w:hAnsi="Helvetica" w:cs="Helvetica"/>
          <w:color w:val="464646"/>
          <w:sz w:val="24"/>
          <w:szCs w:val="24"/>
          <w:lang w:val="en-US"/>
        </w:rPr>
      </w:pPr>
      <w:r w:rsidRPr="005619A8">
        <w:rPr>
          <w:rFonts w:ascii="Helvetica" w:eastAsia="Times New Roman" w:hAnsi="Helvetica" w:cs="Helvetica"/>
          <w:color w:val="464646"/>
          <w:sz w:val="24"/>
          <w:szCs w:val="24"/>
          <w:lang w:val="en-US"/>
        </w:rPr>
        <w:drawing>
          <wp:inline distT="0" distB="0" distL="0" distR="0" wp14:anchorId="22F359BF" wp14:editId="6CC6CB87">
            <wp:extent cx="2438740" cy="45726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38740" cy="457264"/>
                    </a:xfrm>
                    <a:prstGeom prst="rect">
                      <a:avLst/>
                    </a:prstGeom>
                  </pic:spPr>
                </pic:pic>
              </a:graphicData>
            </a:graphic>
          </wp:inline>
        </w:drawing>
      </w:r>
    </w:p>
    <w:p w14:paraId="0D1FBFBB" w14:textId="77777777" w:rsidR="005619A8" w:rsidRPr="005619A8" w:rsidRDefault="005619A8" w:rsidP="005619A8">
      <w:pPr>
        <w:numPr>
          <w:ilvl w:val="0"/>
          <w:numId w:val="3"/>
        </w:numPr>
        <w:shd w:val="clear" w:color="auto" w:fill="FDFDFD"/>
        <w:spacing w:before="100" w:beforeAutospacing="1" w:after="100" w:afterAutospacing="1" w:line="240" w:lineRule="auto"/>
        <w:ind w:left="1170"/>
        <w:rPr>
          <w:rFonts w:ascii="Helvetica" w:eastAsia="Times New Roman" w:hAnsi="Helvetica" w:cs="Helvetica"/>
          <w:color w:val="464646"/>
          <w:sz w:val="24"/>
          <w:szCs w:val="24"/>
          <w:lang w:val="en-US"/>
        </w:rPr>
      </w:pPr>
      <w:r w:rsidRPr="005619A8">
        <w:rPr>
          <w:rFonts w:ascii="Helvetica" w:eastAsia="Times New Roman" w:hAnsi="Helvetica" w:cs="Helvetica"/>
          <w:b/>
          <w:bCs/>
          <w:color w:val="464646"/>
          <w:sz w:val="24"/>
          <w:szCs w:val="24"/>
          <w:lang w:val="en-US"/>
        </w:rPr>
        <w:t>Deflection</w:t>
      </w:r>
      <w:r w:rsidRPr="005619A8">
        <w:rPr>
          <w:rFonts w:ascii="Helvetica" w:eastAsia="Times New Roman" w:hAnsi="Helvetica" w:cs="Helvetica"/>
          <w:color w:val="464646"/>
          <w:sz w:val="24"/>
          <w:szCs w:val="24"/>
          <w:lang w:val="en-US"/>
        </w:rPr>
        <w:t> - the slope and deflection of the beam are obtained by integration the elastic curve equation in each segment one and two times, respectively. The geometrical boundary conditions are used to build a system of algebraic equations for the integration constants (twice the number of segments).</w:t>
      </w:r>
    </w:p>
    <w:p w14:paraId="0A91304A" w14:textId="3D0A2FC4" w:rsidR="00023241" w:rsidRPr="005619A8" w:rsidRDefault="005619A8" w:rsidP="005619A8">
      <w:pPr>
        <w:jc w:val="center"/>
        <w:rPr>
          <w:lang w:val="en-US"/>
        </w:rPr>
      </w:pPr>
      <w:r w:rsidRPr="005619A8">
        <w:rPr>
          <w:lang w:val="en-US"/>
        </w:rPr>
        <w:drawing>
          <wp:inline distT="0" distB="0" distL="0" distR="0" wp14:anchorId="4AD738C9" wp14:editId="3DAA54E8">
            <wp:extent cx="1114581" cy="638264"/>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14581" cy="638264"/>
                    </a:xfrm>
                    <a:prstGeom prst="rect">
                      <a:avLst/>
                    </a:prstGeom>
                  </pic:spPr>
                </pic:pic>
              </a:graphicData>
            </a:graphic>
          </wp:inline>
        </w:drawing>
      </w:r>
    </w:p>
    <w:sectPr w:rsidR="00023241" w:rsidRPr="005619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B44D90"/>
    <w:multiLevelType w:val="multilevel"/>
    <w:tmpl w:val="8BB8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A7277B"/>
    <w:multiLevelType w:val="multilevel"/>
    <w:tmpl w:val="B55A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913F0B"/>
    <w:multiLevelType w:val="multilevel"/>
    <w:tmpl w:val="B252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809"/>
    <w:rsid w:val="000155DA"/>
    <w:rsid w:val="00231140"/>
    <w:rsid w:val="0043251B"/>
    <w:rsid w:val="005619A8"/>
    <w:rsid w:val="006E5C44"/>
    <w:rsid w:val="00957F94"/>
    <w:rsid w:val="009A0B9F"/>
    <w:rsid w:val="00F54809"/>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5B7DE"/>
  <w15:chartTrackingRefBased/>
  <w15:docId w15:val="{0A839C82-57FB-4256-A973-8ECA201FA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5619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5619A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619A8"/>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5619A8"/>
    <w:rPr>
      <w:b/>
      <w:bCs/>
    </w:rPr>
  </w:style>
  <w:style w:type="character" w:styleId="CdigoHTML">
    <w:name w:val="HTML Code"/>
    <w:basedOn w:val="Fontepargpadro"/>
    <w:uiPriority w:val="99"/>
    <w:semiHidden/>
    <w:unhideWhenUsed/>
    <w:rsid w:val="005619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808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203</Words>
  <Characters>1101</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BORTOLUZZI</dc:creator>
  <cp:keywords/>
  <dc:description/>
  <cp:lastModifiedBy>RODOLFO BORTOLUZZI</cp:lastModifiedBy>
  <cp:revision>2</cp:revision>
  <dcterms:created xsi:type="dcterms:W3CDTF">2021-05-15T14:04:00Z</dcterms:created>
  <dcterms:modified xsi:type="dcterms:W3CDTF">2021-05-15T14:06:00Z</dcterms:modified>
</cp:coreProperties>
</file>