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Mille Ans – Textes du site à relire</w:t>
      </w:r>
    </w:p>
    <w:p>
      <w:r>
        <w:rPr>
          <w:b w:val="0"/>
          <w:i/>
        </w:rPr>
        <w:t>Site promotionnel de l’album « Mille Ans » (Le Lombard) – mille-ans.lelombard.com</w:t>
      </w:r>
    </w:p>
    <w:p>
      <w:r>
        <w:rPr>
          <w:b w:val="0"/>
          <w:i w:val="0"/>
        </w:rPr>
        <w:t>Ce document reprend l’ensemble des textes affichés sur le site, dans l’ordre de lecture. Merci d’indiquer vos corrections directement dans le texte (mode suivi des modifications) ou en commentaire. Les mentions « [ne pas modifier] » signalent des citations reprises mot pour mot du dossier de presse.</w:t>
      </w:r>
    </w:p>
    <w:p>
      <w:r>
        <w:rPr>
          <w:b w:val="0"/>
          <w:i/>
          <w:color w:val="666666"/>
        </w:rPr>
        <w:t>Sources : fiche officielle lelombard.com, dossier de presse « DP_MILLE_ANS », pages-titres et planches fournies.</w:t>
      </w:r>
    </w:p>
    <w:p>
      <w:pPr>
        <w:pStyle w:val="Heading1"/>
      </w:pPr>
      <w:r>
        <w:t>0. Informations générales</w:t>
      </w:r>
    </w:p>
    <w:p>
      <w:r>
        <w:rPr>
          <w:b/>
          <w:color w:val="5B8FD6"/>
        </w:rPr>
        <w:t xml:space="preserve">Titre de l’onglet / partage : </w:t>
      </w:r>
      <w:r>
        <w:t>Mille Ans – Un scénariste, huit dessinateurs | Le Lombard</w:t>
      </w:r>
    </w:p>
    <w:p>
      <w:r>
        <w:rPr>
          <w:b/>
          <w:color w:val="5B8FD6"/>
        </w:rPr>
        <w:t xml:space="preserve">Description (moteurs de recherche et réseaux sociaux) : </w:t>
      </w:r>
      <w:r>
        <w:t>Mille Ans, l'album SF de Duval avec Armand, Bajram, Buchet, Grun, Ricci, Salaün, Toulhoat et Vignaux : huit récits pour une grande fresque. Le 23 octobre 2026 chez Le Lombard.</w:t>
      </w:r>
    </w:p>
    <w:p>
      <w:pPr>
        <w:pStyle w:val="Heading1"/>
      </w:pPr>
      <w:r>
        <w:t>1. Accueil</w:t>
      </w:r>
    </w:p>
    <w:p>
      <w:r>
        <w:rPr>
          <w:b/>
          <w:color w:val="5B8FD6"/>
        </w:rPr>
        <w:t xml:space="preserve">Surtitre : </w:t>
      </w:r>
      <w:r>
        <w:t>Le Lombard présente</w:t>
      </w:r>
    </w:p>
    <w:p>
      <w:r>
        <w:rPr>
          <w:b/>
          <w:color w:val="5B8FD6"/>
        </w:rPr>
        <w:t xml:space="preserve">Accroche : </w:t>
      </w:r>
      <w:r>
        <w:t>Un scénariste. Huit dessinateurs. Mille ans.</w:t>
      </w:r>
    </w:p>
    <w:p>
      <w:r>
        <w:rPr>
          <w:b/>
          <w:color w:val="5B8FD6"/>
        </w:rPr>
        <w:t xml:space="preserve">Signatures : </w:t>
      </w:r>
      <w:r>
        <w:t>Duval — Armand · Bajram · Buchet · Grun · Ricci · Salaün · Toulhoat · Vignaux</w:t>
      </w:r>
    </w:p>
    <w:p>
      <w:r>
        <w:rPr>
          <w:b/>
          <w:color w:val="5B8FD6"/>
        </w:rPr>
        <w:t xml:space="preserve">Compte à rebours – intitulé : </w:t>
      </w:r>
      <w:r>
        <w:t>Parution en librairie · 23 octobre 2026</w:t>
      </w:r>
    </w:p>
    <w:p>
      <w:r>
        <w:rPr>
          <w:b/>
          <w:color w:val="5B8FD6"/>
        </w:rPr>
        <w:t xml:space="preserve">Compte à rebours – unités : </w:t>
      </w:r>
      <w:r>
        <w:t>jours · heures · minutes · secondes</w:t>
      </w:r>
    </w:p>
    <w:p>
      <w:r>
        <w:rPr>
          <w:b/>
          <w:color w:val="5B8FD6"/>
        </w:rPr>
        <w:t xml:space="preserve">Lien sous le compte à rebours : </w:t>
      </w:r>
      <w:r>
        <w:t>+ Ajouter la parution à mon agenda</w:t>
      </w:r>
    </w:p>
    <w:p>
      <w:r>
        <w:rPr>
          <w:b/>
          <w:color w:val="5B8FD6"/>
        </w:rPr>
        <w:t xml:space="preserve">Après le 23 octobre 2026 – intitulé : </w:t>
      </w:r>
      <w:r>
        <w:t>Disponible en librairie</w:t>
      </w:r>
    </w:p>
    <w:p>
      <w:r>
        <w:rPr>
          <w:b/>
          <w:color w:val="5B8FD6"/>
        </w:rPr>
        <w:t xml:space="preserve">Après le 23 octobre 2026 – message : </w:t>
      </w:r>
      <w:r>
        <w:t>L'album est disponible en librairie.</w:t>
      </w:r>
    </w:p>
    <w:p>
      <w:r>
        <w:rPr>
          <w:b/>
          <w:color w:val="5B8FD6"/>
        </w:rPr>
        <w:t xml:space="preserve">Après le 23 octobre 2026 – bouton : </w:t>
      </w:r>
      <w:r>
        <w:t>Acheter l'album ↗</w:t>
      </w:r>
    </w:p>
    <w:p>
      <w:r>
        <w:rPr>
          <w:b/>
          <w:color w:val="5B8FD6"/>
        </w:rPr>
        <w:t xml:space="preserve">Indication de défilement : </w:t>
      </w:r>
      <w:r>
        <w:t>Scroll</w:t>
      </w:r>
    </w:p>
    <w:p>
      <w:pPr>
        <w:pStyle w:val="Heading1"/>
      </w:pPr>
      <w:r>
        <w:t>2. Section 01 – L’album</w:t>
      </w:r>
    </w:p>
    <w:p>
      <w:r>
        <w:rPr>
          <w:b/>
          <w:color w:val="5B8FD6"/>
        </w:rPr>
        <w:t xml:space="preserve">Surtitre : </w:t>
      </w:r>
      <w:r>
        <w:t>01 · Transmission d'ouverture</w:t>
      </w:r>
    </w:p>
    <w:p>
      <w:r>
        <w:rPr>
          <w:b/>
          <w:color w:val="5B8FD6"/>
        </w:rPr>
        <w:t xml:space="preserve">Titre : </w:t>
      </w:r>
      <w:r>
        <w:t>Laisser la Terre se régénérer… pendant mille ans</w:t>
      </w:r>
    </w:p>
    <w:p>
      <w:r>
        <w:rPr>
          <w:b/>
          <w:color w:val="5B8FD6"/>
        </w:rPr>
        <w:t xml:space="preserve">Texte : </w:t>
      </w:r>
      <w:r>
        <w:t>2056. Les conflits, la surpopulation et l'épuisement des ressources naturelles ont débouché sur une catastrophe écologique majeure.</w:t>
      </w:r>
    </w:p>
    <w:p>
      <w:r>
        <w:rPr>
          <w:b/>
          <w:color w:val="5B8FD6"/>
        </w:rPr>
        <w:t xml:space="preserve">Texte : </w:t>
      </w:r>
      <w:r>
        <w:t>Pour sauver la planète, une seule solution : laisser la Terre se régénérer… pendant mille ans !</w:t>
      </w:r>
    </w:p>
    <w:p>
      <w:r>
        <w:rPr>
          <w:b/>
          <w:color w:val="5B8FD6"/>
        </w:rPr>
        <w:t xml:space="preserve">Texte : </w:t>
      </w:r>
      <w:r>
        <w:t>Une poignée d'humains privilégiés a été cryogénisée et va se retrouver malgré elle à devoir assurer la survie de notre espèce…</w:t>
      </w:r>
    </w:p>
    <w:p>
      <w:r>
        <w:rPr>
          <w:b/>
          <w:color w:val="5B8FD6"/>
        </w:rPr>
        <w:t xml:space="preserve">Texte : </w:t>
      </w:r>
      <w:r>
        <w:t>800 000 privilégiés sont cryogénisés et envoyés dans l'espace. Une équipe restreinte d'humains, assistés de robots et d'androïdes, assure la maintenance du Nid Spatial pendant leur long sommeil. Mais au bout de cinq ans, un virus informatique transforme les androïdes en machines à tuer. Un petit robot sans prétention, Billy, va chercher à comprendre qui en est à l'origine. L'avenir de l'humanité dépend de lui…</w:t>
      </w:r>
    </w:p>
    <w:p>
      <w:r>
        <w:rPr>
          <w:b/>
          <w:i w:val="0"/>
        </w:rPr>
        <w:t>Fiche technique</w:t>
      </w:r>
    </w:p>
    <w:p>
      <w:r>
        <w:rPr>
          <w:b/>
          <w:color w:val="5B8FD6"/>
        </w:rPr>
        <w:t xml:space="preserve">Parution : </w:t>
      </w:r>
      <w:r>
        <w:t>23 octobre 2026</w:t>
      </w:r>
    </w:p>
    <w:p>
      <w:r>
        <w:rPr>
          <w:b/>
          <w:color w:val="5B8FD6"/>
        </w:rPr>
        <w:t xml:space="preserve">Genre : </w:t>
      </w:r>
      <w:r>
        <w:t>Science-fiction</w:t>
      </w:r>
    </w:p>
    <w:p>
      <w:r>
        <w:rPr>
          <w:b/>
          <w:color w:val="5B8FD6"/>
        </w:rPr>
        <w:t xml:space="preserve">Type : </w:t>
      </w:r>
      <w:r>
        <w:t>Album cartonné · One-shot</w:t>
      </w:r>
    </w:p>
    <w:p>
      <w:r>
        <w:rPr>
          <w:b/>
          <w:color w:val="5B8FD6"/>
        </w:rPr>
        <w:t xml:space="preserve">Pagination : </w:t>
      </w:r>
      <w:r>
        <w:t>104 pages couleurs</w:t>
      </w:r>
    </w:p>
    <w:p>
      <w:r>
        <w:rPr>
          <w:b/>
          <w:color w:val="5B8FD6"/>
        </w:rPr>
        <w:t xml:space="preserve">Format : </w:t>
      </w:r>
      <w:r>
        <w:t>241 × 318 mm</w:t>
      </w:r>
    </w:p>
    <w:p>
      <w:r>
        <w:rPr>
          <w:b/>
          <w:color w:val="5B8FD6"/>
        </w:rPr>
        <w:t xml:space="preserve">Public : </w:t>
      </w:r>
      <w:r>
        <w:t>À partir de 12 ans</w:t>
      </w:r>
    </w:p>
    <w:p>
      <w:r>
        <w:rPr>
          <w:b/>
          <w:color w:val="5B8FD6"/>
        </w:rPr>
        <w:t xml:space="preserve">Prix : </w:t>
      </w:r>
      <w:r>
        <w:t>21,95 € France · 32,80 CHF</w:t>
      </w:r>
    </w:p>
    <w:p>
      <w:r>
        <w:rPr>
          <w:b/>
          <w:color w:val="5B8FD6"/>
        </w:rPr>
        <w:t xml:space="preserve">Bouton : </w:t>
      </w:r>
      <w:r>
        <w:t>Acheter l'album ↗</w:t>
      </w:r>
    </w:p>
    <w:p>
      <w:r>
        <w:rPr>
          <w:b/>
          <w:color w:val="5B8FD6"/>
        </w:rPr>
        <w:t xml:space="preserve">Bouton : </w:t>
      </w:r>
      <w:r>
        <w:t>Lire un extrait ▸</w:t>
      </w:r>
    </w:p>
    <w:p>
      <w:r>
        <w:rPr>
          <w:b/>
          <w:color w:val="5B8FD6"/>
        </w:rPr>
        <w:t xml:space="preserve">Sélecteur de couverture : </w:t>
      </w:r>
      <w:r>
        <w:t>Édition courante / Édition collector</w:t>
      </w:r>
    </w:p>
    <w:p>
      <w:r>
        <w:rPr>
          <w:b/>
          <w:color w:val="5B8FD6"/>
        </w:rPr>
        <w:t xml:space="preserve">Légende des couvertures : </w:t>
      </w:r>
      <w:r>
        <w:t>© Le Lombard</w:t>
      </w:r>
    </w:p>
    <w:p>
      <w:pPr>
        <w:pStyle w:val="Heading1"/>
      </w:pPr>
      <w:r>
        <w:t>3. Section 02 – La fresque</w:t>
      </w:r>
    </w:p>
    <w:p>
      <w:r>
        <w:rPr>
          <w:b/>
          <w:color w:val="5B8FD6"/>
        </w:rPr>
        <w:t xml:space="preserve">Surtitre : </w:t>
      </w:r>
      <w:r>
        <w:t>02 · Projet éditorial</w:t>
      </w:r>
    </w:p>
    <w:p>
      <w:r>
        <w:rPr>
          <w:b/>
          <w:color w:val="5B8FD6"/>
        </w:rPr>
        <w:t xml:space="preserve">Titre : </w:t>
      </w:r>
      <w:r>
        <w:t>Une fresque collective, un fait rare</w:t>
      </w:r>
    </w:p>
    <w:p>
      <w:r>
        <w:rPr>
          <w:b/>
          <w:color w:val="5B8FD6"/>
        </w:rPr>
        <w:t xml:space="preserve">Chapeau [ne pas modifier] : </w:t>
      </w:r>
      <w:r>
        <w:t>Un scénariste et huit dessinateurs s'associent pour créer une grande fresque composée de 8 récits courts.</w:t>
      </w:r>
    </w:p>
    <w:p>
      <w:r>
        <w:rPr>
          <w:b/>
          <w:color w:val="5B8FD6"/>
        </w:rPr>
        <w:t xml:space="preserve">Texte : </w:t>
      </w:r>
      <w:r>
        <w:t>Les projets collectifs de cette ampleur restent rares en bande dessinée. Ici, un seul scénariste, Fred Duval, écrit la fresque ; huit dessinateurs se partagent les chapitres, chacun avec son regard et son style, pour construire ensemble un seul grand récit.</w:t>
      </w:r>
    </w:p>
    <w:p>
      <w:r>
        <w:rPr>
          <w:b/>
          <w:color w:val="5B8FD6"/>
        </w:rPr>
        <w:t xml:space="preserve">Texte : </w:t>
      </w:r>
      <w:r>
        <w:t>Tout est parti d'un déjeuner, il y a deux ans, entre l'éditeur Félix Pirovano et Grun : l'envie de créer un collectif de science-fiction réunissant les grands auteurs contemporains du genre. Fred Duval a eu carte blanche sur le fil rouge et les scénarios ; il a lui-même appelé des auteurs qu'il connaissait bien, comme Philippe Buchet et Denis Bajram, qui lui ont proposé à leur tour des dessinateurs avec lesquels il n'avait jamais travaillé, comme Dimitri Armand et Roberto Ricci.</w:t>
      </w:r>
    </w:p>
    <w:p>
      <w:r>
        <w:rPr>
          <w:b/>
          <w:color w:val="5B8FD6"/>
        </w:rPr>
        <w:t xml:space="preserve">Citation [ne pas modifier] : </w:t>
      </w:r>
      <w:r>
        <w:t>« Huit histoires pour une grande fresque par les plus grands noms de la SF »</w:t>
      </w:r>
    </w:p>
    <w:p>
      <w:r>
        <w:rPr>
          <w:b/>
          <w:color w:val="5B8FD6"/>
        </w:rPr>
        <w:t xml:space="preserve">Chiffres : </w:t>
      </w:r>
      <w:r>
        <w:t>1 scénariste · 8 dessinateurs · 1000 ans</w:t>
      </w:r>
    </w:p>
    <w:p>
      <w:r>
        <w:rPr>
          <w:b/>
          <w:color w:val="5B8FD6"/>
        </w:rPr>
        <w:t xml:space="preserve">Schéma en orbite : </w:t>
      </w:r>
      <w:r>
        <w:t>Duval (scénario) au centre ; les huit dessinateurs : BAJRAM, VIGNAUX, TOULHOAT, ARMAND, BUCHET, GRUN, RICCI, SALAÜN</w:t>
      </w:r>
    </w:p>
    <w:p>
      <w:pPr>
        <w:pStyle w:val="Heading1"/>
      </w:pPr>
      <w:r>
        <w:t>4. Section 03 – Équipage (les auteurs)</w:t>
      </w:r>
    </w:p>
    <w:p>
      <w:r>
        <w:rPr>
          <w:b/>
          <w:color w:val="5B8FD6"/>
        </w:rPr>
        <w:t xml:space="preserve">Surtitre : </w:t>
      </w:r>
      <w:r>
        <w:t>03 · Équipage</w:t>
      </w:r>
    </w:p>
    <w:p>
      <w:r>
        <w:rPr>
          <w:b/>
          <w:color w:val="5B8FD6"/>
        </w:rPr>
        <w:t xml:space="preserve">Titre : </w:t>
      </w:r>
      <w:r>
        <w:t>Neuf auteurs, neuf trajectoires</w:t>
      </w:r>
    </w:p>
    <w:p>
      <w:r>
        <w:rPr>
          <w:b/>
          <w:color w:val="5B8FD6"/>
        </w:rPr>
        <w:t xml:space="preserve">Introduction : </w:t>
      </w:r>
      <w:r>
        <w:t>Du thriller à la fantasy, de la hard SF à la fresque historique : un équipage aux parcours très différents, réuni pour un même voyage.</w:t>
      </w:r>
    </w:p>
    <w:p>
      <w:pPr>
        <w:pStyle w:val="Heading2"/>
      </w:pPr>
      <w:r>
        <w:t>Fred Duval</w:t>
      </w:r>
    </w:p>
    <w:p>
      <w:r>
        <w:rPr>
          <w:b/>
          <w:color w:val="5B8FD6"/>
        </w:rPr>
        <w:t xml:space="preserve">Rôle : </w:t>
      </w:r>
      <w:r>
        <w:t>Scénariste</w:t>
      </w:r>
    </w:p>
    <w:p>
      <w:r>
        <w:rPr>
          <w:b/>
          <w:color w:val="5B8FD6"/>
        </w:rPr>
        <w:t xml:space="preserve">Naissance : </w:t>
      </w:r>
      <w:r>
        <w:t>Né à Rouen en janvier 1965</w:t>
      </w:r>
    </w:p>
    <w:p>
      <w:r>
        <w:rPr>
          <w:b/>
          <w:color w:val="5B8FD6"/>
        </w:rPr>
        <w:t xml:space="preserve">Mention de chapitre : </w:t>
      </w:r>
      <w:r>
        <w:t>Scénariste des huit récits et du fil rouge</w:t>
      </w:r>
    </w:p>
    <w:p>
      <w:r>
        <w:rPr>
          <w:b/>
          <w:color w:val="5B8FD6"/>
        </w:rPr>
        <w:t xml:space="preserve">Biographie : </w:t>
      </w:r>
      <w:r>
        <w:t>En 1995, il publie Les 500 fusils et le premier tome d'une saga de science-fiction, Carmen Mc Callum. Viendront ensuite des séries comme Travis, Hauteville House ou, avec Jean-Pierre Pécau, Jour J, une série-concept en forme d'uchronie. Auteur d'un titre de la série XIII Mystery, il a adapté Nymphéas noirs, un roman de Michel Bussi, et scénarisé Wendigo, un album de la collection « Thorgal Saga » dessiné par Corentin Rouge. Il a récemment signé plusieurs séries d'anticipation remarquées, de Renaissance à NeoForest et de Metropolia à Apogée. Chevalier de l'ordre des Arts et des Lettres depuis 2020.</w:t>
      </w:r>
    </w:p>
    <w:p>
      <w:r>
        <w:rPr>
          <w:b/>
          <w:color w:val="5B8FD6"/>
        </w:rPr>
        <w:t xml:space="preserve">Repères (œuvres) : </w:t>
      </w:r>
      <w:r>
        <w:t>Carmen Mc Callum, Travis, Hauteville House, Jour J, XIII Mystery, Nymphéas noirs, Thorgal Saga – Wendigo, Renaissance, NeoForest, Metropolia, Apogée</w:t>
      </w:r>
    </w:p>
    <w:p>
      <w:r>
        <w:rPr>
          <w:b/>
          <w:color w:val="5B8FD6"/>
        </w:rPr>
        <w:t xml:space="preserve">Lien : </w:t>
      </w:r>
      <w:r>
        <w:t>Fiche sur lelombard.com ↗</w:t>
      </w:r>
    </w:p>
    <w:p>
      <w:pPr>
        <w:pStyle w:val="Heading2"/>
      </w:pPr>
      <w:r>
        <w:t>Denis Bajram</w:t>
      </w:r>
    </w:p>
    <w:p>
      <w:r>
        <w:rPr>
          <w:b/>
          <w:color w:val="5B8FD6"/>
        </w:rPr>
        <w:t xml:space="preserve">Rôle : </w:t>
      </w:r>
      <w:r>
        <w:t>Dessin</w:t>
      </w:r>
    </w:p>
    <w:p>
      <w:r>
        <w:rPr>
          <w:b/>
          <w:color w:val="5B8FD6"/>
        </w:rPr>
        <w:t xml:space="preserve">Naissance : </w:t>
      </w:r>
      <w:r>
        <w:t>Né en 1970</w:t>
      </w:r>
    </w:p>
    <w:p>
      <w:r>
        <w:rPr>
          <w:b/>
          <w:color w:val="5B8FD6"/>
        </w:rPr>
        <w:t xml:space="preserve">Mention de chapitre : </w:t>
      </w:r>
      <w:r>
        <w:t>Signe le Prologue (année 0) et l'Épilogue (année +1000)</w:t>
      </w:r>
    </w:p>
    <w:p>
      <w:r>
        <w:rPr>
          <w:b/>
          <w:color w:val="5B8FD6"/>
        </w:rPr>
        <w:t xml:space="preserve">Biographie : </w:t>
      </w:r>
      <w:r>
        <w:t>Il publie son premier album en 1996, Cryozone, d'après un scénario de Cailleteau. Deux ans plus tard, il signe le scénario et le dessin de Universal War One, référence marquante de la science-fiction, dont il prépare l'adaptation au cinéma et une suite en bande dessinée. Il est le cofondateur des éditions Quadrants avec sa compagne, Valérie Mangin.</w:t>
      </w:r>
    </w:p>
    <w:p>
      <w:r>
        <w:rPr>
          <w:b/>
          <w:color w:val="5B8FD6"/>
        </w:rPr>
        <w:t xml:space="preserve">Repères (œuvres) : </w:t>
      </w:r>
      <w:r>
        <w:t>Cryozone, Universal War One</w:t>
      </w:r>
    </w:p>
    <w:p>
      <w:r>
        <w:rPr>
          <w:b/>
          <w:color w:val="5B8FD6"/>
        </w:rPr>
        <w:t xml:space="preserve">Lien : </w:t>
      </w:r>
      <w:r>
        <w:t>Fiche sur lelombard.com ↗</w:t>
      </w:r>
    </w:p>
    <w:p>
      <w:pPr>
        <w:pStyle w:val="Heading2"/>
      </w:pPr>
      <w:r>
        <w:t>Fred Vignaux</w:t>
      </w:r>
    </w:p>
    <w:p>
      <w:r>
        <w:rPr>
          <w:b/>
          <w:color w:val="5B8FD6"/>
        </w:rPr>
        <w:t xml:space="preserve">Rôle : </w:t>
      </w:r>
      <w:r>
        <w:t>Dessin</w:t>
      </w:r>
    </w:p>
    <w:p>
      <w:r>
        <w:rPr>
          <w:b/>
          <w:color w:val="5B8FD6"/>
        </w:rPr>
        <w:t xml:space="preserve">Naissance : </w:t>
      </w:r>
      <w:r>
        <w:t>Né à Toulouse en 1972</w:t>
      </w:r>
    </w:p>
    <w:p>
      <w:r>
        <w:rPr>
          <w:b/>
          <w:color w:val="5B8FD6"/>
        </w:rPr>
        <w:t xml:space="preserve">Mention de chapitre : </w:t>
      </w:r>
      <w:r>
        <w:t>Signe « Le Nord retrouvé » (année +0976)</w:t>
      </w:r>
    </w:p>
    <w:p>
      <w:r>
        <w:rPr>
          <w:b/>
          <w:color w:val="5B8FD6"/>
        </w:rPr>
        <w:t xml:space="preserve">Biographie : </w:t>
      </w:r>
      <w:r>
        <w:t>Il participe à des fanzines avant de réaliser sa première bande dessinée, L'Ombre des anciens, d'après un scénario d'Éric Pailharey. Il enchaîne avec la série Time Twins, écrite par Jean-Christophe Derrien, puis les trois tomes de Neige Origines, d'Éric Adam et Didier Convard. Après avoir dessiné les deux derniers albums de Kriss de Valnor, il succède à Grzegorz Rosinski sur la série Thorgal en 2019.</w:t>
      </w:r>
    </w:p>
    <w:p>
      <w:r>
        <w:rPr>
          <w:b/>
          <w:color w:val="5B8FD6"/>
        </w:rPr>
        <w:t xml:space="preserve">Repères (œuvres) : </w:t>
      </w:r>
      <w:r>
        <w:t>L'Ombre des anciens, Time Twins, Neige Origines, Kriss de Valnor, Thorgal</w:t>
      </w:r>
    </w:p>
    <w:p>
      <w:r>
        <w:rPr>
          <w:b/>
          <w:color w:val="5B8FD6"/>
        </w:rPr>
        <w:t xml:space="preserve">Lien : </w:t>
      </w:r>
      <w:r>
        <w:t>Fiche sur lelombard.com ↗</w:t>
      </w:r>
    </w:p>
    <w:p>
      <w:pPr>
        <w:pStyle w:val="Heading2"/>
      </w:pPr>
      <w:r>
        <w:t>Ronan Toulhoat</w:t>
      </w:r>
    </w:p>
    <w:p>
      <w:r>
        <w:rPr>
          <w:b/>
          <w:color w:val="5B8FD6"/>
        </w:rPr>
        <w:t xml:space="preserve">Rôle : </w:t>
      </w:r>
      <w:r>
        <w:t>Dessin</w:t>
      </w:r>
    </w:p>
    <w:p>
      <w:r>
        <w:rPr>
          <w:b/>
          <w:color w:val="5B8FD6"/>
        </w:rPr>
        <w:t xml:space="preserve">Mention de chapitre : </w:t>
      </w:r>
      <w:r>
        <w:t>Signe « Le Royaume de Siam » (année +0439)</w:t>
      </w:r>
    </w:p>
    <w:p>
      <w:r>
        <w:rPr>
          <w:b/>
          <w:color w:val="5B8FD6"/>
        </w:rPr>
        <w:t xml:space="preserve">Biographie : </w:t>
      </w:r>
      <w:r>
        <w:t>Il publie son premier album en 2008, Block 109, écrit par Vincent Brugeas, avec lequel il réalise ensuite Le Roy des ribauds, Ira Dei, La République du Crâne, Tête de chien, Cosaques, Daemon et Bomb X, auquel participe un autre dessinateur, Brice Cossu. Il est aussi illustrateur et concept artist pour le cinéma et le jeu vidéo.</w:t>
      </w:r>
    </w:p>
    <w:p>
      <w:r>
        <w:rPr>
          <w:b/>
          <w:color w:val="5B8FD6"/>
        </w:rPr>
        <w:t xml:space="preserve">Repères (œuvres) : </w:t>
      </w:r>
      <w:r>
        <w:t>Block 109, Le Roy des ribauds, Ira Dei, La République du Crâne, Tête de chien, Cosaques, Daemon, Bomb X</w:t>
      </w:r>
    </w:p>
    <w:p>
      <w:r>
        <w:rPr>
          <w:b/>
          <w:color w:val="5B8FD6"/>
        </w:rPr>
        <w:t xml:space="preserve">Lien : </w:t>
      </w:r>
      <w:r>
        <w:t>Fiche sur lelombard.com ↗</w:t>
      </w:r>
    </w:p>
    <w:p>
      <w:pPr>
        <w:pStyle w:val="Heading2"/>
      </w:pPr>
      <w:r>
        <w:t>Dimitri Armand</w:t>
      </w:r>
    </w:p>
    <w:p>
      <w:r>
        <w:rPr>
          <w:b/>
          <w:color w:val="5B8FD6"/>
        </w:rPr>
        <w:t xml:space="preserve">Rôle : </w:t>
      </w:r>
      <w:r>
        <w:t>Dessin</w:t>
      </w:r>
    </w:p>
    <w:p>
      <w:r>
        <w:rPr>
          <w:b/>
          <w:color w:val="5B8FD6"/>
        </w:rPr>
        <w:t xml:space="preserve">Mention de chapitre : </w:t>
      </w:r>
      <w:r>
        <w:t>Signe « La Déserteuse » (année +0653)</w:t>
      </w:r>
    </w:p>
    <w:p>
      <w:r>
        <w:rPr>
          <w:b/>
          <w:color w:val="5B8FD6"/>
        </w:rPr>
        <w:t xml:space="preserve">Biographie : </w:t>
      </w:r>
      <w:r>
        <w:t>Grand admirateur d'Enrico Marini, il débute dans la BD avec Angor, une série d'heroic fantasy, puis dessine pour Le Lombard les nouvelles aventures de Bob Morane. Dessinateur de Sykes et de Texas Jack, d'après des scénarios de Pierre Dubois, il cosigne avec le scénariste Tristan Roulot la série Le Convoyeur.</w:t>
      </w:r>
    </w:p>
    <w:p>
      <w:r>
        <w:rPr>
          <w:b/>
          <w:color w:val="5B8FD6"/>
        </w:rPr>
        <w:t xml:space="preserve">Repères (œuvres) : </w:t>
      </w:r>
      <w:r>
        <w:t>Angor, Bob Morane, Sykes, Texas Jack, Le Convoyeur</w:t>
      </w:r>
    </w:p>
    <w:p>
      <w:r>
        <w:rPr>
          <w:b/>
          <w:color w:val="5B8FD6"/>
        </w:rPr>
        <w:t xml:space="preserve">Lien : </w:t>
      </w:r>
      <w:r>
        <w:t>Fiche sur lelombard.com ↗</w:t>
      </w:r>
    </w:p>
    <w:p>
      <w:pPr>
        <w:pStyle w:val="Heading2"/>
      </w:pPr>
      <w:r>
        <w:t>Philippe Buchet</w:t>
      </w:r>
    </w:p>
    <w:p>
      <w:r>
        <w:rPr>
          <w:b/>
          <w:color w:val="5B8FD6"/>
        </w:rPr>
        <w:t xml:space="preserve">Rôle : </w:t>
      </w:r>
      <w:r>
        <w:t>Dessin</w:t>
      </w:r>
    </w:p>
    <w:p>
      <w:r>
        <w:rPr>
          <w:b/>
          <w:color w:val="5B8FD6"/>
        </w:rPr>
        <w:t xml:space="preserve">Mention de chapitre : </w:t>
      </w:r>
      <w:r>
        <w:t>Signe « Première relève » (année +0005)</w:t>
      </w:r>
    </w:p>
    <w:p>
      <w:r>
        <w:rPr>
          <w:b/>
          <w:color w:val="5B8FD6"/>
        </w:rPr>
        <w:t xml:space="preserve">Biographie : </w:t>
      </w:r>
      <w:r>
        <w:t>Après avoir signé les deux premiers tomes de la série Nomad, il se lance en 1998 avec le scénariste Jean-David Morvan dans la saga Sillage, puis dans les séries dérivées Nävis et Les Chroniques de Sillage. Dessinateur de La Quête des réponses, du premier tome de Jour J et de Saudade, une adaptation du personnage de Wolverine, il est aussi l'auteur de Petite épopée nippone, recueil de croquis inspirés par ses voyages au Japon.</w:t>
      </w:r>
    </w:p>
    <w:p>
      <w:r>
        <w:rPr>
          <w:b/>
          <w:color w:val="5B8FD6"/>
        </w:rPr>
        <w:t xml:space="preserve">Repères (œuvres) : </w:t>
      </w:r>
      <w:r>
        <w:t>Nomad, Sillage, Nävis, Les Chroniques de Sillage, Jour J, Saudade, Petite épopée nippone</w:t>
      </w:r>
    </w:p>
    <w:p>
      <w:r>
        <w:rPr>
          <w:b/>
          <w:color w:val="5B8FD6"/>
        </w:rPr>
        <w:t xml:space="preserve">Lien : </w:t>
      </w:r>
      <w:r>
        <w:t>Fiche sur lelombard.com ↗</w:t>
      </w:r>
    </w:p>
    <w:p>
      <w:pPr>
        <w:pStyle w:val="Heading2"/>
      </w:pPr>
      <w:r>
        <w:t>Grun</w:t>
      </w:r>
    </w:p>
    <w:p>
      <w:r>
        <w:rPr>
          <w:b/>
          <w:color w:val="5B8FD6"/>
        </w:rPr>
        <w:t xml:space="preserve">Rôle : </w:t>
      </w:r>
      <w:r>
        <w:t>Dessin</w:t>
      </w:r>
    </w:p>
    <w:p>
      <w:r>
        <w:rPr>
          <w:b/>
          <w:color w:val="5B8FD6"/>
        </w:rPr>
        <w:t xml:space="preserve">Mention de chapitre : </w:t>
      </w:r>
      <w:r>
        <w:t>Signe « Le Chant des sirènes » (année +0200)</w:t>
      </w:r>
    </w:p>
    <w:p>
      <w:r>
        <w:rPr>
          <w:b/>
          <w:color w:val="5B8FD6"/>
        </w:rPr>
        <w:t xml:space="preserve">Biographie : </w:t>
      </w:r>
      <w:r>
        <w:t>Designer de décors et de personnages 3D pour le jeu vidéo, il débute dans la bande dessinée avec une histoire co-écrite par Éric Corbeyran et Nicolas Hamm, La Conjuration d'Opale. Dessinateur de la série Métronom', écrite par Corbeyran, il signe On Mars, d'après un scénario de Sylvain Runberg.</w:t>
      </w:r>
    </w:p>
    <w:p>
      <w:r>
        <w:rPr>
          <w:b/>
          <w:color w:val="5B8FD6"/>
        </w:rPr>
        <w:t xml:space="preserve">Repères (œuvres) : </w:t>
      </w:r>
      <w:r>
        <w:t>La Conjuration d'Opale, Métronom', On Mars</w:t>
      </w:r>
    </w:p>
    <w:p>
      <w:r>
        <w:rPr>
          <w:b/>
          <w:color w:val="5B8FD6"/>
        </w:rPr>
        <w:t xml:space="preserve">Lien : </w:t>
      </w:r>
      <w:r>
        <w:t>Fiche sur lelombard.com ↗</w:t>
      </w:r>
    </w:p>
    <w:p>
      <w:pPr>
        <w:pStyle w:val="Heading2"/>
      </w:pPr>
      <w:r>
        <w:t>Roberto Ricci</w:t>
      </w:r>
    </w:p>
    <w:p>
      <w:r>
        <w:rPr>
          <w:b/>
          <w:color w:val="5B8FD6"/>
        </w:rPr>
        <w:t xml:space="preserve">Rôle : </w:t>
      </w:r>
      <w:r>
        <w:t>Dessin</w:t>
      </w:r>
    </w:p>
    <w:p>
      <w:r>
        <w:rPr>
          <w:b/>
          <w:color w:val="5B8FD6"/>
        </w:rPr>
        <w:t xml:space="preserve">Mention de chapitre : </w:t>
      </w:r>
      <w:r>
        <w:t>Signe « Vivre et mourir à Mexico City » (année +0489)</w:t>
      </w:r>
    </w:p>
    <w:p>
      <w:r>
        <w:rPr>
          <w:b/>
          <w:color w:val="5B8FD6"/>
        </w:rPr>
        <w:t xml:space="preserve">Biographie : </w:t>
      </w:r>
      <w:r>
        <w:t>Après avoir étudié la musique, il se tourne vers le dessin. Il publie ses premières histoires dans le magazine américain Heavy Metal, puis dessine les quatre tomes de la série Les Âmes d'Helios, écrite par Philippe Saimbert et récompensée par le prix « Coup de cœur » au festival d'Illzach en 2008. Dessinateur de Moksha, L'Ombre du temps, Delta et June Christy, il signe aussi Urban, avec le scénariste Luc Brunschwig, et Le Cœur de l'ombre.</w:t>
      </w:r>
    </w:p>
    <w:p>
      <w:r>
        <w:rPr>
          <w:b/>
          <w:color w:val="5B8FD6"/>
        </w:rPr>
        <w:t xml:space="preserve">Repères (œuvres) : </w:t>
      </w:r>
      <w:r>
        <w:t>Les Âmes d'Helios, Moksha, L'Ombre du temps, Delta, June Christy, Urban, Le Cœur de l'ombre</w:t>
      </w:r>
    </w:p>
    <w:p>
      <w:r>
        <w:rPr>
          <w:b/>
          <w:color w:val="5B8FD6"/>
        </w:rPr>
        <w:t xml:space="preserve">Lien : </w:t>
      </w:r>
      <w:r>
        <w:t>Fiche sur lelombard.com ↗</w:t>
      </w:r>
    </w:p>
    <w:p>
      <w:pPr>
        <w:pStyle w:val="Heading2"/>
      </w:pPr>
      <w:r>
        <w:t>Jaouen Salaün</w:t>
      </w:r>
    </w:p>
    <w:p>
      <w:r>
        <w:rPr>
          <w:b/>
          <w:color w:val="5B8FD6"/>
        </w:rPr>
        <w:t xml:space="preserve">Rôle : </w:t>
      </w:r>
      <w:r>
        <w:t>Dessin</w:t>
      </w:r>
    </w:p>
    <w:p>
      <w:r>
        <w:rPr>
          <w:b/>
          <w:color w:val="5B8FD6"/>
        </w:rPr>
        <w:t xml:space="preserve">Mention de chapitre : </w:t>
      </w:r>
      <w:r>
        <w:t>Signe « Cent ans de solitude » (années +0651 à +0753)</w:t>
      </w:r>
    </w:p>
    <w:p>
      <w:r>
        <w:rPr>
          <w:b/>
          <w:color w:val="5B8FD6"/>
        </w:rPr>
        <w:t xml:space="preserve">Biographie : </w:t>
      </w:r>
      <w:r>
        <w:t>Il aurait pu devenir sportif professionnel ; il a finalement choisi de se consacrer au dessin. Après avoir débuté dans l'illustration, il publie sa première bande dessinée, Nova, en 2006 (scénario de Julien Blondel). Puis il s'associe à Christophe Bec avec un spin-off de la série Carthago et la saga Eternum. Il est aussi l'auteur complet d'Elecboy et de Juste une fois.</w:t>
      </w:r>
    </w:p>
    <w:p>
      <w:r>
        <w:rPr>
          <w:b/>
          <w:color w:val="5B8FD6"/>
        </w:rPr>
        <w:t xml:space="preserve">Repères (œuvres) : </w:t>
      </w:r>
      <w:r>
        <w:t>Nova, Carthago (spin-off), Eternum, Elecboy, Juste une fois</w:t>
      </w:r>
    </w:p>
    <w:p>
      <w:r>
        <w:rPr>
          <w:b/>
          <w:color w:val="5B8FD6"/>
        </w:rPr>
        <w:t xml:space="preserve">Lien : </w:t>
      </w:r>
      <w:r>
        <w:t>Fiche sur lelombard.com ↗</w:t>
      </w:r>
    </w:p>
    <w:p>
      <w:pPr>
        <w:pStyle w:val="Heading1"/>
      </w:pPr>
      <w:r>
        <w:t>5. Séquence des deux décors (plein écran)</w:t>
      </w:r>
    </w:p>
    <w:p>
      <w:r>
        <w:rPr>
          <w:b/>
          <w:color w:val="5B8FD6"/>
        </w:rPr>
        <w:t xml:space="preserve">Texte affiché : </w:t>
      </w:r>
      <w:r>
        <w:t>Une poignée d'humains privilégiés a été cryogénisée…</w:t>
      </w:r>
    </w:p>
    <w:p>
      <w:r>
        <w:rPr>
          <w:b/>
          <w:color w:val="5B8FD6"/>
        </w:rPr>
        <w:t xml:space="preserve">Texte affiché : </w:t>
      </w:r>
      <w:r>
        <w:t>… pour laisser la Terre se régénérer… pendant mille ans !</w:t>
      </w:r>
    </w:p>
    <w:p>
      <w:r>
        <w:rPr>
          <w:b w:val="0"/>
          <w:i/>
          <w:color w:val="666666"/>
        </w:rPr>
        <w:t>Illustrations : deux décors de l’album (aucun autre texte).</w:t>
      </w:r>
    </w:p>
    <w:p>
      <w:pPr>
        <w:pStyle w:val="Heading1"/>
      </w:pPr>
      <w:r>
        <w:t>6. Section 04 – Journal de bord</w:t>
      </w:r>
    </w:p>
    <w:p>
      <w:r>
        <w:rPr>
          <w:b/>
          <w:color w:val="5B8FD6"/>
        </w:rPr>
        <w:t xml:space="preserve">Surtitre : </w:t>
      </w:r>
      <w:r>
        <w:t>04 · Journal de bord</w:t>
      </w:r>
    </w:p>
    <w:p>
      <w:r>
        <w:rPr>
          <w:b/>
          <w:color w:val="5B8FD6"/>
        </w:rPr>
        <w:t xml:space="preserve">Titre : </w:t>
      </w:r>
      <w:r>
        <w:t>Mille ans, huit récits</w:t>
      </w:r>
    </w:p>
    <w:p>
      <w:r>
        <w:rPr>
          <w:b/>
          <w:color w:val="5B8FD6"/>
        </w:rPr>
        <w:t xml:space="preserve">Introduction : </w:t>
      </w:r>
      <w:r>
        <w:t>Du prologue à l'épilogue, les huit récits jalonnent les mille ans. Effectifs relevés sur les pages-titres de chaque chapitre.</w:t>
      </w:r>
    </w:p>
    <w:p>
      <w:pPr>
        <w:pStyle w:val="Heading2"/>
      </w:pPr>
      <w:r>
        <w:t>La catastrophe</w:t>
      </w:r>
    </w:p>
    <w:p>
      <w:r>
        <w:rPr>
          <w:b/>
          <w:color w:val="5B8FD6"/>
        </w:rPr>
        <w:t xml:space="preserve">Date : </w:t>
      </w:r>
      <w:r>
        <w:t>2056</w:t>
      </w:r>
    </w:p>
    <w:p>
      <w:r>
        <w:rPr>
          <w:b/>
          <w:color w:val="5B8FD6"/>
        </w:rPr>
        <w:t xml:space="preserve">Texte : </w:t>
      </w:r>
      <w:r>
        <w:t>Conflits, surpopulation, épuisement des ressources naturelles : une catastrophe écologique majeure. Pour sauver la planète, une seule solution.</w:t>
      </w:r>
    </w:p>
    <w:p>
      <w:pPr>
        <w:pStyle w:val="Heading2"/>
      </w:pPr>
      <w:r>
        <w:t>Prologue</w:t>
      </w:r>
    </w:p>
    <w:p>
      <w:r>
        <w:rPr>
          <w:b/>
          <w:color w:val="5B8FD6"/>
        </w:rPr>
        <w:t xml:space="preserve">Date : </w:t>
      </w:r>
      <w:r>
        <w:t>Année 0</w:t>
      </w:r>
    </w:p>
    <w:p>
      <w:r>
        <w:rPr>
          <w:b/>
          <w:color w:val="5B8FD6"/>
        </w:rPr>
        <w:t xml:space="preserve">Auteurs : </w:t>
      </w:r>
      <w:r>
        <w:t>Duval × Bajram</w:t>
      </w:r>
    </w:p>
    <w:p>
      <w:pPr>
        <w:pStyle w:val="Heading2"/>
      </w:pPr>
      <w:r>
        <w:t>Première relève</w:t>
      </w:r>
    </w:p>
    <w:p>
      <w:r>
        <w:rPr>
          <w:b/>
          <w:color w:val="5B8FD6"/>
        </w:rPr>
        <w:t xml:space="preserve">Date : </w:t>
      </w:r>
      <w:r>
        <w:t>Année +0005</w:t>
      </w:r>
    </w:p>
    <w:p>
      <w:r>
        <w:rPr>
          <w:b/>
          <w:color w:val="5B8FD6"/>
        </w:rPr>
        <w:t xml:space="preserve">Auteurs : </w:t>
      </w:r>
      <w:r>
        <w:t>Duval × Buchet</w:t>
      </w:r>
    </w:p>
    <w:p>
      <w:r>
        <w:rPr>
          <w:b/>
          <w:color w:val="5B8FD6"/>
        </w:rPr>
        <w:t xml:space="preserve">Texte : </w:t>
      </w:r>
      <w:r>
        <w:t>Effectifs de maintenance : 80 à l'orbite, 20 sur la Lune, maintenance cybernétique sur Mars ; 1 décès. Caissons : 749 999 au nid orbital, 45 000 au nid lunaire, 5 000 au nid martien.</w:t>
      </w:r>
    </w:p>
    <w:p>
      <w:pPr>
        <w:pStyle w:val="Heading2"/>
      </w:pPr>
      <w:r>
        <w:t>Le Chant des sirènes</w:t>
      </w:r>
    </w:p>
    <w:p>
      <w:r>
        <w:rPr>
          <w:b/>
          <w:color w:val="5B8FD6"/>
        </w:rPr>
        <w:t xml:space="preserve">Date : </w:t>
      </w:r>
      <w:r>
        <w:t>Année +0200</w:t>
      </w:r>
    </w:p>
    <w:p>
      <w:r>
        <w:rPr>
          <w:b/>
          <w:color w:val="5B8FD6"/>
        </w:rPr>
        <w:t xml:space="preserve">Auteurs : </w:t>
      </w:r>
      <w:r>
        <w:t>Duval × Grun</w:t>
      </w:r>
    </w:p>
    <w:p>
      <w:r>
        <w:rPr>
          <w:b/>
          <w:color w:val="5B8FD6"/>
        </w:rPr>
        <w:t xml:space="preserve">Texte : </w:t>
      </w:r>
      <w:r>
        <w:t>Effectifs de maintenance : 80 à l'orbite, 20 sur la Lune, contact rompu avec Mars ; 53 décès. Caissons : 749 957 au nid orbital, 44 990 au nid lunaire, aucune donnée sur le nid martien.</w:t>
      </w:r>
    </w:p>
    <w:p>
      <w:pPr>
        <w:pStyle w:val="Heading2"/>
      </w:pPr>
      <w:r>
        <w:t>Le Royaume de Siam</w:t>
      </w:r>
    </w:p>
    <w:p>
      <w:r>
        <w:rPr>
          <w:b/>
          <w:color w:val="5B8FD6"/>
        </w:rPr>
        <w:t xml:space="preserve">Date : </w:t>
      </w:r>
      <w:r>
        <w:t>Année +0439</w:t>
      </w:r>
    </w:p>
    <w:p>
      <w:r>
        <w:rPr>
          <w:b/>
          <w:color w:val="5B8FD6"/>
        </w:rPr>
        <w:t xml:space="preserve">Auteurs : </w:t>
      </w:r>
      <w:r>
        <w:t>Duval × Toulhoat × Guillo</w:t>
      </w:r>
    </w:p>
    <w:p>
      <w:r>
        <w:rPr>
          <w:b/>
          <w:color w:val="5B8FD6"/>
        </w:rPr>
        <w:t xml:space="preserve">Texte : </w:t>
      </w:r>
      <w:r>
        <w:t>Effectifs de maintenance : 80 à l'orbite, 12 sur la Lune, contact rompu avec Mars ; 158 décès. Caissons : 749 868 au nid orbital, 44 982 au nid lunaire, aucune donnée sur le nid martien.</w:t>
      </w:r>
    </w:p>
    <w:p>
      <w:pPr>
        <w:pStyle w:val="Heading2"/>
      </w:pPr>
      <w:r>
        <w:t>Vivre et mourir à Mexico City</w:t>
      </w:r>
    </w:p>
    <w:p>
      <w:r>
        <w:rPr>
          <w:b/>
          <w:color w:val="5B8FD6"/>
        </w:rPr>
        <w:t xml:space="preserve">Date : </w:t>
      </w:r>
      <w:r>
        <w:t>Année +0489</w:t>
      </w:r>
    </w:p>
    <w:p>
      <w:r>
        <w:rPr>
          <w:b/>
          <w:color w:val="5B8FD6"/>
        </w:rPr>
        <w:t xml:space="preserve">Auteurs : </w:t>
      </w:r>
      <w:r>
        <w:t>Duval × Ricci</w:t>
      </w:r>
    </w:p>
    <w:p>
      <w:r>
        <w:rPr>
          <w:b/>
          <w:color w:val="5B8FD6"/>
        </w:rPr>
        <w:t xml:space="preserve">Texte : </w:t>
      </w:r>
      <w:r>
        <w:t>Effectifs de maintenance : 80 à l'orbite, 20 sur la Lune, contact rompu avec Mars (l'envoi d'une équipe de secours est débattu et rejeté) ; 194 décès, 1 porté disparu. Caissons : 749 826 au nid orbital, 44 979 au nid lunaire, aucune donnée sur le nid martien.</w:t>
      </w:r>
    </w:p>
    <w:p>
      <w:pPr>
        <w:pStyle w:val="Heading2"/>
      </w:pPr>
      <w:r>
        <w:t>Cent ans de solitude</w:t>
      </w:r>
    </w:p>
    <w:p>
      <w:r>
        <w:rPr>
          <w:b/>
          <w:color w:val="5B8FD6"/>
        </w:rPr>
        <w:t xml:space="preserve">Date : </w:t>
      </w:r>
      <w:r>
        <w:t>Années +0651 à +0753</w:t>
      </w:r>
    </w:p>
    <w:p>
      <w:r>
        <w:rPr>
          <w:b/>
          <w:color w:val="5B8FD6"/>
        </w:rPr>
        <w:t xml:space="preserve">Auteurs : </w:t>
      </w:r>
      <w:r>
        <w:t>Duval × Salaün</w:t>
      </w:r>
    </w:p>
    <w:p>
      <w:r>
        <w:rPr>
          <w:b/>
          <w:color w:val="5B8FD6"/>
        </w:rPr>
        <w:t xml:space="preserve">Texte : </w:t>
      </w:r>
      <w:r>
        <w:t>Effectifs de maintenance : 80 à l'orbite, de 12 à 19 sur la Lune, contact rompu avec Mars ; de 221 à 232 décès, 1 porté disparu (décès probable ou cryogénisation dans un cylindre terrestre possible), 1 désertion. Caissons : de 749 806 à 749 796 au nid orbital, 44 971 au nid lunaire, aucune donnée sur le nid martien.</w:t>
      </w:r>
    </w:p>
    <w:p>
      <w:pPr>
        <w:pStyle w:val="Heading2"/>
      </w:pPr>
      <w:r>
        <w:t>La Déserteuse</w:t>
      </w:r>
    </w:p>
    <w:p>
      <w:r>
        <w:rPr>
          <w:b/>
          <w:color w:val="5B8FD6"/>
        </w:rPr>
        <w:t xml:space="preserve">Date : </w:t>
      </w:r>
      <w:r>
        <w:t>Année +0653</w:t>
      </w:r>
    </w:p>
    <w:p>
      <w:r>
        <w:rPr>
          <w:b/>
          <w:color w:val="5B8FD6"/>
        </w:rPr>
        <w:t xml:space="preserve">Auteurs : </w:t>
      </w:r>
      <w:r>
        <w:t>Duval × Armand</w:t>
      </w:r>
    </w:p>
    <w:p>
      <w:r>
        <w:rPr>
          <w:b/>
          <w:color w:val="5B8FD6"/>
        </w:rPr>
        <w:t xml:space="preserve">Texte : </w:t>
      </w:r>
      <w:r>
        <w:t>Effectifs de maintenance : 80 à l'orbite, 20 sur la Lune, contact rompu avec Mars ; 224 décès, 1 porté disparu (décès probable ou cryogénisation dans un cylindre terrestre possible), 1 désertion. Caissons : 749 804 au nid orbital, 44 970 au nid lunaire, aucune donnée sur le nid martien.</w:t>
      </w:r>
    </w:p>
    <w:p>
      <w:pPr>
        <w:pStyle w:val="Heading2"/>
      </w:pPr>
      <w:r>
        <w:t>Le Nord retrouvé</w:t>
      </w:r>
    </w:p>
    <w:p>
      <w:r>
        <w:rPr>
          <w:b/>
          <w:color w:val="5B8FD6"/>
        </w:rPr>
        <w:t xml:space="preserve">Date : </w:t>
      </w:r>
      <w:r>
        <w:t>Année +0976</w:t>
      </w:r>
    </w:p>
    <w:p>
      <w:r>
        <w:rPr>
          <w:b/>
          <w:color w:val="5B8FD6"/>
        </w:rPr>
        <w:t xml:space="preserve">Auteurs : </w:t>
      </w:r>
      <w:r>
        <w:t>Duval × Vignaux</w:t>
      </w:r>
    </w:p>
    <w:p>
      <w:r>
        <w:rPr>
          <w:b/>
          <w:color w:val="5B8FD6"/>
        </w:rPr>
        <w:t xml:space="preserve">Texte : </w:t>
      </w:r>
      <w:r>
        <w:t>Effectifs de maintenance : 79 à l'orbite, 9 sur la Lune, contact rompu avec Mars ; 316 décès, 3 désertions. Caissons : 749 736 au nid orbital, 44 957 au nid lunaire, aucune donnée sur le nid martien.</w:t>
      </w:r>
    </w:p>
    <w:p>
      <w:pPr>
        <w:pStyle w:val="Heading2"/>
      </w:pPr>
      <w:r>
        <w:t>Épilogue</w:t>
      </w:r>
    </w:p>
    <w:p>
      <w:r>
        <w:rPr>
          <w:b/>
          <w:color w:val="5B8FD6"/>
        </w:rPr>
        <w:t xml:space="preserve">Date : </w:t>
      </w:r>
      <w:r>
        <w:t>Année +1000</w:t>
      </w:r>
    </w:p>
    <w:p>
      <w:r>
        <w:rPr>
          <w:b/>
          <w:color w:val="5B8FD6"/>
        </w:rPr>
        <w:t xml:space="preserve">Auteurs : </w:t>
      </w:r>
      <w:r>
        <w:t>Duval × Bajram</w:t>
      </w:r>
    </w:p>
    <w:p>
      <w:pPr>
        <w:pStyle w:val="Heading1"/>
      </w:pPr>
      <w:r>
        <w:t>7. Section 05 – Paroles</w:t>
      </w:r>
    </w:p>
    <w:p>
      <w:r>
        <w:rPr>
          <w:b/>
          <w:color w:val="5B8FD6"/>
        </w:rPr>
        <w:t xml:space="preserve">Surtitre : </w:t>
      </w:r>
      <w:r>
        <w:t>05 · Paroles</w:t>
      </w:r>
    </w:p>
    <w:p>
      <w:r>
        <w:rPr>
          <w:b/>
          <w:color w:val="5B8FD6"/>
        </w:rPr>
        <w:t xml:space="preserve">Titre : </w:t>
      </w:r>
      <w:r>
        <w:t>La parole aux créateurs</w:t>
      </w:r>
    </w:p>
    <w:p>
      <w:r>
        <w:rPr>
          <w:b/>
          <w:color w:val="5B8FD6"/>
        </w:rPr>
        <w:t xml:space="preserve">Citation [ne pas modifier] : </w:t>
      </w:r>
      <w:r>
        <w:t>La solution n'est pas dans la préservation du passé mais dans sa remise en question radicale.</w:t>
      </w:r>
    </w:p>
    <w:p>
      <w:r>
        <w:rPr>
          <w:b/>
          <w:color w:val="5B8FD6"/>
        </w:rPr>
        <w:t xml:space="preserve">Signature : </w:t>
      </w:r>
      <w:r>
        <w:t>Fred Duval scénariste</w:t>
      </w:r>
    </w:p>
    <w:p>
      <w:r>
        <w:rPr>
          <w:b/>
          <w:color w:val="5B8FD6"/>
        </w:rPr>
        <w:t xml:space="preserve">Citation d’accroche de l’éditeur [ne pas modifier] : </w:t>
      </w:r>
      <w:r>
        <w:t>« Créer un album collectif réunissant les grands auteurs de la SF »</w:t>
      </w:r>
    </w:p>
    <w:p>
      <w:r>
        <w:rPr>
          <w:b/>
          <w:color w:val="5B8FD6"/>
        </w:rPr>
        <w:t xml:space="preserve">Titre du bloc : </w:t>
      </w:r>
      <w:r>
        <w:t>Le mot de l'éditeur Félix Pirovano</w:t>
      </w:r>
    </w:p>
    <w:p>
      <w:r>
        <w:rPr>
          <w:b/>
          <w:color w:val="5B8FD6"/>
        </w:rPr>
        <w:t xml:space="preserve">Texte [ne pas modifier] : </w:t>
      </w:r>
      <w:r>
        <w:t>Tout a démarré il y a deux ans lors d'un déjeuner avec Grun, qui dessine l'histoire intitulée Le Chant des sirènes. Alors que nous cherchions un moyen de travailler ensemble, entre différentes idées lancées en l'air, il m'a soufflé cette envie : créer un collectif de science-fiction réunissant les grands auteurs contemporains du genre. Son idée m'a tout de suite séduit, et j'ai voulu lui donner vie avec l'ambition de proposer un collectif avec une cohésion tant scénaristique que graphique.</w:t>
      </w:r>
    </w:p>
    <w:p>
      <w:r>
        <w:rPr>
          <w:b/>
          <w:color w:val="5B8FD6"/>
        </w:rPr>
        <w:t xml:space="preserve">Texte [ne pas modifier] : </w:t>
      </w:r>
      <w:r>
        <w:t>Pourquoi Fred Duval ? « C'était simplement le meilleur pour relever cet incroyable défi ! »</w:t>
      </w:r>
    </w:p>
    <w:p>
      <w:pPr>
        <w:pStyle w:val="Heading1"/>
      </w:pPr>
      <w:r>
        <w:t>8. Section 06 – Recherches graphiques</w:t>
      </w:r>
    </w:p>
    <w:p>
      <w:r>
        <w:rPr>
          <w:b/>
          <w:color w:val="5B8FD6"/>
        </w:rPr>
        <w:t xml:space="preserve">Surtitre : </w:t>
      </w:r>
      <w:r>
        <w:t>06 · Recherches graphiques</w:t>
      </w:r>
    </w:p>
    <w:p>
      <w:r>
        <w:rPr>
          <w:b/>
          <w:color w:val="5B8FD6"/>
        </w:rPr>
        <w:t xml:space="preserve">Titre : </w:t>
      </w:r>
      <w:r>
        <w:t>Le carnet de l'univers</w:t>
      </w:r>
    </w:p>
    <w:p>
      <w:r>
        <w:rPr>
          <w:b/>
          <w:color w:val="5B8FD6"/>
        </w:rPr>
        <w:t xml:space="preserve">Introduction : </w:t>
      </w:r>
      <w:r>
        <w:t>Station, caissons, navette, scaphandres, robots et unités autonomes : les recherches graphiques qui ont servi à inventer le monde de Mille Ans.</w:t>
      </w:r>
    </w:p>
    <w:p>
      <w:pPr>
        <w:pStyle w:val="Heading2"/>
      </w:pPr>
      <w:r>
        <w:t>Planche 1 : Création de l'univers graphique</w:t>
      </w:r>
    </w:p>
    <w:p>
      <w:r>
        <w:rPr>
          <w:b/>
          <w:color w:val="5B8FD6"/>
        </w:rPr>
        <w:t xml:space="preserve">Légende : </w:t>
      </w:r>
      <w:r>
        <w:t>Page d'ouverture du cahier de recherches : caissons M1 et M2, anneau en rotation de la station, mini-drone de réparations électriques.</w:t>
      </w:r>
    </w:p>
    <w:p>
      <w:pPr>
        <w:pStyle w:val="Heading2"/>
      </w:pPr>
      <w:r>
        <w:t>Planche 2 : La station</w:t>
      </w:r>
    </w:p>
    <w:p>
      <w:r>
        <w:rPr>
          <w:b/>
          <w:color w:val="5B8FD6"/>
        </w:rPr>
        <w:t xml:space="preserve">Légende : </w:t>
      </w:r>
      <w:r>
        <w:t>Plan annoté : réacteurs de rotation et de stabilisation, plots d'appontage, zone de stockage et serre, modules cryogénisés de 1re classe (M1) et de 2e classe (M2), centres de commande n°1 et n°2.</w:t>
      </w:r>
    </w:p>
    <w:p>
      <w:pPr>
        <w:pStyle w:val="Heading2"/>
      </w:pPr>
      <w:r>
        <w:t>Planche 3 : La navette SB05</w:t>
      </w:r>
    </w:p>
    <w:p>
      <w:r>
        <w:rPr>
          <w:b/>
          <w:color w:val="5B8FD6"/>
        </w:rPr>
        <w:t xml:space="preserve">Légende : </w:t>
      </w:r>
      <w:r>
        <w:t>Poste de pilotage, zone passager, zone de transport de matériaux, trois trains d'atterrissage, sas d'arrimage à la base orbitale.</w:t>
      </w:r>
    </w:p>
    <w:p>
      <w:pPr>
        <w:pStyle w:val="Heading2"/>
      </w:pPr>
      <w:r>
        <w:t>Planche 4 : Combinaison et écussons</w:t>
      </w:r>
    </w:p>
    <w:p>
      <w:r>
        <w:rPr>
          <w:b/>
          <w:color w:val="5B8FD6"/>
        </w:rPr>
        <w:t xml:space="preserve">Légende : </w:t>
      </w:r>
      <w:r>
        <w:t>Combinaison anti-radiation de l'équipe Terre, écussons Millenew Earth, Moon-Base et Green.T, étude du pilote avec micro.</w:t>
      </w:r>
    </w:p>
    <w:p>
      <w:pPr>
        <w:pStyle w:val="Heading2"/>
      </w:pPr>
      <w:r>
        <w:t>Planche 5 : Billy, l'assistant autonome</w:t>
      </w:r>
    </w:p>
    <w:p>
      <w:r>
        <w:rPr>
          <w:b/>
          <w:color w:val="5B8FD6"/>
        </w:rPr>
        <w:t xml:space="preserve">Légende : </w:t>
      </w:r>
      <w:r>
        <w:t>Unité d'assistance autonome B-LEE Corporation Industries « Billy » : écran à expressions (une centaine possibles), oreilles rétractables, mode « off ».</w:t>
      </w:r>
    </w:p>
    <w:p>
      <w:pPr>
        <w:pStyle w:val="Heading2"/>
      </w:pPr>
      <w:r>
        <w:t>Planche 6 : Unités autonomes</w:t>
      </w:r>
    </w:p>
    <w:p>
      <w:r>
        <w:rPr>
          <w:b/>
          <w:color w:val="5B8FD6"/>
        </w:rPr>
        <w:t xml:space="preserve">Légende : </w:t>
      </w:r>
      <w:r>
        <w:t>Unité autonome andromorphe U.0.3 et ses bras extensibles, équipements d'avant-bras de maintenance pour les sorties extra-véhiculaires, lance grap, unités U.0.1, U.0.2 et U.0.5 (assistance médicale).</w:t>
      </w:r>
    </w:p>
    <w:p>
      <w:pPr>
        <w:pStyle w:val="Heading2"/>
      </w:pPr>
      <w:r>
        <w:t>Planche 7 : Le scaphandre</w:t>
      </w:r>
    </w:p>
    <w:p>
      <w:r>
        <w:rPr>
          <w:b/>
          <w:color w:val="5B8FD6"/>
        </w:rPr>
        <w:t xml:space="preserve">Légende : </w:t>
      </w:r>
      <w:r>
        <w:t>Scaphandre pour les sorties extra-véhiculaires : blanc et couleurs variables suivant les affectations. Unité propulseurs et oxygène, lance grap, éléments détachés.</w:t>
      </w:r>
    </w:p>
    <w:p>
      <w:pPr>
        <w:pStyle w:val="Heading2"/>
      </w:pPr>
      <w:r>
        <w:t>Planche 8 : Casque et lampes</w:t>
      </w:r>
    </w:p>
    <w:p>
      <w:r>
        <w:rPr>
          <w:b/>
          <w:color w:val="5B8FD6"/>
        </w:rPr>
        <w:t xml:space="preserve">Légende : </w:t>
      </w:r>
      <w:r>
        <w:t>Lampes rétractables (off / on), visière occultante dorée (gold plated), études du casque et du plastron.</w:t>
      </w:r>
    </w:p>
    <w:p>
      <w:r>
        <w:rPr>
          <w:b/>
          <w:color w:val="5B8FD6"/>
        </w:rPr>
        <w:t xml:space="preserve">Mention : </w:t>
      </w:r>
      <w:r>
        <w:t>Recherches graphiques © Le Lombard</w:t>
      </w:r>
    </w:p>
    <w:p>
      <w:pPr>
        <w:pStyle w:val="Heading1"/>
      </w:pPr>
      <w:r>
        <w:t>9. Section 07 – Fin de page</w:t>
      </w:r>
    </w:p>
    <w:p>
      <w:r>
        <w:rPr>
          <w:b/>
          <w:color w:val="5B8FD6"/>
        </w:rPr>
        <w:t xml:space="preserve">Surtitre : </w:t>
      </w:r>
      <w:r>
        <w:t>07 · Prêt pour le décollage</w:t>
      </w:r>
    </w:p>
    <w:p>
      <w:r>
        <w:rPr>
          <w:b/>
          <w:color w:val="5B8FD6"/>
        </w:rPr>
        <w:t xml:space="preserve">Titre : </w:t>
      </w:r>
      <w:r>
        <w:t>Entrez dans Mille Ans</w:t>
      </w:r>
    </w:p>
    <w:p>
      <w:r>
        <w:rPr>
          <w:b/>
          <w:color w:val="5B8FD6"/>
        </w:rPr>
        <w:t xml:space="preserve">Texte : </w:t>
      </w:r>
      <w:r>
        <w:t>Feuilletez les premières planches de l'album, puis retrouvez-le en librairie le 23 octobre 2026.</w:t>
      </w:r>
    </w:p>
    <w:p>
      <w:r>
        <w:rPr>
          <w:b/>
          <w:color w:val="5B8FD6"/>
        </w:rPr>
        <w:t xml:space="preserve">Bouton : </w:t>
      </w:r>
      <w:r>
        <w:t>Lire l'extrait ▸</w:t>
      </w:r>
    </w:p>
    <w:p>
      <w:r>
        <w:rPr>
          <w:b/>
          <w:color w:val="5B8FD6"/>
        </w:rPr>
        <w:t xml:space="preserve">Bouton : </w:t>
      </w:r>
      <w:r>
        <w:t>Acheter l'album ↗</w:t>
      </w:r>
    </w:p>
    <w:p>
      <w:pPr>
        <w:pStyle w:val="Heading1"/>
      </w:pPr>
      <w:r>
        <w:t>10. Pied de page</w:t>
      </w:r>
    </w:p>
    <w:p>
      <w:r>
        <w:rPr>
          <w:b/>
          <w:color w:val="5B8FD6"/>
        </w:rPr>
        <w:t xml:space="preserve">Mention : </w:t>
      </w:r>
      <w:r>
        <w:t>MILLE ANS · Duval, Armand, Bajram, Buchet, Grun, Ricci, Salaün, Toulhoat, Vignaux · © Éditions Le Lombard 2026</w:t>
      </w:r>
    </w:p>
    <w:p>
      <w:pPr>
        <w:pStyle w:val="Heading1"/>
      </w:pPr>
      <w:r>
        <w:t>11. Éléments d’interface</w:t>
      </w:r>
    </w:p>
    <w:p>
      <w:r>
        <w:rPr>
          <w:b/>
          <w:color w:val="5B8FD6"/>
        </w:rPr>
        <w:t xml:space="preserve">Menu de navigation : </w:t>
      </w:r>
      <w:r>
        <w:t>01 L'album · 02 La fresque · 03 Les auteurs · 04 Chronologie · 05 Paroles · 06 Carnet · 07 Extrait</w:t>
      </w:r>
    </w:p>
    <w:p>
      <w:r>
        <w:rPr>
          <w:b/>
          <w:color w:val="5B8FD6"/>
        </w:rPr>
        <w:t xml:space="preserve">Bouton son : </w:t>
      </w:r>
      <w:r>
        <w:t>Son (activer / couper l’ambiance sonore)</w:t>
      </w:r>
    </w:p>
    <w:p>
      <w:r>
        <w:rPr>
          <w:b/>
          <w:color w:val="5B8FD6"/>
        </w:rPr>
        <w:t xml:space="preserve">Fenêtre de l’extrait – titre : </w:t>
      </w:r>
      <w:r>
        <w:t>Extrait · Mille Ans</w:t>
      </w:r>
    </w:p>
    <w:p>
      <w:r>
        <w:rPr>
          <w:b/>
          <w:color w:val="5B8FD6"/>
        </w:rPr>
        <w:t xml:space="preserve">Fenêtre de l’extrait – lien : </w:t>
      </w:r>
      <w:r>
        <w:t>Ouvrir dans un nouvel onglet ↗</w:t>
      </w:r>
    </w:p>
    <w:p>
      <w:r>
        <w:rPr>
          <w:b/>
          <w:color w:val="5B8FD6"/>
        </w:rPr>
        <w:t xml:space="preserve">Lien d’accessibilité : </w:t>
      </w:r>
      <w:r>
        <w:t>Aller au contenu</w:t>
      </w:r>
    </w:p>
    <w:p>
      <w:pPr>
        <w:pStyle w:val="Heading1"/>
      </w:pPr>
      <w:r>
        <w:t>Annexe – Descriptions des images (accessibilité)</w:t>
      </w:r>
    </w:p>
    <w:p>
      <w:r>
        <w:rPr>
          <w:b w:val="0"/>
          <w:i/>
          <w:color w:val="666666"/>
        </w:rPr>
        <w:t>Ces textes ne sont pas visibles à l’écran ; ils sont lus par les lecteurs d’écran.</w:t>
      </w:r>
    </w:p>
    <w:p>
      <w:pPr>
        <w:pStyle w:val="ListBullet"/>
      </w:pPr>
      <w:r>
        <w:t>Mille Ans</w:t>
      </w:r>
    </w:p>
    <w:p>
      <w:pPr>
        <w:pStyle w:val="ListBullet"/>
      </w:pPr>
      <w:r>
        <w:t>Couverture de Mille Ans : une astronaute et son petit robot face à une ville en ruines reprise par la végétation, dominée par une immense tour</w:t>
      </w:r>
    </w:p>
    <w:p>
      <w:pPr>
        <w:pStyle w:val="ListBullet"/>
      </w:pPr>
      <w:r>
        <w:t>Portrait de Fred Duval</w:t>
      </w:r>
    </w:p>
    <w:p>
      <w:pPr>
        <w:pStyle w:val="ListBullet"/>
      </w:pPr>
      <w:r>
        <w:t>Portrait de Denis Bajram</w:t>
      </w:r>
    </w:p>
    <w:p>
      <w:pPr>
        <w:pStyle w:val="ListBullet"/>
      </w:pPr>
      <w:r>
        <w:t>Portrait de Fred Vignaux</w:t>
      </w:r>
    </w:p>
    <w:p>
      <w:pPr>
        <w:pStyle w:val="ListBullet"/>
      </w:pPr>
      <w:r>
        <w:t>Portrait de Ronan Toulhoat</w:t>
      </w:r>
    </w:p>
    <w:p>
      <w:pPr>
        <w:pStyle w:val="ListBullet"/>
      </w:pPr>
      <w:r>
        <w:t>Portrait de Dimitri Armand</w:t>
      </w:r>
    </w:p>
    <w:p>
      <w:pPr>
        <w:pStyle w:val="ListBullet"/>
      </w:pPr>
      <w:r>
        <w:t>Portrait de Philippe Buchet</w:t>
      </w:r>
    </w:p>
    <w:p>
      <w:pPr>
        <w:pStyle w:val="ListBullet"/>
      </w:pPr>
      <w:r>
        <w:t>Portrait de Grun</w:t>
      </w:r>
    </w:p>
    <w:p>
      <w:pPr>
        <w:pStyle w:val="ListBullet"/>
      </w:pPr>
      <w:r>
        <w:t>Portrait de Roberto Ricci</w:t>
      </w:r>
    </w:p>
    <w:p>
      <w:pPr>
        <w:pStyle w:val="ListBullet"/>
      </w:pPr>
      <w:r>
        <w:t>Portrait de Jaouen Salaün</w:t>
      </w:r>
    </w:p>
    <w:p>
      <w:pPr>
        <w:pStyle w:val="ListBullet"/>
      </w:pPr>
      <w:r>
        <w:t>Vue plongeante : des explorateurs en combinaison avancent entre des caissons de cryogénisation, sur un sol orangé gravé du plan de la station</w:t>
      </w:r>
    </w:p>
    <w:p>
      <w:pPr>
        <w:pStyle w:val="ListBullet"/>
      </w:pPr>
      <w:r>
        <w:t>Une astronaute et son petit robot contemplent une ville en ruines reprise par la végétation, dominée par une immense tour</w:t>
      </w:r>
    </w:p>
    <w:p>
      <w:pPr>
        <w:pStyle w:val="ListBullet"/>
      </w:pPr>
      <w:r>
        <w:t>Création de l'univers graphique par Philippe Buchet : crayonnés de caissons de stase, de la station à anneau en rotation et d'un mini-drone</w:t>
      </w:r>
    </w:p>
    <w:p>
      <w:pPr>
        <w:pStyle w:val="ListBullet"/>
      </w:pPr>
      <w:r>
        <w:t>Plan annoté de la station : bras horizontal, anneau, modules cryogénisés M1 et M2 et plot d'appontage</w:t>
      </w:r>
    </w:p>
    <w:p>
      <w:pPr>
        <w:pStyle w:val="ListBullet"/>
      </w:pPr>
      <w:r>
        <w:t>Études de la navette SB05, en crayonné orange et en couleur, avec ses annotations techniques</w:t>
      </w:r>
    </w:p>
    <w:p>
      <w:pPr>
        <w:pStyle w:val="ListBullet"/>
      </w:pPr>
      <w:r>
        <w:t>Étude de la combinaison anti-radiation orange, des écussons Millenew Earth et du portrait d'un pilote</w:t>
      </w:r>
    </w:p>
    <w:p>
      <w:pPr>
        <w:pStyle w:val="ListBullet"/>
      </w:pPr>
      <w:r>
        <w:t>Études du robot Billy : expressions de l'écran, robot assis les bras ouverts et mode off</w:t>
      </w:r>
    </w:p>
    <w:p>
      <w:pPr>
        <w:pStyle w:val="ListBullet"/>
      </w:pPr>
      <w:r>
        <w:t>Études des unités autonomes andromorphes U.0.1, U.0.2, U.0.3 et U.0.5 : silhouettes, têtes, mains et équipements d'avant-bras</w:t>
      </w:r>
    </w:p>
    <w:p>
      <w:pPr>
        <w:pStyle w:val="ListBullet"/>
      </w:pPr>
      <w:r>
        <w:t>Étude en couleur du scaphandre de sortie extra-véhiculaire, de face et de dos, avec ses éléments détachés</w:t>
      </w:r>
    </w:p>
    <w:p>
      <w:pPr>
        <w:pStyle w:val="ListBullet"/>
      </w:pPr>
      <w:r>
        <w:t>Crayonnés d'un personnage en combinaison en apesanteur et études du casque, de la visière occultante et des lampes rétractables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