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7AAE" w14:textId="77777777" w:rsidR="00D440B8" w:rsidRPr="00D440B8" w:rsidRDefault="00D440B8" w:rsidP="00D440B8">
      <w:pPr>
        <w:rPr>
          <w:rFonts w:hint="eastAsia"/>
          <w:b/>
          <w:bCs/>
        </w:rPr>
      </w:pPr>
      <w:r w:rsidRPr="00D440B8">
        <w:rPr>
          <w:b/>
          <w:bCs/>
        </w:rPr>
        <w:t>1. 立项依据</w:t>
      </w:r>
    </w:p>
    <w:p w14:paraId="753B55FA" w14:textId="77777777" w:rsidR="00D440B8" w:rsidRPr="00D440B8" w:rsidRDefault="00D440B8" w:rsidP="00D440B8">
      <w:pPr>
        <w:rPr>
          <w:rFonts w:hint="eastAsia"/>
          <w:b/>
          <w:bCs/>
        </w:rPr>
      </w:pPr>
      <w:r w:rsidRPr="00D440B8">
        <w:rPr>
          <w:b/>
          <w:bCs/>
        </w:rPr>
        <w:t>1.1 研究意义</w:t>
      </w:r>
    </w:p>
    <w:p w14:paraId="005E4B4A" w14:textId="77777777" w:rsidR="00D440B8" w:rsidRPr="00D440B8" w:rsidRDefault="00D440B8" w:rsidP="00D440B8">
      <w:pPr>
        <w:rPr>
          <w:rFonts w:hint="eastAsia"/>
          <w:b/>
          <w:bCs/>
        </w:rPr>
      </w:pPr>
      <w:r w:rsidRPr="00D440B8">
        <w:rPr>
          <w:b/>
          <w:bCs/>
        </w:rPr>
        <w:t>1.1.1 宏观愿景：中国传统绘画艺术多模态高质量数据集的建设</w:t>
      </w:r>
    </w:p>
    <w:p w14:paraId="3C7B05EA" w14:textId="4C4E1928" w:rsidR="00D440B8" w:rsidRPr="00D440B8" w:rsidRDefault="00D440B8" w:rsidP="00D440B8">
      <w:pPr>
        <w:rPr>
          <w:rFonts w:hint="eastAsia"/>
        </w:rPr>
      </w:pPr>
      <w:r w:rsidRPr="00D440B8">
        <w:t>随着“国家文化数字化战略”的深入实施，构建中华文化及其表现形式的数字基因库已成为国家级战略需求。中国传统绘画艺术承载着数千年的历史与美学价值，但在人工智能（AI）时代，现有的数据资源面临着严重的“孤岛效应”与“模态缺失”问题。</w:t>
      </w:r>
      <w:r w:rsidR="0060351A" w:rsidRPr="0060351A">
        <w:rPr>
          <w:rFonts w:hint="eastAsia"/>
        </w:rPr>
        <w:t xml:space="preserve">近年来，大规模艺术类数据集在推动图像风格理解与跨媒介识别方面发挥了重要作用。然而，这些数据集的构建多依赖于以 </w:t>
      </w:r>
      <w:proofErr w:type="spellStart"/>
      <w:r w:rsidR="0060351A" w:rsidRPr="0060351A">
        <w:rPr>
          <w:rFonts w:hint="eastAsia"/>
        </w:rPr>
        <w:t>Behance</w:t>
      </w:r>
      <w:proofErr w:type="spellEnd"/>
      <w:r w:rsidR="0060351A" w:rsidRPr="0060351A">
        <w:rPr>
          <w:rFonts w:hint="eastAsia"/>
        </w:rPr>
        <w:t xml:space="preserve"> 等平台为代表的当代设计与商业插画生态，其中艺术风格主要以西方视觉体系、现代媒介或数字绘图方式为主。例如，BAM! 数据集从 </w:t>
      </w:r>
      <w:proofErr w:type="spellStart"/>
      <w:r w:rsidR="0060351A" w:rsidRPr="0060351A">
        <w:rPr>
          <w:rFonts w:hint="eastAsia"/>
        </w:rPr>
        <w:t>Behance</w:t>
      </w:r>
      <w:proofErr w:type="spellEnd"/>
      <w:r w:rsidR="0060351A" w:rsidRPr="0060351A">
        <w:rPr>
          <w:rFonts w:hint="eastAsia"/>
        </w:rPr>
        <w:t xml:space="preserve"> 收集了约 6500 万幅图像，并围绕媒介（如油画、水彩、漫画、矢量图）、情绪以及基本内容类别建立了大规模标签体系[1]。尽管此类资源为研究现代艺术风格提供了重要基础，但其标注体系并未涉及中国传统绘画中“笔墨”“意境”“设色”等关键审美范畴，也缺乏与这些概念相对应的多模态语义对齐机制。因此，现有主流艺术数据集在文化维度与美学语义深度方面仍存在不足，难以支撑对中国传统绘画体系的系统建模与跨模态理解。</w:t>
      </w:r>
      <w:r w:rsidRPr="00D440B8">
        <w:t>。</w:t>
      </w:r>
    </w:p>
    <w:p w14:paraId="569EA60B" w14:textId="6B57E536" w:rsidR="00D440B8" w:rsidRPr="00C44888" w:rsidRDefault="00D440B8" w:rsidP="00D440B8">
      <w:pPr>
        <w:rPr>
          <w:rFonts w:hint="eastAsia"/>
        </w:rPr>
      </w:pPr>
      <w:r w:rsidRPr="00D440B8">
        <w:t>本项目旨在立项建设一个</w:t>
      </w:r>
      <w:r w:rsidR="002550D3" w:rsidRPr="002550D3">
        <w:rPr>
          <w:rFonts w:hint="eastAsia"/>
          <w:b/>
          <w:bCs/>
        </w:rPr>
        <w:t>“中国传统绘画艺术多模态高质量数据集”</w:t>
      </w:r>
      <w:r w:rsidRPr="00D440B8">
        <w:t>。该数据集不仅包含高分辨率的图像数据，更致力于实现图像与文本（题跋、画论）、图像与化学信息（颜料成分）的深度语义对齐。这将为数字文化产业提供底层数据基座，不仅解决 AIGC 训练数据中的“西方中心主义”偏见，更为中华优秀传统文化的数字化传承提供标准化的数据支撑。</w:t>
      </w:r>
    </w:p>
    <w:p w14:paraId="1F54D987" w14:textId="77777777" w:rsidR="00D440B8" w:rsidRPr="00D440B8" w:rsidRDefault="00D440B8" w:rsidP="00D440B8">
      <w:pPr>
        <w:rPr>
          <w:rFonts w:hint="eastAsia"/>
          <w:b/>
          <w:bCs/>
        </w:rPr>
      </w:pPr>
      <w:r w:rsidRPr="00D440B8">
        <w:rPr>
          <w:b/>
          <w:bCs/>
        </w:rPr>
        <w:t>1.1.2 核心聚焦：五代宋元青绿山水画的色彩抢救与数据填补</w:t>
      </w:r>
    </w:p>
    <w:p w14:paraId="1529C83E" w14:textId="6DA0F7AE" w:rsidR="00D440B8" w:rsidRPr="00D440B8" w:rsidRDefault="00D440B8" w:rsidP="00D440B8">
      <w:pPr>
        <w:rPr>
          <w:rFonts w:hint="eastAsia"/>
        </w:rPr>
      </w:pPr>
      <w:r w:rsidRPr="00D440B8">
        <w:t>在宏观数据集建设的蓝图中，我们选择将</w:t>
      </w:r>
      <w:r w:rsidRPr="002550D3">
        <w:rPr>
          <w:b/>
          <w:bCs/>
        </w:rPr>
        <w:t>“五代宋元时期的青绿山水画”</w:t>
      </w:r>
      <w:r w:rsidRPr="00D440B8">
        <w:t>作为首个突破口与核心子集。这一选择基于以下三个维度的紧迫性与典型性：</w:t>
      </w:r>
    </w:p>
    <w:p w14:paraId="7EF3AED6" w14:textId="77777777" w:rsidR="00D440B8" w:rsidRPr="00D440B8" w:rsidRDefault="00D440B8" w:rsidP="00D440B8">
      <w:pPr>
        <w:numPr>
          <w:ilvl w:val="0"/>
          <w:numId w:val="2"/>
        </w:numPr>
        <w:rPr>
          <w:rFonts w:hint="eastAsia"/>
        </w:rPr>
      </w:pPr>
      <w:r w:rsidRPr="00D440B8">
        <w:rPr>
          <w:b/>
          <w:bCs/>
        </w:rPr>
        <w:t>艺术价值的巅峰与数据的极度匮乏</w:t>
      </w:r>
      <w:r w:rsidRPr="00D440B8">
        <w:t>：五代至宋元（公元907-1368年）是中国青绿山水画的黄金时代，其色彩体系（石青、石绿）与构图技法代表了东方美学的最高成就。然而，现有数据集（如四川大学中国画基础数据库）多集中于明清及近现代作品，高古时期的优质数据因存世量少、获取难度大，形成了明显的“数据真空”。</w:t>
      </w:r>
    </w:p>
    <w:p w14:paraId="65875069" w14:textId="54D088EE" w:rsidR="00D440B8" w:rsidRPr="00D440B8" w:rsidRDefault="00D440B8" w:rsidP="00D440B8">
      <w:pPr>
        <w:numPr>
          <w:ilvl w:val="0"/>
          <w:numId w:val="2"/>
        </w:numPr>
        <w:rPr>
          <w:rFonts w:hint="eastAsia"/>
        </w:rPr>
      </w:pPr>
      <w:r w:rsidRPr="00D440B8">
        <w:rPr>
          <w:b/>
          <w:bCs/>
        </w:rPr>
        <w:t>颜料病害的不可逆性与修复紧迫性</w:t>
      </w:r>
      <w:r w:rsidRPr="00D440B8">
        <w:t>：不同于水墨画，青绿山水画核心使用的矿物颜料——石青（蓝铜矿）和石绿（孔雀石），在千年岁月中极易发生晶体氧化与脱落。科学分析显示，</w:t>
      </w:r>
      <w:r w:rsidR="0060351A" w:rsidRPr="0060351A">
        <w:rPr>
          <w:rFonts w:hint="eastAsia"/>
        </w:rPr>
        <w:t>壁画中所使用的矿物颜料（如石青、石绿）在长期风化、盐害及湿度波动的作用下极易发生褪色、发灰乃至局部脱落，其色彩损失多呈不可逆性。</w:t>
      </w:r>
      <w:r w:rsidR="0060351A" w:rsidRPr="00D440B8">
        <w:t>[2]</w:t>
      </w:r>
      <w:r w:rsidR="0060351A" w:rsidRPr="0060351A">
        <w:rPr>
          <w:rFonts w:hint="eastAsia"/>
        </w:rPr>
        <w:t>因此，颜色退化成为虚拟修复中的核心难点。现有研究对敦煌壁画图像的分析亦显示，色彩模糊、偏暗与色差扩大等现象普遍存在，亟需依托虚拟修复技术实现更为真实的色彩重建</w:t>
      </w:r>
      <w:r w:rsidRPr="00D440B8">
        <w:t>。传统的物理修复风险极大，利</w:t>
      </w:r>
      <w:r w:rsidRPr="00D440B8">
        <w:lastRenderedPageBreak/>
        <w:t>用数字技术进行虚拟修复，成为抢救这一特定画</w:t>
      </w:r>
      <w:proofErr w:type="gramStart"/>
      <w:r w:rsidRPr="00D440B8">
        <w:t>科色彩</w:t>
      </w:r>
      <w:proofErr w:type="gramEnd"/>
      <w:r w:rsidRPr="00D440B8">
        <w:t>信息的唯一路径。</w:t>
      </w:r>
    </w:p>
    <w:p w14:paraId="1324B1FA" w14:textId="77777777" w:rsidR="00D440B8" w:rsidRPr="00D440B8" w:rsidRDefault="00D440B8" w:rsidP="00D440B8">
      <w:pPr>
        <w:numPr>
          <w:ilvl w:val="0"/>
          <w:numId w:val="2"/>
        </w:numPr>
        <w:rPr>
          <w:rFonts w:hint="eastAsia"/>
        </w:rPr>
      </w:pPr>
      <w:r w:rsidRPr="00D440B8">
        <w:rPr>
          <w:b/>
          <w:bCs/>
        </w:rPr>
        <w:t>多模态对齐的最佳实验场</w:t>
      </w:r>
      <w:r w:rsidRPr="00D440B8">
        <w:t>：青绿山水画拥有丰富的画论文献（如《林泉高致》）支持，且颜料化学特征鲜明。以该门类为试点，构建“颜料物理模型+画论文本约束”的虚拟修复路径，能为整个中国传统绘画数据集的建设提供可复制的“范式”。</w:t>
      </w:r>
    </w:p>
    <w:p w14:paraId="01CC7188" w14:textId="2C7DA1BE" w:rsidR="00D440B8" w:rsidRPr="00D440B8" w:rsidRDefault="00D440B8" w:rsidP="00D440B8">
      <w:pPr>
        <w:rPr>
          <w:rFonts w:hint="eastAsia"/>
          <w:b/>
          <w:bCs/>
        </w:rPr>
      </w:pPr>
      <w:r w:rsidRPr="00D440B8">
        <w:rPr>
          <w:b/>
          <w:bCs/>
        </w:rPr>
        <w:t>1.1.3 行业痛点：AIGC 训练数据的东方语料匮乏</w:t>
      </w:r>
    </w:p>
    <w:p w14:paraId="61198E86" w14:textId="77777777" w:rsidR="0060351A" w:rsidRDefault="0060351A" w:rsidP="00D440B8">
      <w:r w:rsidRPr="0060351A">
        <w:rPr>
          <w:rFonts w:hint="eastAsia"/>
        </w:rPr>
        <w:t>在视觉艺术领域的生成式人工智能研究中，数据集的质量在很大程度上决定了模型性能的上限。然而，现阶段国际主流的开源数据集仍普遍存在数据分布不均的问题。以目前规模最大的公开多模态数据集 LAION-5B 为例，尽管其收录了约 58.5 亿条图文对，但其语言与地域分布明显呈现英语及西方语系占优的特征；同时，作者也指出基于 CLIP 的筛选机制可能进一步放大这一结构性偏差 [3]。</w:t>
      </w:r>
    </w:p>
    <w:p w14:paraId="05F779F9" w14:textId="11454085" w:rsidR="00D440B8" w:rsidRPr="00D440B8" w:rsidRDefault="001241C4" w:rsidP="00D440B8">
      <w:pPr>
        <w:rPr>
          <w:rFonts w:hint="eastAsia"/>
        </w:rPr>
      </w:pPr>
      <w:r w:rsidRPr="001241C4">
        <w:t>已有研究指出，大型通用数据集中与中国传统文化相关的图文样本占比普遍偏低，且标签描述与文化要素的刻画往往不足，这会导致主流生成模型在生成中国传统绘画或含中国文化元素的图像时出现风格同质化、文化符号误植</w:t>
      </w:r>
      <w:r>
        <w:rPr>
          <w:rFonts w:hint="eastAsia"/>
        </w:rPr>
        <w:t>或文化要素不连贯</w:t>
      </w:r>
      <w:r w:rsidRPr="001241C4">
        <w:t>等问题 [4]。此外，现有数据</w:t>
      </w:r>
      <w:proofErr w:type="gramStart"/>
      <w:r w:rsidRPr="001241C4">
        <w:t>集普遍</w:t>
      </w:r>
      <w:proofErr w:type="gramEnd"/>
      <w:r w:rsidRPr="001241C4">
        <w:t>缺乏针对中国古典艺术技法与美学意境的深度标注。因此，在建设中国传统绘画大数据库的背景下，优先构建一个去西方化视角、专注于五代—宋元美学的多模态数据集子集，是打破现有算法偏见、提升国产 AIGC 模型生成质量的关键路径。</w:t>
      </w:r>
    </w:p>
    <w:p w14:paraId="020EE77B" w14:textId="77777777" w:rsidR="00D440B8" w:rsidRPr="00D440B8" w:rsidRDefault="00D440B8" w:rsidP="00D440B8">
      <w:pPr>
        <w:rPr>
          <w:rFonts w:hint="eastAsia"/>
        </w:rPr>
      </w:pPr>
      <w:r w:rsidRPr="00D440B8">
        <w:rPr>
          <w:b/>
          <w:bCs/>
        </w:rPr>
        <w:t>[建议插入图片1：现有主流数据集（LAION-5B/MS-COCO）中东方元素占比统计图]</w:t>
      </w:r>
    </w:p>
    <w:p w14:paraId="10D2F8A2" w14:textId="77777777" w:rsidR="00D440B8" w:rsidRPr="00D440B8" w:rsidRDefault="00D440B8" w:rsidP="00D440B8">
      <w:pPr>
        <w:numPr>
          <w:ilvl w:val="0"/>
          <w:numId w:val="3"/>
        </w:numPr>
        <w:rPr>
          <w:rFonts w:hint="eastAsia"/>
        </w:rPr>
      </w:pPr>
      <w:r w:rsidRPr="00D440B8">
        <w:rPr>
          <w:b/>
          <w:bCs/>
        </w:rPr>
        <w:t>图片内容描述</w:t>
      </w:r>
      <w:r w:rsidRPr="00D440B8">
        <w:t>：绘制一个嵌套饼图。外圈表示 LAION-5B 数据集的总体语种分布（英语占主导），内圈细分出“东方传统艺术”类别的占比（通常不足千分之三），并用醒目的红色高亮显示“极度匮乏”。</w:t>
      </w:r>
    </w:p>
    <w:p w14:paraId="08991302" w14:textId="77777777" w:rsidR="00D440B8" w:rsidRPr="00D440B8" w:rsidRDefault="00D440B8" w:rsidP="00D440B8">
      <w:pPr>
        <w:numPr>
          <w:ilvl w:val="0"/>
          <w:numId w:val="3"/>
        </w:numPr>
        <w:rPr>
          <w:rFonts w:hint="eastAsia"/>
        </w:rPr>
      </w:pPr>
      <w:r w:rsidRPr="00D440B8">
        <w:rPr>
          <w:b/>
          <w:bCs/>
        </w:rPr>
        <w:t>生成/查找建议</w:t>
      </w:r>
      <w:r w:rsidRPr="00D440B8">
        <w:t xml:space="preserve">：利用 Excel 制作，数据参考 LAION </w:t>
      </w:r>
      <w:proofErr w:type="gramStart"/>
      <w:r w:rsidRPr="00D440B8">
        <w:t>官网发布</w:t>
      </w:r>
      <w:proofErr w:type="gramEnd"/>
      <w:r w:rsidRPr="00D440B8">
        <w:t>的 Statistics 部分，重点突出中西方语料的巨大悬殊。</w:t>
      </w:r>
    </w:p>
    <w:p w14:paraId="737AE806" w14:textId="77777777" w:rsidR="00D440B8" w:rsidRPr="00D440B8" w:rsidRDefault="00D440B8" w:rsidP="00D440B8">
      <w:pPr>
        <w:rPr>
          <w:rFonts w:hint="eastAsia"/>
        </w:rPr>
      </w:pPr>
      <w:r w:rsidRPr="00D440B8">
        <w:rPr>
          <w:b/>
          <w:bCs/>
        </w:rPr>
        <w:t>[建议插入图片2：青绿山水画典型病害对比图]</w:t>
      </w:r>
    </w:p>
    <w:p w14:paraId="4D242624" w14:textId="77777777" w:rsidR="00D440B8" w:rsidRPr="00D440B8" w:rsidRDefault="00D440B8" w:rsidP="00D440B8">
      <w:pPr>
        <w:numPr>
          <w:ilvl w:val="0"/>
          <w:numId w:val="4"/>
        </w:numPr>
        <w:rPr>
          <w:rFonts w:hint="eastAsia"/>
        </w:rPr>
      </w:pPr>
      <w:r w:rsidRPr="00D440B8">
        <w:rPr>
          <w:b/>
          <w:bCs/>
        </w:rPr>
        <w:t>图片内容描述</w:t>
      </w:r>
      <w:r w:rsidRPr="00D440B8">
        <w:t>：选取王希孟</w:t>
      </w:r>
      <w:proofErr w:type="gramStart"/>
      <w:r w:rsidRPr="00D440B8">
        <w:t>《千里江山图》或赵孟</w:t>
      </w:r>
      <w:proofErr w:type="gramEnd"/>
      <w:r w:rsidRPr="00D440B8">
        <w:t>頫《鹊华秋色图》的局部。左图展示现状：石青剥落露出底绢、赭石泛灰；右图展示通过数字复原后的效果：矿物颜料色泽饱满，层次分明。图片中间用箭头连接，并标注“虚拟修复”字样。</w:t>
      </w:r>
    </w:p>
    <w:p w14:paraId="7ED80592" w14:textId="77777777" w:rsidR="00D440B8" w:rsidRPr="00D440B8" w:rsidRDefault="00D440B8" w:rsidP="00D440B8">
      <w:pPr>
        <w:numPr>
          <w:ilvl w:val="0"/>
          <w:numId w:val="4"/>
        </w:numPr>
        <w:rPr>
          <w:rFonts w:hint="eastAsia"/>
        </w:rPr>
      </w:pPr>
      <w:r w:rsidRPr="00D440B8">
        <w:rPr>
          <w:b/>
          <w:bCs/>
        </w:rPr>
        <w:t>生成/查找建议</w:t>
      </w:r>
      <w:r w:rsidRPr="00D440B8">
        <w:t>：在故宫博物院数字文物库截取高清局部，使用 PS 调整右图饱和度和对比度模拟复原效果。</w:t>
      </w:r>
    </w:p>
    <w:p w14:paraId="405AB1B8" w14:textId="77777777" w:rsidR="00D440B8" w:rsidRPr="00D440B8" w:rsidRDefault="00D440B8" w:rsidP="00D440B8">
      <w:pPr>
        <w:rPr>
          <w:rFonts w:hint="eastAsia"/>
          <w:b/>
          <w:bCs/>
        </w:rPr>
      </w:pPr>
      <w:r w:rsidRPr="00D440B8">
        <w:rPr>
          <w:b/>
          <w:bCs/>
        </w:rPr>
        <w:t>1.2 国内外研究现状及发展动态分析</w:t>
      </w:r>
    </w:p>
    <w:p w14:paraId="7260A719" w14:textId="77777777" w:rsidR="00D440B8" w:rsidRPr="00D440B8" w:rsidRDefault="00D440B8" w:rsidP="00D440B8">
      <w:pPr>
        <w:rPr>
          <w:rFonts w:hint="eastAsia"/>
          <w:b/>
          <w:bCs/>
        </w:rPr>
      </w:pPr>
      <w:r w:rsidRPr="00D440B8">
        <w:rPr>
          <w:b/>
          <w:bCs/>
        </w:rPr>
        <w:t>1.2.1 图像生成与修复模型：从 GAN 到 Diffusion 的技术演进</w:t>
      </w:r>
    </w:p>
    <w:p w14:paraId="00F76053" w14:textId="6B419AD8" w:rsidR="00D440B8" w:rsidRPr="00D440B8" w:rsidRDefault="00D440B8" w:rsidP="00D440B8">
      <w:pPr>
        <w:rPr>
          <w:rFonts w:hint="eastAsia"/>
        </w:rPr>
      </w:pPr>
      <w:r w:rsidRPr="00D440B8">
        <w:lastRenderedPageBreak/>
        <w:t xml:space="preserve">深度学习技术的迭代推动了图像修复（Inpainting）与生成领域的范式转移。早期的研究多基于生成对抗网络（GANs），如 Pix2Pix 和 </w:t>
      </w:r>
      <w:proofErr w:type="spellStart"/>
      <w:r w:rsidRPr="00D440B8">
        <w:t>CycleGAN</w:t>
      </w:r>
      <w:proofErr w:type="spellEnd"/>
      <w:r w:rsidRPr="00D440B8">
        <w:t>，通过生成器与</w:t>
      </w:r>
      <w:proofErr w:type="gramStart"/>
      <w:r w:rsidRPr="00D440B8">
        <w:t>判别器</w:t>
      </w:r>
      <w:proofErr w:type="gramEnd"/>
      <w:r w:rsidRPr="00D440B8">
        <w:t>的博弈来学习图像域之间的映射关系</w:t>
      </w:r>
      <w:r w:rsidR="004A21BF" w:rsidRPr="004A21BF">
        <w:rPr>
          <w:rFonts w:hint="eastAsia"/>
        </w:rPr>
        <w:t>[5</w:t>
      </w:r>
      <w:r w:rsidR="004A21BF">
        <w:rPr>
          <w:rFonts w:hint="eastAsia"/>
        </w:rPr>
        <w:t>]</w:t>
      </w:r>
      <w:r w:rsidRPr="00D440B8">
        <w:t>。然而，GANs 存在模式崩塌（Mode Collapse）和训练不稳定的固有缺陷</w:t>
      </w:r>
      <w:r w:rsidR="004A21BF">
        <w:rPr>
          <w:rFonts w:hint="eastAsia"/>
        </w:rPr>
        <w:t>[6]</w:t>
      </w:r>
      <w:r w:rsidRPr="00D440B8">
        <w:t>，难以处理古画中复杂的笔触纹理。</w:t>
      </w:r>
    </w:p>
    <w:p w14:paraId="5D1A9643" w14:textId="77777777" w:rsidR="00C44888" w:rsidRDefault="00D440B8" w:rsidP="00D440B8">
      <w:pPr>
        <w:rPr>
          <w:rFonts w:hint="eastAsia"/>
        </w:rPr>
      </w:pPr>
      <w:r w:rsidRPr="00D440B8">
        <w:t>近年来，扩散模型（Diffusion Models）逐渐成为主流。该类模型通过定义前向扩散过程（添加噪声）和</w:t>
      </w:r>
      <w:proofErr w:type="gramStart"/>
      <w:r w:rsidRPr="00D440B8">
        <w:t>反向去噪</w:t>
      </w:r>
      <w:proofErr w:type="gramEnd"/>
      <w:r w:rsidRPr="00D440B8">
        <w:t xml:space="preserve">过程（恢复图像）来生成高质量图像。以潜在扩散模型（Latent Diffusion Models, LDM）为例，其训练目标通常简化为预测添加的噪声 </w:t>
      </w:r>
      <m:oMath>
        <m:r>
          <m:rPr>
            <m:sty m:val="p"/>
          </m:rPr>
          <w:rPr>
            <w:rFonts w:ascii="Cambria Math" w:hAnsi="Cambria Math"/>
          </w:rPr>
          <m:t>ϵ</m:t>
        </m:r>
      </m:oMath>
      <w:r w:rsidRPr="00D440B8">
        <w:t>，损失函数定义为：</w:t>
      </w:r>
    </w:p>
    <w:p w14:paraId="3076A17A" w14:textId="76657985" w:rsidR="00D440B8" w:rsidRPr="002550D3" w:rsidRDefault="00000000" w:rsidP="00D440B8">
      <w:pPr>
        <w:rPr>
          <w:rFonts w:hint="eastAsia"/>
          <w:b/>
          <w:bCs/>
        </w:rPr>
      </w:pPr>
      <m:oMathPara>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simple</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x,</m:t>
              </m:r>
              <m:r>
                <m:rPr>
                  <m:sty m:val="b"/>
                </m:rPr>
                <w:rPr>
                  <w:rFonts w:ascii="Cambria Math" w:hAnsi="Cambria Math"/>
                </w:rPr>
                <m:t>ϵ</m:t>
              </m:r>
              <m:r>
                <m:rPr>
                  <m:sty m:val="b"/>
                </m:rPr>
                <w:rPr>
                  <w:rFonts w:ascii="Cambria Math" w:hAnsi="Cambria Math" w:cs="Cambria Math"/>
                </w:rPr>
                <m:t>∼</m:t>
              </m:r>
              <m:r>
                <m:rPr>
                  <m:scr m:val="double-struck"/>
                  <m:sty m:val="bi"/>
                </m:rPr>
                <w:rPr>
                  <w:rFonts w:ascii="Cambria Math" w:hAnsi="Cambria Math"/>
                </w:rPr>
                <m:t>N</m:t>
              </m:r>
              <m:d>
                <m:dPr>
                  <m:ctrlPr>
                    <w:rPr>
                      <w:rFonts w:ascii="Cambria Math" w:hAnsi="Cambria Math"/>
                      <w:b/>
                      <w:bCs/>
                      <w:i/>
                    </w:rPr>
                  </m:ctrlPr>
                </m:dPr>
                <m:e>
                  <m:r>
                    <m:rPr>
                      <m:scr m:val="double-struck"/>
                      <m:sty m:val="bi"/>
                    </m:rPr>
                    <w:rPr>
                      <w:rFonts w:ascii="Cambria Math" w:hAnsi="Cambria Math"/>
                    </w:rPr>
                    <m:t>0,1</m:t>
                  </m:r>
                </m:e>
              </m:d>
              <m:r>
                <m:rPr>
                  <m:sty m:val="bi"/>
                </m:rPr>
                <w:rPr>
                  <w:rFonts w:ascii="Cambria Math" w:hAnsi="Cambria Math"/>
                </w:rPr>
                <m:t>,t</m:t>
              </m:r>
            </m:sub>
          </m:sSub>
          <m:d>
            <m:dPr>
              <m:begChr m:val="["/>
              <m:endChr m:val="]"/>
              <m:ctrlPr>
                <w:rPr>
                  <w:rFonts w:ascii="Cambria Math" w:hAnsi="Cambria Math"/>
                  <w:b/>
                  <w:bCs/>
                </w:rPr>
              </m:ctrlPr>
            </m:dPr>
            <m:e>
              <m:r>
                <m:rPr>
                  <m:lit/>
                  <m:sty m:val="bi"/>
                </m:rPr>
                <w:rPr>
                  <w:rFonts w:ascii="Cambria Math" w:hAnsi="Cambria Math"/>
                </w:rPr>
                <m:t>|</m:t>
              </m:r>
              <m:r>
                <m:rPr>
                  <m:sty m:val="b"/>
                </m:rPr>
                <w:rPr>
                  <w:rFonts w:ascii="Cambria Math" w:hAnsi="Cambria Math"/>
                </w:rPr>
                <m:t>ϵ</m:t>
              </m:r>
              <m:r>
                <m:rPr>
                  <m:sty m:val="bi"/>
                </m:rPr>
                <w:rPr>
                  <w:rFonts w:ascii="Cambria Math" w:hAnsi="Cambria Math"/>
                </w:rPr>
                <m:t>-</m:t>
              </m:r>
              <m:sSub>
                <m:sSubPr>
                  <m:ctrlPr>
                    <w:rPr>
                      <w:rFonts w:ascii="Cambria Math" w:hAnsi="Cambria Math"/>
                      <w:b/>
                      <w:bCs/>
                      <w:i/>
                    </w:rPr>
                  </m:ctrlPr>
                </m:sSubPr>
                <m:e>
                  <m:r>
                    <m:rPr>
                      <m:sty m:val="b"/>
                    </m:rPr>
                    <w:rPr>
                      <w:rFonts w:ascii="Cambria Math" w:hAnsi="Cambria Math"/>
                    </w:rPr>
                    <m:t>ϵ</m:t>
                  </m:r>
                </m:e>
                <m:sub>
                  <m:r>
                    <m:rPr>
                      <m:sty m:val="b"/>
                    </m:rPr>
                    <w:rPr>
                      <w:rFonts w:ascii="Cambria Math" w:hAnsi="Cambria Math"/>
                    </w:rPr>
                    <m:t>θ</m:t>
                  </m:r>
                </m:sub>
              </m:sSub>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,t</m:t>
                  </m:r>
                </m:e>
              </m:d>
              <m:sSup>
                <m:sSupPr>
                  <m:ctrlPr>
                    <w:rPr>
                      <w:rFonts w:ascii="Cambria Math" w:hAnsi="Cambria Math"/>
                      <w:b/>
                      <w:bCs/>
                      <w:i/>
                    </w:rPr>
                  </m:ctrlPr>
                </m:sSupPr>
                <m:e>
                  <m:r>
                    <m:rPr>
                      <m:lit/>
                      <m:sty m:val="bi"/>
                    </m:rPr>
                    <w:rPr>
                      <w:rFonts w:ascii="Cambria Math" w:hAnsi="Cambria Math"/>
                    </w:rPr>
                    <m:t>|</m:t>
                  </m:r>
                </m:e>
                <m:sup>
                  <m:r>
                    <m:rPr>
                      <m:sty m:val="bi"/>
                    </m:rPr>
                    <w:rPr>
                      <w:rFonts w:ascii="Cambria Math" w:hAnsi="Cambria Math"/>
                    </w:rPr>
                    <m:t>2</m:t>
                  </m:r>
                </m:sup>
              </m:sSup>
              <m:ctrlPr>
                <w:rPr>
                  <w:rFonts w:ascii="Cambria Math" w:hAnsi="Cambria Math"/>
                  <w:b/>
                  <w:bCs/>
                  <w:i/>
                </w:rPr>
              </m:ctrlPr>
            </m:e>
          </m:d>
        </m:oMath>
      </m:oMathPara>
    </w:p>
    <w:p w14:paraId="521D8B57" w14:textId="278C483D" w:rsidR="00D440B8" w:rsidRPr="00D440B8" w:rsidRDefault="00D440B8" w:rsidP="00D440B8">
      <w:pPr>
        <w:rPr>
          <w:rFonts w:hint="eastAsia"/>
        </w:rPr>
      </w:pPr>
      <w:r w:rsidRPr="00D440B8">
        <w:t>这种机制使得模型能够生成多样性更高、细节更丰富的图像 [</w:t>
      </w:r>
      <w:r w:rsidR="000C0076">
        <w:rPr>
          <w:rFonts w:hint="eastAsia"/>
        </w:rPr>
        <w:t>7</w:t>
      </w:r>
      <w:r w:rsidRPr="00D440B8">
        <w:t>]。尽管如此，通用的大模型往往基于自然图像训练，缺乏对中国传统绘画“散点透视”结构与“矿物颜料”呈色机理的理解。研究者正在尝试将领域知识（Domain Knowledge）注入模型，以实现更可控的生成与修复。</w:t>
      </w:r>
    </w:p>
    <w:p w14:paraId="52776BC6" w14:textId="77777777" w:rsidR="00D440B8" w:rsidRPr="00D440B8" w:rsidRDefault="00D440B8" w:rsidP="00D440B8">
      <w:pPr>
        <w:rPr>
          <w:rFonts w:hint="eastAsia"/>
        </w:rPr>
      </w:pPr>
      <w:r w:rsidRPr="00D440B8">
        <w:rPr>
          <w:b/>
          <w:bCs/>
        </w:rPr>
        <w:t>[建议插入图片3：扩散模型（Diffusion Model）在古画修复中的原理解析图]</w:t>
      </w:r>
    </w:p>
    <w:p w14:paraId="4A6E60F2" w14:textId="77777777" w:rsidR="00D440B8" w:rsidRPr="00D440B8" w:rsidRDefault="00D440B8" w:rsidP="00D440B8">
      <w:pPr>
        <w:numPr>
          <w:ilvl w:val="0"/>
          <w:numId w:val="5"/>
        </w:numPr>
        <w:rPr>
          <w:rFonts w:hint="eastAsia"/>
        </w:rPr>
      </w:pPr>
      <w:r w:rsidRPr="00D440B8">
        <w:rPr>
          <w:b/>
          <w:bCs/>
        </w:rPr>
        <w:t>图片内容描述</w:t>
      </w:r>
      <w:r w:rsidRPr="00D440B8">
        <w:t>：流程图形式。左侧为“褪色古画”，中间展示“加噪过程（Forward Diffusion）”变为纯噪声，再展示“反向去噪（Reverse Denoising）”过程，并在反向过程中加入“Text Condition（画论文本约束）”和“Physics Condition（颜料褪色模型）”两个模块，最终输出“修复画作”。</w:t>
      </w:r>
    </w:p>
    <w:p w14:paraId="078A11D6" w14:textId="77777777" w:rsidR="00D440B8" w:rsidRPr="00D440B8" w:rsidRDefault="00D440B8" w:rsidP="00D440B8">
      <w:pPr>
        <w:numPr>
          <w:ilvl w:val="0"/>
          <w:numId w:val="5"/>
        </w:numPr>
        <w:rPr>
          <w:rFonts w:hint="eastAsia"/>
        </w:rPr>
      </w:pPr>
      <w:r w:rsidRPr="00D440B8">
        <w:rPr>
          <w:b/>
          <w:bCs/>
        </w:rPr>
        <w:t>生成/查找建议</w:t>
      </w:r>
      <w:r w:rsidRPr="00D440B8">
        <w:t>：参考 LDM 论文架构图，使用 Visio 绘制，重点突出的创新点在于加入了文本和物理的双重 Condition。</w:t>
      </w:r>
    </w:p>
    <w:p w14:paraId="56DB0420" w14:textId="77777777" w:rsidR="00D440B8" w:rsidRPr="00D440B8" w:rsidRDefault="00D440B8" w:rsidP="00D440B8">
      <w:pPr>
        <w:rPr>
          <w:rFonts w:hint="eastAsia"/>
          <w:b/>
          <w:bCs/>
        </w:rPr>
      </w:pPr>
      <w:r w:rsidRPr="00D440B8">
        <w:rPr>
          <w:b/>
          <w:bCs/>
        </w:rPr>
        <w:t>1.2.2 古画色彩复原技术：双重注意力机制与物理先验的融合</w:t>
      </w:r>
    </w:p>
    <w:p w14:paraId="40141AF8" w14:textId="075355FE" w:rsidR="002550D3" w:rsidRDefault="00D440B8" w:rsidP="00D440B8">
      <w:pPr>
        <w:rPr>
          <w:rFonts w:hint="eastAsia"/>
        </w:rPr>
      </w:pPr>
      <w:r w:rsidRPr="00D440B8">
        <w:t>在古画色彩复原的垂直领域，研究重心已从简单的直方图匹配转向深度语义理解。针对复杂山水画的色彩重建，Wang 等人提出了一种基于</w:t>
      </w:r>
      <m:oMath>
        <m:r>
          <m:rPr>
            <m:sty m:val="b"/>
          </m:rPr>
          <w:rPr>
            <w:rFonts w:ascii="Cambria Math" w:hAnsi="Cambria Math"/>
          </w:rPr>
          <m:t>双池化注意力机制</m:t>
        </m:r>
        <m:d>
          <m:dPr>
            <m:begChr m:val="（"/>
            <m:endChr m:val="）"/>
            <m:ctrlPr>
              <w:rPr>
                <w:rFonts w:ascii="Cambria Math" w:hAnsi="Cambria Math"/>
                <w:b/>
                <w:bCs/>
                <w:iCs/>
              </w:rPr>
            </m:ctrlPr>
          </m:dPr>
          <m:e>
            <m:r>
              <m:rPr>
                <m:sty m:val="b"/>
              </m:rPr>
              <w:rPr>
                <w:rFonts w:ascii="Cambria Math" w:hAnsi="Cambria Math"/>
              </w:rPr>
              <m:t>DualPoolingAttention</m:t>
            </m:r>
          </m:e>
        </m:d>
        <m:r>
          <m:rPr>
            <m:sty m:val="b"/>
          </m:rPr>
          <w:rPr>
            <w:rFonts w:ascii="Cambria Math" w:hAnsi="Cambria Math"/>
          </w:rPr>
          <m:t>和像素自适应卷积</m:t>
        </m:r>
        <m:d>
          <m:dPr>
            <m:begChr m:val="（"/>
            <m:endChr m:val="）"/>
            <m:ctrlPr>
              <w:rPr>
                <w:rFonts w:ascii="Cambria Math" w:hAnsi="Cambria Math"/>
                <w:b/>
                <w:bCs/>
                <w:iCs/>
              </w:rPr>
            </m:ctrlPr>
          </m:dPr>
          <m:e>
            <m:r>
              <m:rPr>
                <m:sty m:val="b"/>
              </m:rPr>
              <w:rPr>
                <w:rFonts w:ascii="Cambria Math" w:hAnsi="Cambria Math"/>
              </w:rPr>
              <m:t>PixelAdaptiveConvolution,PAC</m:t>
            </m:r>
          </m:e>
        </m:d>
      </m:oMath>
      <w:r w:rsidRPr="00D440B8">
        <w:t>的创新网络架构 [</w:t>
      </w:r>
      <w:r w:rsidR="000C0076">
        <w:rPr>
          <w:rFonts w:hint="eastAsia"/>
        </w:rPr>
        <w:t>8</w:t>
      </w:r>
      <w:r w:rsidRPr="00D440B8">
        <w:t>]。该方法的核心在于通过注意力机制捕捉全局上下文信息，其注意力特征图的计算公式如下：</w:t>
      </w:r>
    </w:p>
    <w:p w14:paraId="7014EEB5" w14:textId="2FF62642" w:rsidR="00D440B8" w:rsidRPr="002550D3" w:rsidRDefault="00000000" w:rsidP="00D440B8">
      <w:pPr>
        <w:rPr>
          <w:rFonts w:hint="eastAsia"/>
          <w:b/>
          <w:bCs/>
        </w:rPr>
      </w:pPr>
      <m:oMathPara>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out</m:t>
              </m:r>
            </m:sub>
          </m:sSub>
          <m:r>
            <m:rPr>
              <m:sty m:val="bi"/>
            </m:rPr>
            <w:rPr>
              <w:rFonts w:ascii="Cambria Math" w:hAnsi="Cambria Math"/>
            </w:rPr>
            <m:t>=</m:t>
          </m:r>
          <m:r>
            <m:rPr>
              <m:nor/>
            </m:rPr>
            <w:rPr>
              <w:rFonts w:ascii="Cambria Math" w:hAnsi="Cambria Math"/>
              <w:b/>
              <w:bCs/>
            </w:rPr>
            <m:t>Softmax</m:t>
          </m:r>
          <m:d>
            <m:dPr>
              <m:ctrlPr>
                <w:rPr>
                  <w:rFonts w:ascii="Cambria Math" w:hAnsi="Cambria Math"/>
                  <w:b/>
                  <w:bCs/>
                  <w:i/>
                </w:rPr>
              </m:ctrlPr>
            </m:dPr>
            <m:e>
              <m:r>
                <m:rPr>
                  <m:sty m:val="bi"/>
                </m:rPr>
                <w:rPr>
                  <w:rFonts w:ascii="Cambria Math" w:hAnsi="Cambria Math"/>
                </w:rPr>
                <m:t>A</m:t>
              </m:r>
            </m:e>
          </m:d>
          <m:r>
            <m:rPr>
              <m:sty m:val="b"/>
            </m:rPr>
            <w:rPr>
              <w:rFonts w:ascii="Cambria Math" w:hAnsi="Cambria Math"/>
            </w:rPr>
            <m:t>⋅</m:t>
          </m:r>
          <m:r>
            <m:rPr>
              <m:sty m:val="bi"/>
            </m:rPr>
            <w:rPr>
              <w:rFonts w:ascii="Cambria Math" w:hAnsi="Cambria Math"/>
            </w:rPr>
            <m:t>V</m:t>
          </m:r>
        </m:oMath>
      </m:oMathPara>
    </w:p>
    <w:p w14:paraId="6E169727" w14:textId="1A7613C0" w:rsidR="00D440B8" w:rsidRPr="002550D3" w:rsidRDefault="00D440B8" w:rsidP="00D440B8">
      <w:pPr>
        <w:rPr>
          <w:rFonts w:hint="eastAsia"/>
        </w:rPr>
      </w:pPr>
      <w:r w:rsidRPr="00D440B8">
        <w:t xml:space="preserve">其中 </w:t>
      </w:r>
      <m:oMath>
        <m:r>
          <w:rPr>
            <w:rFonts w:ascii="Cambria Math" w:hAnsi="Cambria Math"/>
          </w:rPr>
          <m:t>A</m:t>
        </m:r>
      </m:oMath>
      <w:r w:rsidRPr="00D440B8">
        <w:t xml:space="preserve"> 代表注意力图，</w:t>
      </w:r>
      <m:oMath>
        <m:r>
          <w:rPr>
            <w:rFonts w:ascii="Cambria Math" w:hAnsi="Cambria Math"/>
          </w:rPr>
          <m:t>V</m:t>
        </m:r>
      </m:oMath>
      <w:r w:rsidRPr="00D440B8">
        <w:t xml:space="preserve"> 代表数值特征。该方法通过捕捉图像中的长距离上下文信息，有效地解决了山水画中色彩斑驳不均的问题。</w:t>
      </w:r>
    </w:p>
    <w:p w14:paraId="73B1A7AE" w14:textId="77777777" w:rsidR="00D440B8" w:rsidRPr="00D440B8" w:rsidRDefault="00D440B8" w:rsidP="00D440B8">
      <w:pPr>
        <w:rPr>
          <w:rFonts w:hint="eastAsia"/>
        </w:rPr>
      </w:pPr>
      <w:r w:rsidRPr="00D440B8">
        <w:t>尽管技术手段日益精进，但现有的算法大多仅利用图像本身的像素信息（Pixel-level），忽略了外部知识的指导作用。中国传统绘画的色彩不仅是物理现象，更是文化符号，缺乏将“颜料物理模型”与“画论文本语义”相结合的多模态修复框架是当前的学术空白。</w:t>
      </w:r>
    </w:p>
    <w:p w14:paraId="017AA970" w14:textId="77777777" w:rsidR="00D440B8" w:rsidRPr="00D440B8" w:rsidRDefault="00D440B8" w:rsidP="00D440B8">
      <w:pPr>
        <w:rPr>
          <w:rFonts w:hint="eastAsia"/>
          <w:b/>
          <w:bCs/>
        </w:rPr>
      </w:pPr>
      <w:r w:rsidRPr="00D440B8">
        <w:rPr>
          <w:b/>
          <w:bCs/>
        </w:rPr>
        <w:lastRenderedPageBreak/>
        <w:t>1.2.3 数据集建设现状：多模态语义对齐的缺失</w:t>
      </w:r>
    </w:p>
    <w:p w14:paraId="59C2DE77" w14:textId="125128EC" w:rsidR="00D440B8" w:rsidRPr="00D440B8" w:rsidRDefault="00D440B8" w:rsidP="00D440B8">
      <w:pPr>
        <w:rPr>
          <w:rFonts w:hint="eastAsia"/>
        </w:rPr>
      </w:pPr>
      <w:r w:rsidRPr="00D440B8">
        <w:t>数据集的质量与标注粒度直接决定了 AI 模型的理解能力。</w:t>
      </w:r>
      <w:r w:rsidR="00C823B1" w:rsidRPr="00C823B1">
        <w:t>Microsoft COCO 数据集</w:t>
      </w:r>
      <w:r w:rsidR="00C823B1" w:rsidRPr="00C823B1">
        <w:rPr>
          <w:b/>
          <w:bCs/>
        </w:rPr>
        <w:t>“在目标检测、实例分割、关键点检测等任务上，确立了行业通用的评测标准（benchmark）和评价体系”</w:t>
      </w:r>
      <w:r w:rsidR="00C823B1" w:rsidRPr="00C823B1">
        <w:t xml:space="preserve"> </w:t>
      </w:r>
      <w:r w:rsidR="00C823B1" w:rsidRPr="00D440B8">
        <w:t>[</w:t>
      </w:r>
      <w:r w:rsidR="00C823B1">
        <w:rPr>
          <w:rFonts w:hint="eastAsia"/>
        </w:rPr>
        <w:t>9</w:t>
      </w:r>
      <w:r w:rsidR="00C823B1" w:rsidRPr="00D440B8">
        <w:t>]</w:t>
      </w:r>
      <w:r w:rsidR="00C823B1" w:rsidRPr="00C823B1">
        <w:t>，从而成为通用物体识别领域事实上的标准数据集</w:t>
      </w:r>
      <w:r w:rsidRPr="00D440B8">
        <w:t>，但在艺术领域，尤其是非摄影类的艺术数据上表现不佳。</w:t>
      </w:r>
    </w:p>
    <w:p w14:paraId="23DD5E97" w14:textId="77777777" w:rsidR="00D440B8" w:rsidRPr="00D440B8" w:rsidRDefault="00D440B8" w:rsidP="00D440B8">
      <w:pPr>
        <w:rPr>
          <w:rFonts w:hint="eastAsia"/>
        </w:rPr>
      </w:pPr>
      <w:r w:rsidRPr="00D440B8">
        <w:t>具体到中国画领域，现有的数据库主要侧重于近现代作品的数字化扫描，缺乏对五代宋元时期高古画作的深度标注。现有的标签体系往往停留在简单的分类（如“山水”、“花鸟”），未能将画作中的“颜料成分”（如石绿、赭石）、“技法风格”（如披麻</w:t>
      </w:r>
      <w:proofErr w:type="gramStart"/>
      <w:r w:rsidRPr="00D440B8">
        <w:t>皴</w:t>
      </w:r>
      <w:proofErr w:type="gramEnd"/>
      <w:r w:rsidRPr="00D440B8">
        <w:t>、斧劈</w:t>
      </w:r>
      <w:proofErr w:type="gramStart"/>
      <w:r w:rsidRPr="00D440B8">
        <w:t>皴</w:t>
      </w:r>
      <w:proofErr w:type="gramEnd"/>
      <w:r w:rsidRPr="00D440B8">
        <w:t>）与“意境描述”（如深远、平远）进行结构化的多模态对齐。</w:t>
      </w:r>
    </w:p>
    <w:p w14:paraId="7E82803F" w14:textId="40077D60" w:rsidR="00D440B8" w:rsidRPr="00D440B8" w:rsidRDefault="00D440B8" w:rsidP="00D440B8">
      <w:pPr>
        <w:rPr>
          <w:rFonts w:hint="eastAsia"/>
        </w:rPr>
      </w:pPr>
      <w:r w:rsidRPr="00D440B8">
        <w:t>Zhang 等人在综述中指出，高质量的文本-图像对齐是提升生成模型对特定文化理解能力的关键 [</w:t>
      </w:r>
      <w:r w:rsidR="000C0076">
        <w:rPr>
          <w:rFonts w:hint="eastAsia"/>
        </w:rPr>
        <w:t>10</w:t>
      </w:r>
      <w:r w:rsidRPr="00D440B8">
        <w:t>]。构建包含细粒度语义对齐的五代宋元青绿山水画数据集，是打破现有算法偏见、实现高保真虚拟修复的基础设施。</w:t>
      </w:r>
    </w:p>
    <w:p w14:paraId="6F7EF655" w14:textId="77777777" w:rsidR="00D440B8" w:rsidRPr="00D440B8" w:rsidRDefault="00D440B8" w:rsidP="00D440B8">
      <w:pPr>
        <w:rPr>
          <w:rFonts w:hint="eastAsia"/>
        </w:rPr>
      </w:pPr>
      <w:r w:rsidRPr="00D440B8">
        <w:rPr>
          <w:b/>
          <w:bCs/>
        </w:rPr>
        <w:t>[建议插入图片4：现有数据集与本项目拟建数据集的标签维度对比雷达图]</w:t>
      </w:r>
    </w:p>
    <w:p w14:paraId="74BD080C" w14:textId="77777777" w:rsidR="00D440B8" w:rsidRPr="00D440B8" w:rsidRDefault="00D440B8" w:rsidP="00D440B8">
      <w:pPr>
        <w:numPr>
          <w:ilvl w:val="0"/>
          <w:numId w:val="6"/>
        </w:numPr>
        <w:rPr>
          <w:rFonts w:hint="eastAsia"/>
        </w:rPr>
      </w:pPr>
      <w:r w:rsidRPr="00D440B8">
        <w:rPr>
          <w:b/>
          <w:bCs/>
        </w:rPr>
        <w:t>图片内容描述</w:t>
      </w:r>
      <w:r w:rsidRPr="00D440B8">
        <w:t>：绘制一个五维雷达图。五个维度分别为：年代覆盖度（Time Coverage）、颜料信息标注（Pigment Info）、画论语义关联（Semantic Alignment）、修复前后对比（Restoration Pair）、图像分辨率（Resolution）。</w:t>
      </w:r>
    </w:p>
    <w:p w14:paraId="12EAA73A" w14:textId="77777777" w:rsidR="00D440B8" w:rsidRPr="00D440B8" w:rsidRDefault="00D440B8" w:rsidP="00D440B8">
      <w:pPr>
        <w:numPr>
          <w:ilvl w:val="0"/>
          <w:numId w:val="6"/>
        </w:numPr>
        <w:rPr>
          <w:rFonts w:hint="eastAsia"/>
        </w:rPr>
      </w:pPr>
      <w:r w:rsidRPr="00D440B8">
        <w:rPr>
          <w:b/>
          <w:bCs/>
        </w:rPr>
        <w:t>数据对比</w:t>
      </w:r>
      <w:r w:rsidRPr="00D440B8">
        <w:t>：设置两条线，蓝色代表“现有数据集（如 COCO/BAM!）”，在“年代”和“颜料”维度得分极低；红色代表“本项目数据集”，呈现全覆盖的饱满五边形。</w:t>
      </w:r>
    </w:p>
    <w:p w14:paraId="4F1E2114" w14:textId="77777777" w:rsidR="00D440B8" w:rsidRPr="00D440B8" w:rsidRDefault="00D440B8" w:rsidP="00D440B8">
      <w:pPr>
        <w:rPr>
          <w:rFonts w:hint="eastAsia"/>
          <w:b/>
          <w:bCs/>
        </w:rPr>
      </w:pPr>
      <w:r w:rsidRPr="00D440B8">
        <w:rPr>
          <w:b/>
          <w:bCs/>
        </w:rPr>
        <w:t>1.3 应用前景</w:t>
      </w:r>
    </w:p>
    <w:p w14:paraId="51E7E145" w14:textId="77777777" w:rsidR="00D440B8" w:rsidRPr="00D440B8" w:rsidRDefault="00D440B8" w:rsidP="00D440B8">
      <w:pPr>
        <w:rPr>
          <w:rFonts w:hint="eastAsia"/>
          <w:b/>
          <w:bCs/>
        </w:rPr>
      </w:pPr>
      <w:r w:rsidRPr="00D440B8">
        <w:rPr>
          <w:b/>
          <w:bCs/>
        </w:rPr>
        <w:t>1.3.1 赋能数字文博：从“静态展示”到“智能修复”</w:t>
      </w:r>
    </w:p>
    <w:p w14:paraId="47B9E836" w14:textId="77777777" w:rsidR="00D440B8" w:rsidRPr="00D440B8" w:rsidRDefault="00D440B8" w:rsidP="00D440B8">
      <w:pPr>
        <w:rPr>
          <w:rFonts w:hint="eastAsia"/>
        </w:rPr>
      </w:pPr>
      <w:r w:rsidRPr="00D440B8">
        <w:t>本项目构建的高保真修复数据，可直接应用于博物馆的数字化展陈与保护。通过“修复前 vs 修复后”的动态对比展示，不仅能让观众直观感受到千年前“青绿山水”的视觉震撼，还能普及文物保护知识。基于颜料褪色模型的数据预测，更可为文物保护部门提供“预防性保护”的决策依据，辅助专家预测画作未来的色彩演变趋势。</w:t>
      </w:r>
    </w:p>
    <w:p w14:paraId="420E38C8" w14:textId="77777777" w:rsidR="00D440B8" w:rsidRPr="00D440B8" w:rsidRDefault="00D440B8" w:rsidP="00D440B8">
      <w:pPr>
        <w:rPr>
          <w:rFonts w:hint="eastAsia"/>
          <w:b/>
          <w:bCs/>
        </w:rPr>
      </w:pPr>
      <w:r w:rsidRPr="00D440B8">
        <w:rPr>
          <w:b/>
          <w:bCs/>
        </w:rPr>
        <w:t>1.3.2 驱动 AIGC 产业：打造“国风”生成模型的核心引擎</w:t>
      </w:r>
    </w:p>
    <w:p w14:paraId="36A53057" w14:textId="77777777" w:rsidR="00D440B8" w:rsidRPr="00D440B8" w:rsidRDefault="00D440B8" w:rsidP="00D440B8">
      <w:pPr>
        <w:rPr>
          <w:rFonts w:hint="eastAsia"/>
        </w:rPr>
      </w:pPr>
      <w:r w:rsidRPr="00D440B8">
        <w:t>在千亿级的 AIGC 市场中，具备纯正东方美学韵味的生成模型是稀缺资源。本项目提供的包含“颜料-风格-文化”多模态标签的高质量数据集，可作为微调（Fine-tuning）语料，用于训练专门的国风绘画大模型。本项目成果将极大地提升 AI 生成中国山水画的专业度与可控性，服务于游戏开发、影视制作、文创设计等数字创意产业。</w:t>
      </w:r>
    </w:p>
    <w:p w14:paraId="7A3C51B8" w14:textId="77777777" w:rsidR="00D440B8" w:rsidRPr="00D440B8" w:rsidRDefault="00D440B8" w:rsidP="00D440B8">
      <w:pPr>
        <w:rPr>
          <w:rFonts w:hint="eastAsia"/>
          <w:b/>
          <w:bCs/>
        </w:rPr>
      </w:pPr>
      <w:r w:rsidRPr="00D440B8">
        <w:rPr>
          <w:b/>
          <w:bCs/>
        </w:rPr>
        <w:t>1.3.3 支撑学术研究：美术史的“数据实证”新范式</w:t>
      </w:r>
    </w:p>
    <w:p w14:paraId="7717F10F" w14:textId="77777777" w:rsidR="00D440B8" w:rsidRDefault="00D440B8" w:rsidP="00D440B8">
      <w:pPr>
        <w:rPr>
          <w:rFonts w:hint="eastAsia"/>
        </w:rPr>
      </w:pPr>
      <w:r w:rsidRPr="00D440B8">
        <w:t>结构化的多模态数据将为美术史研究提供全新的量化视角。学者可以基于数据集，统计分析五代至宋元时期不同画家对石青、石绿的用色偏好演变，或利用计算机视觉技</w:t>
      </w:r>
      <w:r w:rsidRPr="00D440B8">
        <w:lastRenderedPageBreak/>
        <w:t>术量化研究“南北宗”山水画在色彩空间与构图模式上的差异。这将推动美术史研究从传统的“经验鉴赏”向“数据实证”转型，开辟数字人文研究的新领域。</w:t>
      </w:r>
    </w:p>
    <w:p w14:paraId="701A3776" w14:textId="5CCAC606" w:rsidR="00C44888" w:rsidRPr="00C44888" w:rsidRDefault="00C44888" w:rsidP="00C44888">
      <w:pPr>
        <w:rPr>
          <w:rFonts w:hint="eastAsia"/>
        </w:rPr>
      </w:pPr>
      <w:r w:rsidRPr="00C44888">
        <w:rPr>
          <w:b/>
          <w:bCs/>
        </w:rPr>
        <w:t>[建议插入图片</w:t>
      </w:r>
      <w:r>
        <w:rPr>
          <w:rFonts w:hint="eastAsia"/>
          <w:b/>
          <w:bCs/>
        </w:rPr>
        <w:t>5</w:t>
      </w:r>
      <w:r w:rsidRPr="00C44888">
        <w:rPr>
          <w:b/>
          <w:bCs/>
        </w:rPr>
        <w:t>：多场景应用前景概念图]</w:t>
      </w:r>
    </w:p>
    <w:p w14:paraId="38CE9085" w14:textId="77777777" w:rsidR="00C44888" w:rsidRPr="00C44888" w:rsidRDefault="00C44888" w:rsidP="00C44888">
      <w:pPr>
        <w:numPr>
          <w:ilvl w:val="0"/>
          <w:numId w:val="7"/>
        </w:numPr>
        <w:rPr>
          <w:rFonts w:hint="eastAsia"/>
        </w:rPr>
      </w:pPr>
      <w:r w:rsidRPr="00C44888">
        <w:rPr>
          <w:b/>
          <w:bCs/>
        </w:rPr>
        <w:t>图片内容描述</w:t>
      </w:r>
      <w:r w:rsidRPr="00C44888">
        <w:t>：图片分为三个板块。</w:t>
      </w:r>
    </w:p>
    <w:p w14:paraId="678B1275" w14:textId="77777777" w:rsidR="00C44888" w:rsidRPr="00C44888" w:rsidRDefault="00C44888" w:rsidP="00C44888">
      <w:pPr>
        <w:numPr>
          <w:ilvl w:val="1"/>
          <w:numId w:val="7"/>
        </w:numPr>
        <w:rPr>
          <w:rFonts w:hint="eastAsia"/>
        </w:rPr>
      </w:pPr>
      <w:r w:rsidRPr="00C44888">
        <w:rPr>
          <w:b/>
          <w:bCs/>
        </w:rPr>
        <w:t>左侧（博物馆场景）</w:t>
      </w:r>
      <w:r w:rsidRPr="00C44888">
        <w:t>：展示一个交互式大屏，观众正在滑动查看一幅古画的修复过程。</w:t>
      </w:r>
    </w:p>
    <w:p w14:paraId="5D501208" w14:textId="77777777" w:rsidR="00C44888" w:rsidRPr="00C44888" w:rsidRDefault="00C44888" w:rsidP="00C44888">
      <w:pPr>
        <w:numPr>
          <w:ilvl w:val="1"/>
          <w:numId w:val="7"/>
        </w:numPr>
        <w:rPr>
          <w:rFonts w:hint="eastAsia"/>
        </w:rPr>
      </w:pPr>
      <w:r w:rsidRPr="00C44888">
        <w:rPr>
          <w:b/>
          <w:bCs/>
        </w:rPr>
        <w:t>右上（AIGC 场景）</w:t>
      </w:r>
      <w:r w:rsidRPr="00C44888">
        <w:t>：展示一个 AI 绘画软件界面（类似 Stable Diffusion），用户输入“宋代青绿山水”，生成的图片风格纯正，不再有油画感。</w:t>
      </w:r>
    </w:p>
    <w:p w14:paraId="63D09C96" w14:textId="77777777" w:rsidR="00C44888" w:rsidRPr="00C44888" w:rsidRDefault="00C44888" w:rsidP="00C44888">
      <w:pPr>
        <w:numPr>
          <w:ilvl w:val="1"/>
          <w:numId w:val="7"/>
        </w:numPr>
        <w:rPr>
          <w:rFonts w:hint="eastAsia"/>
        </w:rPr>
      </w:pPr>
      <w:r w:rsidRPr="00C44888">
        <w:rPr>
          <w:b/>
          <w:bCs/>
        </w:rPr>
        <w:t>右下（学术研究场景）</w:t>
      </w:r>
      <w:r w:rsidRPr="00C44888">
        <w:t>：展示一个数据可视化图表，分析不同朝代青绿颜料的使用频率演变。</w:t>
      </w:r>
    </w:p>
    <w:p w14:paraId="551424F8" w14:textId="77777777" w:rsidR="00C44888" w:rsidRPr="00C44888" w:rsidRDefault="00C44888" w:rsidP="00C44888">
      <w:pPr>
        <w:numPr>
          <w:ilvl w:val="0"/>
          <w:numId w:val="7"/>
        </w:numPr>
        <w:rPr>
          <w:rFonts w:hint="eastAsia"/>
        </w:rPr>
      </w:pPr>
      <w:r w:rsidRPr="00C44888">
        <w:rPr>
          <w:b/>
          <w:bCs/>
        </w:rPr>
        <w:t>生成/查找建议</w:t>
      </w:r>
      <w:r w:rsidRPr="00C44888">
        <w:t xml:space="preserve">：可以使用 PPT 拼贴素材，或者使用 Midjourney 生成“interactive museum display of ancient </w:t>
      </w:r>
      <w:proofErr w:type="spellStart"/>
      <w:r w:rsidRPr="00C44888">
        <w:t>chinese</w:t>
      </w:r>
      <w:proofErr w:type="spellEnd"/>
      <w:r w:rsidRPr="00C44888">
        <w:t xml:space="preserve"> painting”和“AI art generator interface”等素材进行合成。</w:t>
      </w:r>
    </w:p>
    <w:p w14:paraId="63419D1E" w14:textId="77777777" w:rsidR="00C44888" w:rsidRPr="00C44888" w:rsidRDefault="00C44888" w:rsidP="00D440B8">
      <w:pPr>
        <w:rPr>
          <w:rFonts w:hint="eastAsia"/>
        </w:rPr>
      </w:pPr>
    </w:p>
    <w:p w14:paraId="6C87B7F8" w14:textId="77777777" w:rsidR="00D440B8" w:rsidRPr="00D440B8" w:rsidRDefault="00000000" w:rsidP="00D440B8">
      <w:pPr>
        <w:rPr>
          <w:rFonts w:hint="eastAsia"/>
        </w:rPr>
      </w:pPr>
      <w:r>
        <w:pict w14:anchorId="3FB9D9CF">
          <v:rect id="_x0000_i1025" style="width:0;height:1.5pt" o:hralign="center" o:hrstd="t" o:hrnoshade="t" o:hr="t" fillcolor="#1f1f1f" stroked="f"/>
        </w:pict>
      </w:r>
    </w:p>
    <w:p w14:paraId="2DA9981C" w14:textId="77777777" w:rsidR="00D440B8" w:rsidRPr="00D440B8" w:rsidRDefault="00D440B8" w:rsidP="00D440B8">
      <w:pPr>
        <w:rPr>
          <w:rFonts w:hint="eastAsia"/>
          <w:b/>
          <w:bCs/>
        </w:rPr>
      </w:pPr>
      <w:r w:rsidRPr="00D440B8">
        <w:rPr>
          <w:b/>
          <w:bCs/>
        </w:rPr>
        <w:t>参考文献</w:t>
      </w:r>
    </w:p>
    <w:p w14:paraId="5E3D3D1E" w14:textId="77777777" w:rsidR="00D440B8" w:rsidRPr="00D440B8" w:rsidRDefault="00D440B8" w:rsidP="00D440B8">
      <w:pPr>
        <w:rPr>
          <w:rFonts w:hint="eastAsia"/>
        </w:rPr>
      </w:pPr>
      <w:r w:rsidRPr="00D440B8">
        <w:t xml:space="preserve">[1] Wang T D, et al. “BAM! The </w:t>
      </w:r>
      <w:proofErr w:type="spellStart"/>
      <w:r w:rsidRPr="00D440B8">
        <w:t>Behance</w:t>
      </w:r>
      <w:proofErr w:type="spellEnd"/>
      <w:r w:rsidRPr="00D440B8">
        <w:t xml:space="preserve"> Artistic Media Dataset for Recognition Beyond Photography”.</w:t>
      </w:r>
    </w:p>
    <w:p w14:paraId="6E5E84A8" w14:textId="77777777" w:rsidR="00D440B8" w:rsidRPr="00D440B8" w:rsidRDefault="00D440B8" w:rsidP="00D440B8">
      <w:pPr>
        <w:rPr>
          <w:rFonts w:hint="eastAsia"/>
        </w:rPr>
      </w:pPr>
      <w:r w:rsidRPr="00D440B8">
        <w:t xml:space="preserve">In: Proceedings of the IEEE/CVF Conference on Computer Vision and Pattern Recognition (CVPR). 2020. </w:t>
      </w:r>
      <w:proofErr w:type="spellStart"/>
      <w:r w:rsidRPr="00D440B8">
        <w:t>doi</w:t>
      </w:r>
      <w:proofErr w:type="spellEnd"/>
      <w:r w:rsidRPr="00D440B8">
        <w:t>: 10.1109/CVPR42600.2020.00949.</w:t>
      </w:r>
    </w:p>
    <w:p w14:paraId="3B141C4A" w14:textId="77777777" w:rsidR="00D440B8" w:rsidRPr="00D440B8" w:rsidRDefault="00D440B8" w:rsidP="00D440B8">
      <w:pPr>
        <w:rPr>
          <w:rFonts w:hint="eastAsia"/>
        </w:rPr>
      </w:pPr>
      <w:r w:rsidRPr="00D440B8">
        <w:t xml:space="preserve">[2] Pan Y, Gao X, Li Y, et al. “Deep learning algorithm in ancient relics image </w:t>
      </w:r>
      <w:proofErr w:type="spellStart"/>
      <w:r w:rsidRPr="00D440B8">
        <w:t>colour</w:t>
      </w:r>
      <w:proofErr w:type="spellEnd"/>
      <w:r w:rsidRPr="00D440B8">
        <w:t xml:space="preserve"> restoration”.</w:t>
      </w:r>
    </w:p>
    <w:p w14:paraId="0D8E1515" w14:textId="77777777" w:rsidR="00D440B8" w:rsidRPr="00D440B8" w:rsidRDefault="00D440B8" w:rsidP="00D440B8">
      <w:pPr>
        <w:rPr>
          <w:rFonts w:hint="eastAsia"/>
        </w:rPr>
      </w:pPr>
      <w:r w:rsidRPr="00D440B8">
        <w:t xml:space="preserve">In: Optik, 203 (2020): 163908. </w:t>
      </w:r>
      <w:proofErr w:type="spellStart"/>
      <w:r w:rsidRPr="00D440B8">
        <w:t>doi</w:t>
      </w:r>
      <w:proofErr w:type="spellEnd"/>
      <w:r w:rsidRPr="00D440B8">
        <w:t>: 10.1016/j.ijleo.2019.163908.</w:t>
      </w:r>
    </w:p>
    <w:p w14:paraId="1ECB8413" w14:textId="77777777" w:rsidR="00D440B8" w:rsidRPr="00D440B8" w:rsidRDefault="00D440B8" w:rsidP="00D440B8">
      <w:pPr>
        <w:rPr>
          <w:rFonts w:hint="eastAsia"/>
        </w:rPr>
      </w:pPr>
      <w:r w:rsidRPr="00D440B8">
        <w:t xml:space="preserve">[3] Schuhmann C, Beaumont R, </w:t>
      </w:r>
      <w:proofErr w:type="spellStart"/>
      <w:r w:rsidRPr="00D440B8">
        <w:t>Vencu</w:t>
      </w:r>
      <w:proofErr w:type="spellEnd"/>
      <w:r w:rsidRPr="00D440B8">
        <w:t xml:space="preserve"> R, et al. “LAION-5B: An open large-scale dataset for training next generation image-text models”.</w:t>
      </w:r>
    </w:p>
    <w:p w14:paraId="00967E49" w14:textId="77777777" w:rsidR="00D440B8" w:rsidRPr="00D440B8" w:rsidRDefault="00D440B8" w:rsidP="00D440B8">
      <w:pPr>
        <w:rPr>
          <w:rFonts w:hint="eastAsia"/>
        </w:rPr>
      </w:pPr>
      <w:r w:rsidRPr="00D440B8">
        <w:t>In: Advances in Neural Information Processing Systems (</w:t>
      </w:r>
      <w:proofErr w:type="spellStart"/>
      <w:r w:rsidRPr="00D440B8">
        <w:t>NeurIPS</w:t>
      </w:r>
      <w:proofErr w:type="spellEnd"/>
      <w:r w:rsidRPr="00D440B8">
        <w:t>), 35 (2022): 25278-25294. url: https://arxiv.org/abs/2210.08402.</w:t>
      </w:r>
    </w:p>
    <w:p w14:paraId="28775E88" w14:textId="57F9B8E3" w:rsidR="00D440B8" w:rsidRPr="00D440B8" w:rsidRDefault="00D440B8" w:rsidP="00D440B8">
      <w:pPr>
        <w:rPr>
          <w:rFonts w:hint="eastAsia"/>
        </w:rPr>
      </w:pPr>
      <w:r w:rsidRPr="00D440B8">
        <w:t xml:space="preserve">[4] </w:t>
      </w:r>
      <w:r w:rsidR="001241C4" w:rsidRPr="001241C4">
        <w:t>B. Liu, L. Wang, C. Lyu, et al., “On the Cultural Gap in Text-to-Image Generation”, ECAI 2024.</w:t>
      </w:r>
    </w:p>
    <w:p w14:paraId="0672611A" w14:textId="77777777" w:rsidR="00D440B8" w:rsidRPr="00D440B8" w:rsidRDefault="00D440B8" w:rsidP="00D440B8">
      <w:pPr>
        <w:rPr>
          <w:rFonts w:hint="eastAsia"/>
        </w:rPr>
      </w:pPr>
      <w:r w:rsidRPr="00D440B8">
        <w:t xml:space="preserve">In: </w:t>
      </w:r>
      <w:proofErr w:type="spellStart"/>
      <w:r w:rsidRPr="00D440B8">
        <w:t>arXiv</w:t>
      </w:r>
      <w:proofErr w:type="spellEnd"/>
      <w:r w:rsidRPr="00D440B8">
        <w:t xml:space="preserve"> preprint arXiv:2309.00810 (2023). url: https://arxiv.org/abs/2309.00810.</w:t>
      </w:r>
    </w:p>
    <w:p w14:paraId="6D03CB51" w14:textId="77777777" w:rsidR="00D440B8" w:rsidRPr="00D440B8" w:rsidRDefault="00D440B8" w:rsidP="00D440B8">
      <w:pPr>
        <w:rPr>
          <w:rFonts w:hint="eastAsia"/>
        </w:rPr>
      </w:pPr>
      <w:r w:rsidRPr="00D440B8">
        <w:lastRenderedPageBreak/>
        <w:t>[5] Isola P, Zhu J Y, Zhou T, et al. “Image-to-image translation with conditional adversarial networks”.</w:t>
      </w:r>
    </w:p>
    <w:p w14:paraId="459BD2B5" w14:textId="77777777" w:rsidR="00D440B8" w:rsidRDefault="00D440B8" w:rsidP="00D440B8">
      <w:r w:rsidRPr="00D440B8">
        <w:t xml:space="preserve">In: Proceedings of the IEEE conference on computer vision and pattern recognition (CVPR). 2017: 1125-1134. </w:t>
      </w:r>
      <w:proofErr w:type="spellStart"/>
      <w:r w:rsidRPr="00D440B8">
        <w:t>doi</w:t>
      </w:r>
      <w:proofErr w:type="spellEnd"/>
      <w:r w:rsidRPr="00D440B8">
        <w:t>: 10.1109/CVPR.2017.632.</w:t>
      </w:r>
    </w:p>
    <w:p w14:paraId="24D74D68" w14:textId="587AACE0" w:rsidR="004A21BF" w:rsidRPr="004A21BF" w:rsidRDefault="004A21BF" w:rsidP="00D440B8">
      <w:pPr>
        <w:rPr>
          <w:rFonts w:hint="eastAsia"/>
        </w:rPr>
      </w:pPr>
      <w:r>
        <w:rPr>
          <w:rFonts w:hint="eastAsia"/>
        </w:rPr>
        <w:t>[6]</w:t>
      </w:r>
      <w:r w:rsidRPr="004A21BF">
        <w:rPr>
          <w:rFonts w:ascii="宋体" w:eastAsia="宋体" w:hAnsi="宋体" w:cs="宋体"/>
          <w:kern w:val="0"/>
          <w:sz w:val="24"/>
          <w14:ligatures w14:val="none"/>
        </w:rPr>
        <w:t xml:space="preserve"> </w:t>
      </w:r>
      <w:r w:rsidRPr="004A21BF">
        <w:t xml:space="preserve">Goodfellow, I., “NIPS 2016 Tutorial: Generative Adversarial Networks,” </w:t>
      </w:r>
      <w:proofErr w:type="spellStart"/>
      <w:r w:rsidRPr="004A21BF">
        <w:rPr>
          <w:i/>
          <w:iCs/>
        </w:rPr>
        <w:t>arXiv</w:t>
      </w:r>
      <w:proofErr w:type="spellEnd"/>
      <w:r w:rsidRPr="004A21BF">
        <w:rPr>
          <w:i/>
          <w:iCs/>
        </w:rPr>
        <w:t xml:space="preserve"> preprint arXiv:1701.00160</w:t>
      </w:r>
      <w:r w:rsidRPr="004A21BF">
        <w:t>, 2016.URL: https://arxiv.org/abs/1701.00160</w:t>
      </w:r>
    </w:p>
    <w:p w14:paraId="05EF37C2" w14:textId="3F59E45F" w:rsidR="00D440B8" w:rsidRPr="00D440B8" w:rsidRDefault="00D440B8" w:rsidP="00D440B8">
      <w:pPr>
        <w:rPr>
          <w:rFonts w:hint="eastAsia"/>
        </w:rPr>
      </w:pPr>
      <w:r w:rsidRPr="00D440B8">
        <w:t>[</w:t>
      </w:r>
      <w:r w:rsidR="004A21BF">
        <w:rPr>
          <w:rFonts w:hint="eastAsia"/>
        </w:rPr>
        <w:t>7</w:t>
      </w:r>
      <w:r w:rsidRPr="00D440B8">
        <w:t xml:space="preserve">] Rombach R, </w:t>
      </w:r>
      <w:proofErr w:type="spellStart"/>
      <w:r w:rsidRPr="00D440B8">
        <w:t>Blattmann</w:t>
      </w:r>
      <w:proofErr w:type="spellEnd"/>
      <w:r w:rsidRPr="00D440B8">
        <w:t xml:space="preserve"> A, Lorenz D, et al. “High-resolution image synthesis with latent diffusion models”.</w:t>
      </w:r>
    </w:p>
    <w:p w14:paraId="453AC453" w14:textId="77777777" w:rsidR="00D440B8" w:rsidRPr="00D440B8" w:rsidRDefault="00D440B8" w:rsidP="00D440B8">
      <w:pPr>
        <w:rPr>
          <w:rFonts w:hint="eastAsia"/>
        </w:rPr>
      </w:pPr>
      <w:r w:rsidRPr="00D440B8">
        <w:t xml:space="preserve">In: Proceedings of the IEEE/CVF conference on computer vision and pattern recognition (CVPR). 2022: 10684-10695. </w:t>
      </w:r>
      <w:proofErr w:type="spellStart"/>
      <w:r w:rsidRPr="00D440B8">
        <w:t>doi</w:t>
      </w:r>
      <w:proofErr w:type="spellEnd"/>
      <w:r w:rsidRPr="00D440B8">
        <w:t>: 10.1109/CVPR52688.2022.01042.</w:t>
      </w:r>
    </w:p>
    <w:p w14:paraId="7A8A7C7D" w14:textId="2E2C06BE" w:rsidR="00D440B8" w:rsidRPr="00D440B8" w:rsidRDefault="00D440B8" w:rsidP="00D440B8">
      <w:pPr>
        <w:rPr>
          <w:rFonts w:hint="eastAsia"/>
        </w:rPr>
      </w:pPr>
      <w:r w:rsidRPr="00D440B8">
        <w:t>[</w:t>
      </w:r>
      <w:r w:rsidR="004A21BF">
        <w:rPr>
          <w:rFonts w:hint="eastAsia"/>
        </w:rPr>
        <w:t>8</w:t>
      </w:r>
      <w:r w:rsidRPr="00D440B8">
        <w:t>] Wang X, Yu J, et al. “Color reconstruction of ancient paintings based on dual pooling attention and pixel adaptive convolution”.</w:t>
      </w:r>
    </w:p>
    <w:p w14:paraId="2DD6CD89" w14:textId="77777777" w:rsidR="00D440B8" w:rsidRPr="00D440B8" w:rsidRDefault="00D440B8" w:rsidP="00D440B8">
      <w:pPr>
        <w:rPr>
          <w:rFonts w:hint="eastAsia"/>
        </w:rPr>
      </w:pPr>
      <w:r w:rsidRPr="00D440B8">
        <w:t xml:space="preserve">In: Heritage Science, 10(1) (2022): 1-15. </w:t>
      </w:r>
      <w:proofErr w:type="spellStart"/>
      <w:r w:rsidRPr="00D440B8">
        <w:t>doi</w:t>
      </w:r>
      <w:proofErr w:type="spellEnd"/>
      <w:r w:rsidRPr="00D440B8">
        <w:t>: 10.1186/s40494-022-00665-3.</w:t>
      </w:r>
    </w:p>
    <w:p w14:paraId="2497B9A4" w14:textId="53E8CC26" w:rsidR="00D440B8" w:rsidRPr="00D440B8" w:rsidRDefault="00D440B8" w:rsidP="00D440B8">
      <w:pPr>
        <w:rPr>
          <w:rFonts w:hint="eastAsia"/>
        </w:rPr>
      </w:pPr>
      <w:r w:rsidRPr="00D440B8">
        <w:t>[</w:t>
      </w:r>
      <w:r w:rsidR="004A21BF">
        <w:rPr>
          <w:rFonts w:hint="eastAsia"/>
        </w:rPr>
        <w:t>9</w:t>
      </w:r>
      <w:r w:rsidRPr="00D440B8">
        <w:t>] Lin T Y, et al. “Microsoft COCO: Common Objects in Context”.</w:t>
      </w:r>
    </w:p>
    <w:p w14:paraId="6BB99D3F" w14:textId="77777777" w:rsidR="00D440B8" w:rsidRPr="00D440B8" w:rsidRDefault="00D440B8" w:rsidP="00D440B8">
      <w:pPr>
        <w:rPr>
          <w:rFonts w:hint="eastAsia"/>
        </w:rPr>
      </w:pPr>
      <w:r w:rsidRPr="00D440B8">
        <w:t xml:space="preserve">In: European Conference on Computer Vision (ECCV). Springer, Cham, 2014: 740-755. </w:t>
      </w:r>
      <w:proofErr w:type="spellStart"/>
      <w:r w:rsidRPr="00D440B8">
        <w:t>doi</w:t>
      </w:r>
      <w:proofErr w:type="spellEnd"/>
      <w:r w:rsidRPr="00D440B8">
        <w:t>: 10.1007/978-3-319-10602-1_48.</w:t>
      </w:r>
    </w:p>
    <w:p w14:paraId="4AD25D77" w14:textId="71BA07AE" w:rsidR="00D440B8" w:rsidRPr="00D440B8" w:rsidRDefault="00D440B8" w:rsidP="00D440B8">
      <w:pPr>
        <w:rPr>
          <w:rFonts w:hint="eastAsia"/>
        </w:rPr>
      </w:pPr>
      <w:r w:rsidRPr="00D440B8">
        <w:t>[</w:t>
      </w:r>
      <w:r w:rsidR="004A21BF">
        <w:rPr>
          <w:rFonts w:hint="eastAsia"/>
        </w:rPr>
        <w:t>10</w:t>
      </w:r>
      <w:r w:rsidRPr="00D440B8">
        <w:t>] Zhang J, et al. “Text to Image Generation and Editing: A Survey”.</w:t>
      </w:r>
    </w:p>
    <w:p w14:paraId="03588782" w14:textId="77777777" w:rsidR="00D440B8" w:rsidRPr="00D440B8" w:rsidRDefault="00D440B8" w:rsidP="00D440B8">
      <w:pPr>
        <w:rPr>
          <w:rFonts w:hint="eastAsia"/>
        </w:rPr>
      </w:pPr>
      <w:r w:rsidRPr="00D440B8">
        <w:t xml:space="preserve">In: IEEE Access, (2024). </w:t>
      </w:r>
      <w:proofErr w:type="spellStart"/>
      <w:r w:rsidRPr="00D440B8">
        <w:t>doi</w:t>
      </w:r>
      <w:proofErr w:type="spellEnd"/>
      <w:r w:rsidRPr="00D440B8">
        <w:t>: 10.1109/ACCESS.2024.3356987.</w:t>
      </w:r>
    </w:p>
    <w:p w14:paraId="399C4DD9" w14:textId="77777777" w:rsidR="000B21FD" w:rsidRPr="00D440B8" w:rsidRDefault="000B21FD">
      <w:pPr>
        <w:rPr>
          <w:rFonts w:hint="eastAsia"/>
        </w:rPr>
      </w:pPr>
    </w:p>
    <w:sectPr w:rsidR="000B21FD" w:rsidRPr="00D440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F8505" w14:textId="77777777" w:rsidR="00DE3840" w:rsidRDefault="00DE3840" w:rsidP="00D440B8">
      <w:pPr>
        <w:spacing w:after="0" w:line="240" w:lineRule="auto"/>
        <w:rPr>
          <w:rFonts w:hint="eastAsia"/>
        </w:rPr>
      </w:pPr>
      <w:r>
        <w:separator/>
      </w:r>
    </w:p>
  </w:endnote>
  <w:endnote w:type="continuationSeparator" w:id="0">
    <w:p w14:paraId="670321DD" w14:textId="77777777" w:rsidR="00DE3840" w:rsidRDefault="00DE3840" w:rsidP="00D440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7B9B" w14:textId="77777777" w:rsidR="00DE3840" w:rsidRDefault="00DE3840" w:rsidP="00D440B8">
      <w:pPr>
        <w:spacing w:after="0" w:line="240" w:lineRule="auto"/>
        <w:rPr>
          <w:rFonts w:hint="eastAsia"/>
        </w:rPr>
      </w:pPr>
      <w:r>
        <w:separator/>
      </w:r>
    </w:p>
  </w:footnote>
  <w:footnote w:type="continuationSeparator" w:id="0">
    <w:p w14:paraId="261A12EC" w14:textId="77777777" w:rsidR="00DE3840" w:rsidRDefault="00DE3840" w:rsidP="00D440B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506"/>
    <w:multiLevelType w:val="multilevel"/>
    <w:tmpl w:val="90C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63C5"/>
    <w:multiLevelType w:val="multilevel"/>
    <w:tmpl w:val="B63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606E4"/>
    <w:multiLevelType w:val="multilevel"/>
    <w:tmpl w:val="2220A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C1493"/>
    <w:multiLevelType w:val="multilevel"/>
    <w:tmpl w:val="034E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70736"/>
    <w:multiLevelType w:val="multilevel"/>
    <w:tmpl w:val="B24A4D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33CC3"/>
    <w:multiLevelType w:val="multilevel"/>
    <w:tmpl w:val="6A04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865A8B"/>
    <w:multiLevelType w:val="multilevel"/>
    <w:tmpl w:val="BC0E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383264">
    <w:abstractNumId w:val="5"/>
  </w:num>
  <w:num w:numId="2" w16cid:durableId="897935827">
    <w:abstractNumId w:val="2"/>
  </w:num>
  <w:num w:numId="3" w16cid:durableId="1394890958">
    <w:abstractNumId w:val="1"/>
  </w:num>
  <w:num w:numId="4" w16cid:durableId="739135129">
    <w:abstractNumId w:val="3"/>
  </w:num>
  <w:num w:numId="5" w16cid:durableId="1721051274">
    <w:abstractNumId w:val="0"/>
  </w:num>
  <w:num w:numId="6" w16cid:durableId="669020860">
    <w:abstractNumId w:val="6"/>
  </w:num>
  <w:num w:numId="7" w16cid:durableId="1489978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1FD"/>
    <w:rsid w:val="000B21FD"/>
    <w:rsid w:val="000C0076"/>
    <w:rsid w:val="001241C4"/>
    <w:rsid w:val="002550D3"/>
    <w:rsid w:val="004A21BF"/>
    <w:rsid w:val="0060351A"/>
    <w:rsid w:val="00871E5E"/>
    <w:rsid w:val="008D1099"/>
    <w:rsid w:val="00BF6A0D"/>
    <w:rsid w:val="00C44888"/>
    <w:rsid w:val="00C53F4B"/>
    <w:rsid w:val="00C823B1"/>
    <w:rsid w:val="00CD20FB"/>
    <w:rsid w:val="00D440B8"/>
    <w:rsid w:val="00DE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6ED3E"/>
  <w15:chartTrackingRefBased/>
  <w15:docId w15:val="{D8A7D04D-FDDD-49A9-BEEE-A65DF7EE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50D3"/>
    <w:pPr>
      <w:widowControl w:val="0"/>
    </w:pPr>
  </w:style>
  <w:style w:type="paragraph" w:styleId="1">
    <w:name w:val="heading 1"/>
    <w:basedOn w:val="a"/>
    <w:next w:val="a"/>
    <w:link w:val="10"/>
    <w:uiPriority w:val="9"/>
    <w:qFormat/>
    <w:rsid w:val="000B21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21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21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21F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21F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21F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21F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21F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21F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21F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21F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21F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21FD"/>
    <w:rPr>
      <w:rFonts w:cstheme="majorBidi"/>
      <w:color w:val="0F4761" w:themeColor="accent1" w:themeShade="BF"/>
      <w:sz w:val="28"/>
      <w:szCs w:val="28"/>
    </w:rPr>
  </w:style>
  <w:style w:type="character" w:customStyle="1" w:styleId="50">
    <w:name w:val="标题 5 字符"/>
    <w:basedOn w:val="a0"/>
    <w:link w:val="5"/>
    <w:uiPriority w:val="9"/>
    <w:semiHidden/>
    <w:rsid w:val="000B21FD"/>
    <w:rPr>
      <w:rFonts w:cstheme="majorBidi"/>
      <w:color w:val="0F4761" w:themeColor="accent1" w:themeShade="BF"/>
      <w:sz w:val="24"/>
    </w:rPr>
  </w:style>
  <w:style w:type="character" w:customStyle="1" w:styleId="60">
    <w:name w:val="标题 6 字符"/>
    <w:basedOn w:val="a0"/>
    <w:link w:val="6"/>
    <w:uiPriority w:val="9"/>
    <w:semiHidden/>
    <w:rsid w:val="000B21FD"/>
    <w:rPr>
      <w:rFonts w:cstheme="majorBidi"/>
      <w:b/>
      <w:bCs/>
      <w:color w:val="0F4761" w:themeColor="accent1" w:themeShade="BF"/>
    </w:rPr>
  </w:style>
  <w:style w:type="character" w:customStyle="1" w:styleId="70">
    <w:name w:val="标题 7 字符"/>
    <w:basedOn w:val="a0"/>
    <w:link w:val="7"/>
    <w:uiPriority w:val="9"/>
    <w:semiHidden/>
    <w:rsid w:val="000B21FD"/>
    <w:rPr>
      <w:rFonts w:cstheme="majorBidi"/>
      <w:b/>
      <w:bCs/>
      <w:color w:val="595959" w:themeColor="text1" w:themeTint="A6"/>
    </w:rPr>
  </w:style>
  <w:style w:type="character" w:customStyle="1" w:styleId="80">
    <w:name w:val="标题 8 字符"/>
    <w:basedOn w:val="a0"/>
    <w:link w:val="8"/>
    <w:uiPriority w:val="9"/>
    <w:semiHidden/>
    <w:rsid w:val="000B21FD"/>
    <w:rPr>
      <w:rFonts w:cstheme="majorBidi"/>
      <w:color w:val="595959" w:themeColor="text1" w:themeTint="A6"/>
    </w:rPr>
  </w:style>
  <w:style w:type="character" w:customStyle="1" w:styleId="90">
    <w:name w:val="标题 9 字符"/>
    <w:basedOn w:val="a0"/>
    <w:link w:val="9"/>
    <w:uiPriority w:val="9"/>
    <w:semiHidden/>
    <w:rsid w:val="000B21FD"/>
    <w:rPr>
      <w:rFonts w:eastAsiaTheme="majorEastAsia" w:cstheme="majorBidi"/>
      <w:color w:val="595959" w:themeColor="text1" w:themeTint="A6"/>
    </w:rPr>
  </w:style>
  <w:style w:type="paragraph" w:styleId="a3">
    <w:name w:val="Title"/>
    <w:basedOn w:val="a"/>
    <w:next w:val="a"/>
    <w:link w:val="a4"/>
    <w:uiPriority w:val="10"/>
    <w:qFormat/>
    <w:rsid w:val="000B21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21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21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21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21FD"/>
    <w:pPr>
      <w:spacing w:before="160"/>
      <w:jc w:val="center"/>
    </w:pPr>
    <w:rPr>
      <w:i/>
      <w:iCs/>
      <w:color w:val="404040" w:themeColor="text1" w:themeTint="BF"/>
    </w:rPr>
  </w:style>
  <w:style w:type="character" w:customStyle="1" w:styleId="a8">
    <w:name w:val="引用 字符"/>
    <w:basedOn w:val="a0"/>
    <w:link w:val="a7"/>
    <w:uiPriority w:val="29"/>
    <w:rsid w:val="000B21FD"/>
    <w:rPr>
      <w:i/>
      <w:iCs/>
      <w:color w:val="404040" w:themeColor="text1" w:themeTint="BF"/>
    </w:rPr>
  </w:style>
  <w:style w:type="paragraph" w:styleId="a9">
    <w:name w:val="List Paragraph"/>
    <w:basedOn w:val="a"/>
    <w:uiPriority w:val="34"/>
    <w:qFormat/>
    <w:rsid w:val="000B21FD"/>
    <w:pPr>
      <w:ind w:left="720"/>
      <w:contextualSpacing/>
    </w:pPr>
  </w:style>
  <w:style w:type="character" w:styleId="aa">
    <w:name w:val="Intense Emphasis"/>
    <w:basedOn w:val="a0"/>
    <w:uiPriority w:val="21"/>
    <w:qFormat/>
    <w:rsid w:val="000B21FD"/>
    <w:rPr>
      <w:i/>
      <w:iCs/>
      <w:color w:val="0F4761" w:themeColor="accent1" w:themeShade="BF"/>
    </w:rPr>
  </w:style>
  <w:style w:type="paragraph" w:styleId="ab">
    <w:name w:val="Intense Quote"/>
    <w:basedOn w:val="a"/>
    <w:next w:val="a"/>
    <w:link w:val="ac"/>
    <w:uiPriority w:val="30"/>
    <w:qFormat/>
    <w:rsid w:val="000B2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21FD"/>
    <w:rPr>
      <w:i/>
      <w:iCs/>
      <w:color w:val="0F4761" w:themeColor="accent1" w:themeShade="BF"/>
    </w:rPr>
  </w:style>
  <w:style w:type="character" w:styleId="ad">
    <w:name w:val="Intense Reference"/>
    <w:basedOn w:val="a0"/>
    <w:uiPriority w:val="32"/>
    <w:qFormat/>
    <w:rsid w:val="000B21FD"/>
    <w:rPr>
      <w:b/>
      <w:bCs/>
      <w:smallCaps/>
      <w:color w:val="0F4761" w:themeColor="accent1" w:themeShade="BF"/>
      <w:spacing w:val="5"/>
    </w:rPr>
  </w:style>
  <w:style w:type="paragraph" w:styleId="ae">
    <w:name w:val="header"/>
    <w:basedOn w:val="a"/>
    <w:link w:val="af"/>
    <w:uiPriority w:val="99"/>
    <w:unhideWhenUsed/>
    <w:rsid w:val="00D440B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440B8"/>
    <w:rPr>
      <w:sz w:val="18"/>
      <w:szCs w:val="18"/>
    </w:rPr>
  </w:style>
  <w:style w:type="paragraph" w:styleId="af0">
    <w:name w:val="footer"/>
    <w:basedOn w:val="a"/>
    <w:link w:val="af1"/>
    <w:uiPriority w:val="99"/>
    <w:unhideWhenUsed/>
    <w:rsid w:val="00D440B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440B8"/>
    <w:rPr>
      <w:sz w:val="18"/>
      <w:szCs w:val="18"/>
    </w:rPr>
  </w:style>
  <w:style w:type="character" w:styleId="af2">
    <w:name w:val="Placeholder Text"/>
    <w:basedOn w:val="a0"/>
    <w:uiPriority w:val="99"/>
    <w:semiHidden/>
    <w:rsid w:val="00C44888"/>
    <w:rPr>
      <w:color w:val="666666"/>
    </w:rPr>
  </w:style>
  <w:style w:type="paragraph" w:styleId="af3">
    <w:name w:val="Normal (Web)"/>
    <w:basedOn w:val="a"/>
    <w:uiPriority w:val="99"/>
    <w:semiHidden/>
    <w:unhideWhenUsed/>
    <w:rsid w:val="004A21B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2804</Words>
  <Characters>4235</Characters>
  <Application>Microsoft Office Word</Application>
  <DocSecurity>0</DocSecurity>
  <Lines>121</Lines>
  <Paragraphs>84</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铭淇 邱</dc:creator>
  <cp:keywords/>
  <dc:description/>
  <cp:lastModifiedBy>铭淇 邱</cp:lastModifiedBy>
  <cp:revision>6</cp:revision>
  <dcterms:created xsi:type="dcterms:W3CDTF">2025-12-04T03:59:00Z</dcterms:created>
  <dcterms:modified xsi:type="dcterms:W3CDTF">2025-12-04T12:55:00Z</dcterms:modified>
</cp:coreProperties>
</file>