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C68619"/>
          <w:sz w:val="18"/>
        </w:rPr>
        <w:t>CONTROLLED PROCEDURE</w:t>
      </w:r>
    </w:p>
    <w:p>
      <w:pPr>
        <w:spacing w:after="80"/>
      </w:pPr>
      <w:r>
        <w:rPr>
          <w:b/>
          <w:color w:val="0B2545"/>
          <w:sz w:val="46"/>
        </w:rPr>
        <w:t>NPS-PR-004 — Document and Data Control</w:t>
      </w:r>
    </w:p>
    <w:p>
      <w:pPr>
        <w:spacing w:after="280"/>
      </w:pPr>
      <w:r>
        <w:rPr>
          <w:color w:val="66758E"/>
          <w:sz w:val="26"/>
        </w:rPr>
        <w:t>Defines how Northstar approves, distributes, revises, and retires QMS documents and production specifications.</w:t>
      </w:r>
    </w:p>
    <w:p>
      <w:pPr>
        <w:spacing w:after="40"/>
      </w:pPr>
      <w:r>
        <w:rPr>
          <w:b/>
          <w:color w:val="182033"/>
        </w:rPr>
        <w:t xml:space="preserve">Revision: </w:t>
      </w:r>
      <w:r>
        <w:rPr>
          <w:color w:val="182033"/>
        </w:rPr>
        <w:t>C</w:t>
      </w:r>
    </w:p>
    <w:p>
      <w:pPr>
        <w:spacing w:after="40"/>
      </w:pPr>
      <w:r>
        <w:rPr>
          <w:b/>
          <w:color w:val="182033"/>
        </w:rPr>
        <w:t xml:space="preserve">Effective date: </w:t>
      </w:r>
      <w:r>
        <w:rPr>
          <w:color w:val="182033"/>
        </w:rPr>
        <w:t>1 May 2026</w:t>
      </w:r>
    </w:p>
    <w:p>
      <w:pPr>
        <w:spacing w:after="40"/>
      </w:pPr>
      <w:r>
        <w:rPr>
          <w:b/>
          <w:color w:val="182033"/>
        </w:rPr>
        <w:t xml:space="preserve">Process owner: </w:t>
      </w:r>
      <w:r>
        <w:rPr>
          <w:color w:val="182033"/>
        </w:rPr>
        <w:t>Quality Systems Manager</w:t>
      </w:r>
    </w:p>
    <w:p>
      <w:pPr>
        <w:spacing w:after="40"/>
      </w:pPr>
      <w:r>
        <w:rPr>
          <w:b/>
          <w:color w:val="182033"/>
        </w:rPr>
        <w:t xml:space="preserve">Approval: </w:t>
      </w:r>
      <w:r>
        <w:rPr>
          <w:color w:val="182033"/>
        </w:rPr>
        <w:t>Director of Quality and VP Operations</w:t>
      </w:r>
    </w:p>
    <w:p>
      <w:pPr>
        <w:spacing w:after="40"/>
      </w:pPr>
      <w:r>
        <w:rPr>
          <w:b/>
          <w:color w:val="182033"/>
        </w:rPr>
        <w:t xml:space="preserve">Classification: </w:t>
      </w:r>
      <w:r>
        <w:rPr>
          <w:color w:val="182033"/>
        </w:rPr>
        <w:t>Controlled in QMS Vault; printed copies are uncontrolled unless stamped</w:t>
      </w:r>
    </w:p>
    <w:p>
      <w:pPr>
        <w:spacing w:before="160" w:after="160"/>
        <w:pBdr>
          <w:bottom w:val="single" w:sz="12" w:space="1" w:color="1457C9"/>
        </w:pBdr>
      </w:pPr>
    </w:p>
    <w:p>
      <w:pPr>
        <w:pStyle w:val="Heading1"/>
      </w:pPr>
      <w:r>
        <w:t>1. Purpose and scope</w:t>
      </w:r>
    </w:p>
    <w:p>
      <w:r>
        <w:t>This procedure controls policies, procedures, work instructions, forms, external specifications, engineering drawings, and retained quality records used by Northstar Precision Systems. It applies to the QMS and to both production shifts at the Cedar Falls facility.</w:t>
      </w:r>
    </w:p>
    <w:p>
      <w:pPr>
        <w:pStyle w:val="Heading1"/>
      </w:pPr>
      <w:r>
        <w:t>2. Control principles</w:t>
      </w:r>
    </w:p>
    <w:p>
      <w:pPr>
        <w:pStyle w:val="ListBullet"/>
        <w:spacing w:after="80" w:line="300" w:lineRule="auto"/>
        <w:ind w:left="540" w:hanging="271"/>
      </w:pPr>
      <w:r>
        <w:t>QMS Vault is the sole approved source for released QMS documents and production drawings.</w:t>
      </w:r>
    </w:p>
    <w:p>
      <w:pPr>
        <w:pStyle w:val="ListBullet"/>
        <w:spacing w:after="80" w:line="300" w:lineRule="auto"/>
        <w:ind w:left="540" w:hanging="271"/>
      </w:pPr>
      <w:r>
        <w:t>The legacy shared drive is an archive only. It shall be read-only and shall not be used to release or retrieve production documents after 1 May 2026.</w:t>
      </w:r>
    </w:p>
    <w:p>
      <w:pPr>
        <w:pStyle w:val="ListBullet"/>
        <w:spacing w:after="80" w:line="300" w:lineRule="auto"/>
        <w:ind w:left="540" w:hanging="271"/>
      </w:pPr>
      <w:r>
        <w:t>Printed copies are uncontrolled unless they bear a current controlled-copy stamp, revision, issue date, and copy owner.</w:t>
      </w:r>
    </w:p>
    <w:p>
      <w:pPr>
        <w:pStyle w:val="ListBullet"/>
        <w:spacing w:after="80" w:line="300" w:lineRule="auto"/>
        <w:ind w:left="540" w:hanging="271"/>
      </w:pPr>
      <w:r>
        <w:t>Document owners must ensure that obsolete electronic copies are removed from points of use within one business day of a new release.</w:t>
      </w:r>
    </w:p>
    <w:p>
      <w:pPr>
        <w:pStyle w:val="ListBullet"/>
        <w:spacing w:after="80" w:line="300" w:lineRule="auto"/>
        <w:ind w:left="540" w:hanging="271"/>
      </w:pPr>
      <w:r>
        <w:t>Line supervisors verify the current drawing and work-instruction revision at the start of each shift and record the check on the daily start-up sheet.</w:t>
      </w:r>
    </w:p>
    <w:p>
      <w:pPr>
        <w:pStyle w:val="Heading1"/>
      </w:pPr>
      <w:r>
        <w:t>3. Roles and authorities</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vAlign w:val="center"/>
            <w:tcMar>
              <w:top w:w="60" w:type="dxa"/>
              <w:bottom w:w="60" w:type="dxa"/>
              <w:start w:w="120" w:type="dxa"/>
              <w:end w:w="120" w:type="dxa"/>
            </w:tcMar>
            <w:shd w:fill="E8F0FB"/>
          </w:tcPr>
          <w:p>
            <w:pPr>
              <w:spacing w:after="0"/>
            </w:pPr>
            <w:r>
              <w:rPr>
                <w:b/>
                <w:color w:val="0B2545"/>
                <w:sz w:val="19"/>
              </w:rPr>
              <w:t>Document owner</w:t>
            </w:r>
          </w:p>
        </w:tc>
        <w:tc>
          <w:tcPr>
            <w:tcW w:type="dxa" w:w="7660"/>
            <w:vAlign w:val="center"/>
            <w:tcMar>
              <w:top w:w="60" w:type="dxa"/>
              <w:bottom w:w="60" w:type="dxa"/>
              <w:start w:w="120" w:type="dxa"/>
              <w:end w:w="120" w:type="dxa"/>
            </w:tcMar>
          </w:tcPr>
          <w:p>
            <w:pPr>
              <w:spacing w:after="0"/>
            </w:pPr>
            <w:r>
              <w:rPr>
                <w:color w:val="182033"/>
                <w:sz w:val="19"/>
              </w:rPr>
              <w:t>Drafts content, identifies affected users, and confirms technical accuracy.</w:t>
            </w:r>
          </w:p>
        </w:tc>
      </w:tr>
      <w:tr>
        <w:tc>
          <w:tcPr>
            <w:tcW w:type="dxa" w:w="1700"/>
            <w:vAlign w:val="center"/>
            <w:tcMar>
              <w:top w:w="60" w:type="dxa"/>
              <w:bottom w:w="60" w:type="dxa"/>
              <w:start w:w="120" w:type="dxa"/>
              <w:end w:w="120" w:type="dxa"/>
            </w:tcMar>
            <w:shd w:fill="E8F0FB"/>
          </w:tcPr>
          <w:p>
            <w:pPr>
              <w:spacing w:after="0"/>
            </w:pPr>
            <w:r>
              <w:rPr>
                <w:b/>
                <w:color w:val="0B2545"/>
                <w:sz w:val="19"/>
              </w:rPr>
              <w:t>Quality Systems</w:t>
            </w:r>
          </w:p>
        </w:tc>
        <w:tc>
          <w:tcPr>
            <w:tcW w:type="dxa" w:w="7660"/>
            <w:vAlign w:val="center"/>
            <w:tcMar>
              <w:top w:w="60" w:type="dxa"/>
              <w:bottom w:w="60" w:type="dxa"/>
              <w:start w:w="120" w:type="dxa"/>
              <w:end w:w="120" w:type="dxa"/>
            </w:tcMar>
          </w:tcPr>
          <w:p>
            <w:pPr>
              <w:spacing w:after="0"/>
            </w:pPr>
            <w:r>
              <w:rPr>
                <w:color w:val="182033"/>
                <w:sz w:val="19"/>
              </w:rPr>
              <w:t>Assigns document numbers, routes approvals, publishes releases in QMS Vault, and archives superseded versions.</w:t>
            </w:r>
          </w:p>
        </w:tc>
      </w:tr>
      <w:tr>
        <w:tc>
          <w:tcPr>
            <w:tcW w:type="dxa" w:w="1700"/>
            <w:vAlign w:val="center"/>
            <w:tcMar>
              <w:top w:w="60" w:type="dxa"/>
              <w:bottom w:w="60" w:type="dxa"/>
              <w:start w:w="120" w:type="dxa"/>
              <w:end w:w="120" w:type="dxa"/>
            </w:tcMar>
            <w:shd w:fill="E8F0FB"/>
          </w:tcPr>
          <w:p>
            <w:pPr>
              <w:spacing w:after="0"/>
            </w:pPr>
            <w:r>
              <w:rPr>
                <w:b/>
                <w:color w:val="0B2545"/>
                <w:sz w:val="19"/>
              </w:rPr>
              <w:t>Approver</w:t>
            </w:r>
          </w:p>
        </w:tc>
        <w:tc>
          <w:tcPr>
            <w:tcW w:type="dxa" w:w="7660"/>
            <w:vAlign w:val="center"/>
            <w:tcMar>
              <w:top w:w="60" w:type="dxa"/>
              <w:bottom w:w="60" w:type="dxa"/>
              <w:start w:w="120" w:type="dxa"/>
              <w:end w:w="120" w:type="dxa"/>
            </w:tcMar>
          </w:tcPr>
          <w:p>
            <w:pPr>
              <w:spacing w:after="0"/>
            </w:pPr>
            <w:r>
              <w:rPr>
                <w:color w:val="182033"/>
                <w:sz w:val="19"/>
              </w:rPr>
              <w:t>Confirms suitability, resources, and alignment with applicable requirements before release.</w:t>
            </w:r>
          </w:p>
        </w:tc>
      </w:tr>
      <w:tr>
        <w:tc>
          <w:tcPr>
            <w:tcW w:type="dxa" w:w="1700"/>
            <w:vAlign w:val="center"/>
            <w:tcMar>
              <w:top w:w="60" w:type="dxa"/>
              <w:bottom w:w="60" w:type="dxa"/>
              <w:start w:w="120" w:type="dxa"/>
              <w:end w:w="120" w:type="dxa"/>
            </w:tcMar>
            <w:shd w:fill="E8F0FB"/>
          </w:tcPr>
          <w:p>
            <w:pPr>
              <w:spacing w:after="0"/>
            </w:pPr>
            <w:r>
              <w:rPr>
                <w:b/>
                <w:color w:val="0B2545"/>
                <w:sz w:val="19"/>
              </w:rPr>
              <w:t>Line supervisor</w:t>
            </w:r>
          </w:p>
        </w:tc>
        <w:tc>
          <w:tcPr>
            <w:tcW w:type="dxa" w:w="7660"/>
            <w:vAlign w:val="center"/>
            <w:tcMar>
              <w:top w:w="60" w:type="dxa"/>
              <w:bottom w:w="60" w:type="dxa"/>
              <w:start w:w="120" w:type="dxa"/>
              <w:end w:w="120" w:type="dxa"/>
            </w:tcMar>
          </w:tcPr>
          <w:p>
            <w:pPr>
              <w:spacing w:after="0"/>
            </w:pPr>
            <w:r>
              <w:rPr>
                <w:color w:val="182033"/>
                <w:sz w:val="19"/>
              </w:rPr>
              <w:t>Verifies the released revision at point of use and removes obsolete or uncontrolled copies.</w:t>
            </w:r>
          </w:p>
        </w:tc>
      </w:tr>
      <w:tr>
        <w:tc>
          <w:tcPr>
            <w:tcW w:type="dxa" w:w="1700"/>
            <w:vAlign w:val="center"/>
            <w:tcMar>
              <w:top w:w="60" w:type="dxa"/>
              <w:bottom w:w="60" w:type="dxa"/>
              <w:start w:w="120" w:type="dxa"/>
              <w:end w:w="120" w:type="dxa"/>
            </w:tcMar>
            <w:shd w:fill="E8F0FB"/>
          </w:tcPr>
          <w:p>
            <w:pPr>
              <w:spacing w:after="0"/>
            </w:pPr>
            <w:r>
              <w:rPr>
                <w:b/>
                <w:color w:val="0B2545"/>
                <w:sz w:val="19"/>
              </w:rPr>
              <w:t>All users</w:t>
            </w:r>
          </w:p>
        </w:tc>
        <w:tc>
          <w:tcPr>
            <w:tcW w:type="dxa" w:w="7660"/>
            <w:vAlign w:val="center"/>
            <w:tcMar>
              <w:top w:w="60" w:type="dxa"/>
              <w:bottom w:w="60" w:type="dxa"/>
              <w:start w:w="120" w:type="dxa"/>
              <w:end w:w="120" w:type="dxa"/>
            </w:tcMar>
          </w:tcPr>
          <w:p>
            <w:pPr>
              <w:spacing w:after="0"/>
            </w:pPr>
            <w:r>
              <w:rPr>
                <w:color w:val="182033"/>
                <w:sz w:val="19"/>
              </w:rPr>
              <w:t>Use only released documents and report discrepancies immediately.</w:t>
            </w:r>
          </w:p>
        </w:tc>
      </w:tr>
    </w:tbl>
    <w:p>
      <w:pPr>
        <w:pStyle w:val="Heading1"/>
      </w:pPr>
      <w:r>
        <w:t>4. Release and change workflow</w:t>
      </w:r>
    </w:p>
    <w:p>
      <w:pPr>
        <w:pStyle w:val="ListNumber"/>
        <w:spacing w:after="80"/>
        <w:ind w:left="540" w:hanging="271"/>
      </w:pPr>
      <w:r>
        <w:t>The owner submits a change request describing the reason, affected processes, and implementation risk.</w:t>
      </w:r>
    </w:p>
    <w:p>
      <w:pPr>
        <w:pStyle w:val="ListNumber"/>
        <w:spacing w:after="80"/>
        <w:ind w:left="540" w:hanging="271"/>
      </w:pPr>
      <w:r>
        <w:t>Quality Systems assigns or confirms the document number and verifies required reviewers.</w:t>
      </w:r>
    </w:p>
    <w:p>
      <w:pPr>
        <w:pStyle w:val="ListNumber"/>
        <w:spacing w:after="80"/>
        <w:ind w:left="540" w:hanging="271"/>
      </w:pPr>
      <w:r>
        <w:t>Technical and process approvers approve the proposed revision before publication.</w:t>
      </w:r>
    </w:p>
    <w:p>
      <w:pPr>
        <w:pStyle w:val="ListNumber"/>
        <w:spacing w:after="80"/>
        <w:ind w:left="540" w:hanging="271"/>
      </w:pPr>
      <w:r>
        <w:t>Quality Systems publishes the approved revision in QMS Vault and records the effective date.</w:t>
      </w:r>
    </w:p>
    <w:p>
      <w:pPr>
        <w:pStyle w:val="ListNumber"/>
        <w:spacing w:after="80"/>
        <w:ind w:left="540" w:hanging="271"/>
      </w:pPr>
      <w:r>
        <w:t>Affected personnel complete required training before independent use of the revised method.</w:t>
      </w:r>
    </w:p>
    <w:p>
      <w:pPr>
        <w:pStyle w:val="ListNumber"/>
        <w:spacing w:after="80"/>
        <w:ind w:left="540" w:hanging="271"/>
      </w:pPr>
      <w:r>
        <w:t>Supervisors remove obsolete copies and record the point-of-use verification within one business day.</w:t>
      </w:r>
    </w:p>
    <w:p>
      <w:pPr>
        <w:pStyle w:val="Heading1"/>
      </w:pPr>
      <w:r>
        <w:t>5. Records and retention</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vAlign w:val="center"/>
            <w:tcMar>
              <w:top w:w="60" w:type="dxa"/>
              <w:bottom w:w="60" w:type="dxa"/>
              <w:start w:w="120" w:type="dxa"/>
              <w:end w:w="120" w:type="dxa"/>
            </w:tcMar>
            <w:shd w:fill="E8F0FB"/>
          </w:tcPr>
          <w:p>
            <w:pPr>
              <w:spacing w:after="0"/>
            </w:pPr>
            <w:r>
              <w:rPr>
                <w:b/>
                <w:color w:val="0B2545"/>
                <w:sz w:val="19"/>
              </w:rPr>
              <w:t>Document change request</w:t>
            </w:r>
          </w:p>
        </w:tc>
        <w:tc>
          <w:tcPr>
            <w:tcW w:type="dxa" w:w="7660"/>
            <w:vAlign w:val="center"/>
            <w:tcMar>
              <w:top w:w="60" w:type="dxa"/>
              <w:bottom w:w="60" w:type="dxa"/>
              <w:start w:w="120" w:type="dxa"/>
              <w:end w:w="120" w:type="dxa"/>
            </w:tcMar>
          </w:tcPr>
          <w:p>
            <w:pPr>
              <w:spacing w:after="0"/>
            </w:pPr>
            <w:r>
              <w:rPr>
                <w:color w:val="182033"/>
                <w:sz w:val="19"/>
              </w:rPr>
              <w:t>Seven years after supersession</w:t>
            </w:r>
          </w:p>
        </w:tc>
      </w:tr>
      <w:tr>
        <w:tc>
          <w:tcPr>
            <w:tcW w:type="dxa" w:w="1700"/>
            <w:vAlign w:val="center"/>
            <w:tcMar>
              <w:top w:w="60" w:type="dxa"/>
              <w:bottom w:w="60" w:type="dxa"/>
              <w:start w:w="120" w:type="dxa"/>
              <w:end w:w="120" w:type="dxa"/>
            </w:tcMar>
            <w:shd w:fill="E8F0FB"/>
          </w:tcPr>
          <w:p>
            <w:pPr>
              <w:spacing w:after="0"/>
            </w:pPr>
            <w:r>
              <w:rPr>
                <w:b/>
                <w:color w:val="0B2545"/>
                <w:sz w:val="19"/>
              </w:rPr>
              <w:t>Approval history</w:t>
            </w:r>
          </w:p>
        </w:tc>
        <w:tc>
          <w:tcPr>
            <w:tcW w:type="dxa" w:w="7660"/>
            <w:vAlign w:val="center"/>
            <w:tcMar>
              <w:top w:w="60" w:type="dxa"/>
              <w:bottom w:w="60" w:type="dxa"/>
              <w:start w:w="120" w:type="dxa"/>
              <w:end w:w="120" w:type="dxa"/>
            </w:tcMar>
          </w:tcPr>
          <w:p>
            <w:pPr>
              <w:spacing w:after="0"/>
            </w:pPr>
            <w:r>
              <w:rPr>
                <w:color w:val="182033"/>
                <w:sz w:val="19"/>
              </w:rPr>
              <w:t>Life of document plus seven years</w:t>
            </w:r>
          </w:p>
        </w:tc>
      </w:tr>
      <w:tr>
        <w:tc>
          <w:tcPr>
            <w:tcW w:type="dxa" w:w="1700"/>
            <w:vAlign w:val="center"/>
            <w:tcMar>
              <w:top w:w="60" w:type="dxa"/>
              <w:bottom w:w="60" w:type="dxa"/>
              <w:start w:w="120" w:type="dxa"/>
              <w:end w:w="120" w:type="dxa"/>
            </w:tcMar>
            <w:shd w:fill="E8F0FB"/>
          </w:tcPr>
          <w:p>
            <w:pPr>
              <w:spacing w:after="0"/>
            </w:pPr>
            <w:r>
              <w:rPr>
                <w:b/>
                <w:color w:val="0B2545"/>
                <w:sz w:val="19"/>
              </w:rPr>
              <w:t>Training acknowledgement</w:t>
            </w:r>
          </w:p>
        </w:tc>
        <w:tc>
          <w:tcPr>
            <w:tcW w:type="dxa" w:w="7660"/>
            <w:vAlign w:val="center"/>
            <w:tcMar>
              <w:top w:w="60" w:type="dxa"/>
              <w:bottom w:w="60" w:type="dxa"/>
              <w:start w:w="120" w:type="dxa"/>
              <w:end w:w="120" w:type="dxa"/>
            </w:tcMar>
          </w:tcPr>
          <w:p>
            <w:pPr>
              <w:spacing w:after="0"/>
            </w:pPr>
            <w:r>
              <w:rPr>
                <w:color w:val="182033"/>
                <w:sz w:val="19"/>
              </w:rPr>
              <w:t>Employment plus three years</w:t>
            </w:r>
          </w:p>
        </w:tc>
      </w:tr>
      <w:tr>
        <w:tc>
          <w:tcPr>
            <w:tcW w:type="dxa" w:w="1700"/>
            <w:vAlign w:val="center"/>
            <w:tcMar>
              <w:top w:w="60" w:type="dxa"/>
              <w:bottom w:w="60" w:type="dxa"/>
              <w:start w:w="120" w:type="dxa"/>
              <w:end w:w="120" w:type="dxa"/>
            </w:tcMar>
            <w:shd w:fill="E8F0FB"/>
          </w:tcPr>
          <w:p>
            <w:pPr>
              <w:spacing w:after="0"/>
            </w:pPr>
            <w:r>
              <w:rPr>
                <w:b/>
                <w:color w:val="0B2545"/>
                <w:sz w:val="19"/>
              </w:rPr>
              <w:t>Point-of-use revision check</w:t>
            </w:r>
          </w:p>
        </w:tc>
        <w:tc>
          <w:tcPr>
            <w:tcW w:type="dxa" w:w="7660"/>
            <w:vAlign w:val="center"/>
            <w:tcMar>
              <w:top w:w="60" w:type="dxa"/>
              <w:bottom w:w="60" w:type="dxa"/>
              <w:start w:w="120" w:type="dxa"/>
              <w:end w:w="120" w:type="dxa"/>
            </w:tcMar>
          </w:tcPr>
          <w:p>
            <w:pPr>
              <w:spacing w:after="0"/>
            </w:pPr>
            <w:r>
              <w:rPr>
                <w:color w:val="182033"/>
                <w:sz w:val="19"/>
              </w:rPr>
              <w:t>Two years</w:t>
            </w:r>
          </w:p>
        </w:tc>
      </w:tr>
      <w:tr>
        <w:tc>
          <w:tcPr>
            <w:tcW w:type="dxa" w:w="1700"/>
            <w:vAlign w:val="center"/>
            <w:tcMar>
              <w:top w:w="60" w:type="dxa"/>
              <w:bottom w:w="60" w:type="dxa"/>
              <w:start w:w="120" w:type="dxa"/>
              <w:end w:w="120" w:type="dxa"/>
            </w:tcMar>
            <w:shd w:fill="E8F0FB"/>
          </w:tcPr>
          <w:p>
            <w:pPr>
              <w:spacing w:after="0"/>
            </w:pPr>
            <w:r>
              <w:rPr>
                <w:b/>
                <w:color w:val="0B2545"/>
                <w:sz w:val="19"/>
              </w:rPr>
              <w:t>Obsolete controlled copy log</w:t>
            </w:r>
          </w:p>
        </w:tc>
        <w:tc>
          <w:tcPr>
            <w:tcW w:type="dxa" w:w="7660"/>
            <w:vAlign w:val="center"/>
            <w:tcMar>
              <w:top w:w="60" w:type="dxa"/>
              <w:bottom w:w="60" w:type="dxa"/>
              <w:start w:w="120" w:type="dxa"/>
              <w:end w:w="120" w:type="dxa"/>
            </w:tcMar>
          </w:tcPr>
          <w:p>
            <w:pPr>
              <w:spacing w:after="0"/>
            </w:pPr>
            <w:r>
              <w:rPr>
                <w:color w:val="182033"/>
                <w:sz w:val="19"/>
              </w:rPr>
              <w:t>Three years</w:t>
            </w:r>
          </w:p>
        </w:tc>
      </w:tr>
    </w:tbl>
    <w:p>
      <w:pPr>
        <w:pStyle w:val="Heading1"/>
      </w:pPr>
      <w:r>
        <w:t>6. Monitoring</w:t>
      </w:r>
    </w:p>
    <w:p>
      <w:r>
        <w:t>Quality Systems reviews a quarterly sample of production documents for current revision, approval history, training completion, and removal of obsolete copies. Any use of an obsolete production drawing is entered into the corrective-action system and evaluated for product impact.</w:t>
      </w:r>
    </w:p>
    <w:p>
      <w:pPr>
        <w:spacing w:before="200"/>
      </w:pPr>
      <w:r>
        <w:rPr>
          <w:b/>
          <w:color w:val="66758E"/>
        </w:rPr>
        <w:t>END OF CONTROLLED PROCEDURE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Fictional company • QMSPilot Pilot 1.1 validation • </w:t>
    </w:r>
    <w:r>
      <w:rPr>
        <w:color w:val="66758E"/>
        <w:sz w:val="18"/>
      </w:rPr>
      <w:t xml:space="preserve">Page </w:t>
    </w:r>
    <w:fldChar w:fldCharType="begin"/>
    <w:instrText xml:space="preserve"> PAGE </w:instrText>
    <w:fldChar w:fldCharType="separate"/>
    <w:r>
      <w:t>1</w:t>
    </w:r>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1" w:color="D7E0EC"/>
      </w:pBdr>
    </w:pPr>
    <w:r>
      <w:rPr>
        <w:rFonts w:ascii="Calibri" w:hAnsi="Calibri"/>
        <w:b/>
        <w:color w:val="0B2545"/>
        <w:sz w:val="18"/>
      </w:rPr>
      <w:t>NORTHSTAR PRECISION SYSTEMS</w:t>
    </w:r>
    <w:r>
      <w:rPr>
        <w:rFonts w:ascii="Calibri" w:hAnsi="Calibri"/>
        <w:color w:val="66758E"/>
        <w:sz w:val="16"/>
      </w:rPr>
      <w:t xml:space="preserve">   |   SYNTHETIC VALIDATION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457C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457C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