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C68619"/>
          <w:sz w:val="18"/>
        </w:rPr>
        <w:t>MANAGEMENT REVIEW RECORD</w:t>
      </w:r>
    </w:p>
    <w:p>
      <w:pPr>
        <w:spacing w:after="80"/>
      </w:pPr>
      <w:r>
        <w:rPr>
          <w:b/>
          <w:color w:val="0B2545"/>
          <w:sz w:val="46"/>
        </w:rPr>
        <w:t>Quality Management Review — June 2026</w:t>
      </w:r>
    </w:p>
    <w:p>
      <w:pPr>
        <w:spacing w:after="280"/>
      </w:pPr>
      <w:r>
        <w:rPr>
          <w:color w:val="66758E"/>
          <w:sz w:val="26"/>
        </w:rPr>
        <w:t>Leadership review of performance, audit readiness, resources, risks, and improvement actions.</w:t>
      </w:r>
    </w:p>
    <w:p>
      <w:pPr>
        <w:spacing w:after="40"/>
      </w:pPr>
      <w:r>
        <w:rPr>
          <w:b/>
          <w:color w:val="182033"/>
        </w:rPr>
        <w:t xml:space="preserve">Meeting date: </w:t>
      </w:r>
      <w:r>
        <w:rPr>
          <w:color w:val="182033"/>
        </w:rPr>
        <w:t>30 June 2026</w:t>
      </w:r>
    </w:p>
    <w:p>
      <w:pPr>
        <w:spacing w:after="40"/>
      </w:pPr>
      <w:r>
        <w:rPr>
          <w:b/>
          <w:color w:val="182033"/>
        </w:rPr>
        <w:t xml:space="preserve">Chair: </w:t>
      </w:r>
      <w:r>
        <w:rPr>
          <w:color w:val="182033"/>
        </w:rPr>
        <w:t>Elena Ramirez, President</w:t>
      </w:r>
    </w:p>
    <w:p>
      <w:pPr>
        <w:spacing w:after="40"/>
      </w:pPr>
      <w:r>
        <w:rPr>
          <w:b/>
          <w:color w:val="182033"/>
        </w:rPr>
        <w:t xml:space="preserve">Recorder: </w:t>
      </w:r>
      <w:r>
        <w:rPr>
          <w:color w:val="182033"/>
        </w:rPr>
        <w:t>Michael Chen, Quality Systems Manager</w:t>
      </w:r>
    </w:p>
    <w:p>
      <w:pPr>
        <w:spacing w:after="40"/>
      </w:pPr>
      <w:r>
        <w:rPr>
          <w:b/>
          <w:color w:val="182033"/>
        </w:rPr>
        <w:t xml:space="preserve">Attendees: </w:t>
      </w:r>
      <w:r>
        <w:rPr>
          <w:color w:val="182033"/>
        </w:rPr>
        <w:t>President; VP Operations; Director of Quality; Maintenance Manager; Supply Chain Manager; HR Manager</w:t>
      </w:r>
    </w:p>
    <w:p>
      <w:pPr>
        <w:spacing w:after="40"/>
      </w:pPr>
      <w:r>
        <w:rPr>
          <w:b/>
          <w:color w:val="182033"/>
        </w:rPr>
        <w:t xml:space="preserve">Next review: </w:t>
      </w:r>
      <w:r>
        <w:rPr>
          <w:color w:val="182033"/>
        </w:rPr>
        <w:t>28 July 2026</w:t>
      </w:r>
    </w:p>
    <w:p>
      <w:pPr>
        <w:spacing w:before="160" w:after="160"/>
        <w:pBdr>
          <w:bottom w:val="single" w:sz="12" w:space="1" w:color="1457C9"/>
        </w:pBdr>
      </w:pPr>
    </w:p>
    <w:p>
      <w:pPr>
        <w:pStyle w:val="Heading1"/>
      </w:pPr>
      <w:r>
        <w:t>1. Executive status</w:t>
      </w:r>
    </w:p>
    <w:p>
      <w:r>
        <w:t>Leadership confirmed that the ISO 9001 surveillance audit remains scheduled for 15 September 2026. On-time delivery improved to 94.2%, internal scrap was 2.8%, and customer complaints remained within the annual target. The team agreed that the recent internal-audit findings require focused follow-through.</w:t>
      </w:r>
    </w:p>
    <w:p>
      <w:pPr>
        <w:pStyle w:val="Heading1"/>
      </w:pPr>
      <w:r>
        <w:t>2. Inputs reviewed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2460"/>
        <w:gridCol w:w="3000"/>
      </w:tblGrid>
      <w:tr>
        <w:trPr>
          <w:tblHeader w:val="true"/>
        </w:trPr>
        <w:tc>
          <w:tcPr>
            <w:tcW w:type="dxa" w:w="180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Input</w:t>
            </w:r>
          </w:p>
        </w:tc>
        <w:tc>
          <w:tcPr>
            <w:tcW w:type="dxa" w:w="210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Reported status</w:t>
            </w:r>
          </w:p>
        </w:tc>
        <w:tc>
          <w:tcPr>
            <w:tcW w:type="dxa" w:w="246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Discussion</w:t>
            </w:r>
          </w:p>
        </w:tc>
        <w:tc>
          <w:tcPr>
            <w:tcW w:type="dxa" w:w="300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Conclusion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Internal audit IA-2026-02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 nonconformities; 1 observation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Drawing control and maintenance records require attention.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Quality and Operations will close items before the surveillance audit.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Corrective actions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6 open; 2 reported overdue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Register migration is still being stabilized.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Continue biweekly review until backlog is cleared.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Training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98% complete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Revision C rollout is believed substantially complete.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HR and Operations to finish remaining acknowledgements.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Supplier performance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Apex Castings repeat burr issue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Containment has reduced escapes; root cause is pending.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Continue supplier monitoring; escalation decision deferred.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Customer feedback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One sealing complaint under investigation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Potential similarity to supplier burr issue was noted.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Quality will determine whether records should be linked.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Resources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Maintenance planner vacancy open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Backlog may increase during CMMS migration.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Temporary support may be considered if backlog persists.</w:t>
            </w:r>
          </w:p>
        </w:tc>
      </w:tr>
    </w:tbl>
    <w:p>
      <w:pPr>
        <w:pStyle w:val="Heading1"/>
      </w:pPr>
      <w:r>
        <w:t>3. Decisions and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360"/>
        <w:gridCol w:w="1800"/>
        <w:gridCol w:w="1800"/>
      </w:tblGrid>
      <w:tr>
        <w:trPr>
          <w:tblHeader w:val="true"/>
        </w:trPr>
        <w:tc>
          <w:tcPr>
            <w:tcW w:type="dxa" w:w="140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ID</w:t>
            </w:r>
          </w:p>
        </w:tc>
        <w:tc>
          <w:tcPr>
            <w:tcW w:type="dxa" w:w="436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Decision / action</w:t>
            </w:r>
          </w:p>
        </w:tc>
        <w:tc>
          <w:tcPr>
            <w:tcW w:type="dxa" w:w="180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Owner</w:t>
            </w:r>
          </w:p>
        </w:tc>
        <w:tc>
          <w:tcPr>
            <w:tcW w:type="dxa" w:w="1800"/>
            <w:vAlign w:val="center"/>
            <w:shd w:fill="E8F0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Due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MR-26-18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Resolve the internal-audit items and confirm the evidence package is complete.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Quality / Operations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Before audit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MR-26-19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Continue production on HF-1500 and HF-2600 while maintenance records are reconstructed; complete a risk review if concerns emerge.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Operations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As needed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MR-26-20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Review the open CAPA backlog at the biweekly leadership meeting.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Quality team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Biweekly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MR-26-21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Determine whether Apex Castings requires formal escalation after the next delivery.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Supply Chain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Next delivery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MR-26-22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Confirm all affected operators have completed Revision C training.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HR / Production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Before audit</w:t>
            </w:r>
          </w:p>
        </w:tc>
      </w:tr>
    </w:tbl>
    <w:p>
      <w:pPr>
        <w:pStyle w:val="Heading1"/>
      </w:pPr>
      <w:r>
        <w:t>4. Review conclusion</w:t>
      </w:r>
    </w:p>
    <w:p>
      <w:r>
        <w:t>Leadership concluded that the QMS remains suitable for the business and that no immediate change to the quality policy is required. The internal-audit response, supplier issue, and remaining training acknowledgements will stay on the monthly watchlist.</w:t>
      </w:r>
    </w:p>
    <w:p>
      <w:pPr>
        <w:pStyle w:val="Heading1"/>
      </w:pPr>
      <w:r>
        <w:t>5. Approval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shd w:fill="E8F0FB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Elena Ramirez, President</w:t>
            </w:r>
          </w:p>
        </w:tc>
        <w:tc>
          <w:tcPr>
            <w:tcW w:type="dxa" w:w="76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82033"/>
                <w:sz w:val="19"/>
              </w:rPr>
              <w:t>Approved electronically 1 July 2026</w:t>
            </w:r>
          </w:p>
        </w:tc>
      </w:tr>
      <w:tr>
        <w:tc>
          <w:tcPr>
            <w:tcW w:type="dxa" w:w="17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shd w:fill="E8F0FB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Daniel Brooks, Director of Quality</w:t>
            </w:r>
          </w:p>
        </w:tc>
        <w:tc>
          <w:tcPr>
            <w:tcW w:type="dxa" w:w="76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82033"/>
                <w:sz w:val="19"/>
              </w:rPr>
              <w:t>Approved electronically 1 July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Fictional company • QMSPilot Pilot 1.1 validation • </w:t>
    </w:r>
    <w:r>
      <w:rPr>
        <w:color w:val="66758E"/>
        <w:sz w:val="18"/>
      </w:rPr>
      <w:t xml:space="preserve">Page </w:t>
    </w:r>
    <w:fldChar w:fldCharType="begin"/>
    <w:instrText xml:space="preserve"> PAGE </w:instrText>
    <w:fldChar w:fldCharType="separate"/>
    <w:r>
      <w:t>1</w:t>
    </w:r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1" w:color="D7E0EC"/>
      </w:pBdr>
    </w:pPr>
    <w:r>
      <w:rPr>
        <w:rFonts w:ascii="Calibri" w:hAnsi="Calibri"/>
        <w:b/>
        <w:color w:val="0B2545"/>
        <w:sz w:val="18"/>
      </w:rPr>
      <w:t>NORTHSTAR PRECISION SYSTEMS</w:t>
    </w:r>
    <w:r>
      <w:rPr>
        <w:rFonts w:ascii="Calibri" w:hAnsi="Calibri"/>
        <w:color w:val="66758E"/>
        <w:sz w:val="16"/>
      </w:rPr>
      <w:t xml:space="preserve">   |   SYNTHETIC VALIDATION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8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457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57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