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科學展覽研究報告｜目前成果</w:t>
      </w:r>
    </w:p>
    <w:p>
      <w:pPr>
        <w:pStyle w:val="Title"/>
      </w:pPr>
      <w:r>
        <w:t>資料分布與模型更新放大</w:t>
        <w:br/>
        <w:t>對聯邦學習的影響</w:t>
      </w:r>
    </w:p>
    <w:p>
      <w:pPr>
        <w:pStyle w:val="Subtitle"/>
      </w:pPr>
      <w:r>
        <w:t>以 MNIST、FedAvg 與三個隨機種子進行比較</w:t>
      </w:r>
    </w:p>
    <w:p>
      <w:r>
        <w:t>科別：電腦科學與資訊工程科</w:t>
      </w:r>
    </w:p>
    <w:p>
      <w:r>
        <w:t>關鍵詞：聯邦學習、資料分布不均、模型更新放大、攻擊損害</w:t>
      </w:r>
    </w:p>
    <w:p>
      <w:r>
        <w:t>整理日期：2026-09-21</w:t>
      </w:r>
    </w:p>
    <w:p>
      <w:r>
        <w:t>學校／作者／指導老師／參賽編號：待填</w:t>
      </w:r>
    </w:p>
    <w:p>
      <w:r>
        <w:t>本報告參考 TISF.docx 的章節安排，以目前完成的實驗資料撰寫。屬於階段成果，尚未完成防禦方法，也尚未進行後門或 Sybil 攻擊實驗。</w:t>
      </w:r>
    </w:p>
    <w:p>
      <w:r>
        <w:drawing>
          <wp:inline xmlns:a="http://schemas.openxmlformats.org/drawingml/2006/main" xmlns:pic="http://schemas.openxmlformats.org/drawingml/2006/picture">
            <wp:extent cx="5029200" cy="3787616"/>
            <wp:docPr id="1" name="Picture 1"/>
            <wp:cNvGraphicFramePr>
              <a:graphicFrameLocks noChangeAspect="1"/>
            </wp:cNvGraphicFramePr>
            <a:graphic>
              <a:graphicData uri="http://schemas.openxmlformats.org/drawingml/2006/picture">
                <pic:pic>
                  <pic:nvPicPr>
                    <pic:cNvPr id="0" name="study_flow.png"/>
                    <pic:cNvPicPr/>
                  </pic:nvPicPr>
                  <pic:blipFill>
                    <a:blip r:embed="rId10"/>
                    <a:stretch>
                      <a:fillRect/>
                    </a:stretch>
                  </pic:blipFill>
                  <pic:spPr>
                    <a:xfrm>
                      <a:off x="0" y="0"/>
                      <a:ext cx="5029200" cy="3787616"/>
                    </a:xfrm>
                    <a:prstGeom prst="rect"/>
                  </pic:spPr>
                </pic:pic>
              </a:graphicData>
            </a:graphic>
          </wp:inline>
        </w:drawing>
      </w:r>
    </w:p>
    <w:p>
      <w:pPr>
        <w:pStyle w:val="Caption"/>
      </w:pPr>
      <w:r>
        <w:t>研究架構：兩組實驗分別改變一個設定，再以三個 seeds 比較 Clean 與 Poisoned。</w:t>
      </w:r>
    </w:p>
    <w:p>
      <w:r>
        <w:br w:type="page"/>
      </w:r>
    </w:p>
    <w:p>
      <w:pPr>
        <w:pStyle w:val="Heading1"/>
      </w:pPr>
      <w:r>
        <w:t>摘要</w:t>
      </w:r>
    </w:p>
    <w:p>
      <w:r>
        <w:t>本研究想了解：當五個參與端持有不同的資料時，聯邦學習受到模型更新放大攻擊後，辨識能力會如何改變。我們使用 MNIST 手寫數字資料，讓每個參與端先自行訓練，再以 FedAvg 合併模型。攻擊者不修改圖片或標籤，而是把自己的模型更新乘上指定倍率。</w:t>
      </w:r>
    </w:p>
    <w:p>
      <w:r>
        <w:t>實驗 A 固定放大倍率 Scale = 10，改變 Alpha 為 0.01、0.1、1、10、100；實驗 B 固定 Alpha = 0.1，改變 Scale 為 1、2、5、10、20。每個設定使用 seeds 42、43、44，分別執行有攻擊與無攻擊的十輪訓練。兩組共九個不同設定、54 次訓練，交會設定只使用同一批結果。</w:t>
      </w:r>
    </w:p>
    <w:p>
      <w:r>
        <w:t>結果顯示，實驗 A 的無攻擊平均準確率由 69.96% 上升至 90.93%；但平均攻擊損害也由 26.76 增加至 64.68 個百分點。實驗 B 的 Scale = 1 控制組準確率差為零；Scale 增加至 20 時，平均準確率損害為 40.05 個百分點。部分設定在三個 seeds 間有很大的差異，因此不能只用平均值判斷。Alpha 同時影響資料種類及攻擊者樣本數，後續需固定攻擊者權重，才能進一步分辨原因。</w:t>
      </w:r>
    </w:p>
    <w:p>
      <w:pPr>
        <w:pStyle w:val="Heading2"/>
      </w:pPr>
      <w:r>
        <w:t>Abstract</w:t>
      </w:r>
    </w:p>
    <w:p>
      <w:r>
        <w:t>This study examines how client data distribution and update scaling affect federated learning on MNIST. Five clients train with FedAvg for ten rounds. Experiment A varies alpha with scale fixed at 10; Experiment B varies scale with alpha fixed at 0.1. Each setting uses three matched seeds with clean and scaled-update conditions. Nine unique settings produce 54 training runs. Mean accuracy damage increases from 26.76 to 64.68 percentage points across the alpha sweep and from 0 to 40.05 points across the scale sweep. Large differences between seeds remain. Since alpha also changes the attacker’s sample count and aggregation weight, these observations do not isolate the effect of label imbalance.</w:t>
      </w:r>
    </w:p>
    <w:p>
      <w:r>
        <w:br w:type="page"/>
      </w:r>
    </w:p>
    <w:p>
      <w:pPr>
        <w:pStyle w:val="Heading1"/>
      </w:pPr>
      <w:r>
        <w:t>壹、前言</w:t>
      </w:r>
    </w:p>
    <w:p>
      <w:pPr>
        <w:pStyle w:val="Heading2"/>
      </w:pPr>
      <w:r>
        <w:t>一、研究動機</w:t>
      </w:r>
    </w:p>
    <w:p>
      <w:r>
        <w:t>聯邦學習的想法是讓資料留在各參與端，由各端訓練後傳回模型，再合併成共同模型［1］。例如，不同使用者可能擁有不同類型的資料。即使模型架構相同，學到的更新也可能不同。本研究關心的是：如果其中一個參與端把更新刻意放大，是否會影響整體模型？這種影響又是否與資料分布有關？</w:t>
      </w:r>
    </w:p>
    <w:p>
      <w:pPr>
        <w:pStyle w:val="Heading2"/>
      </w:pPr>
      <w:r>
        <w:t>二、研究目的</w:t>
      </w:r>
    </w:p>
    <w:p>
      <w:r>
        <w:t>• 比較 Alpha 改變時，無攻擊與有攻擊模型的準確率及 Loss。</w:t>
      </w:r>
    </w:p>
    <w:p>
      <w:r>
        <w:t>• 比較 Scale 改變時，模型更新放大造成多少損害。</w:t>
      </w:r>
    </w:p>
    <w:p>
      <w:r>
        <w:t>• 以相同 seed 配對比較，再觀察三個 seeds 的差異。</w:t>
      </w:r>
    </w:p>
    <w:p>
      <w:r>
        <w:t>• 記錄攻擊者資料量，找出值得進一步控制與驗證的因素。</w:t>
      </w:r>
    </w:p>
    <w:p>
      <w:pPr>
        <w:pStyle w:val="Heading2"/>
      </w:pPr>
      <w:r>
        <w:t>三、名詞說明</w:t>
      </w:r>
    </w:p>
    <w:tbl>
      <w:tblPr>
        <w:tblStyle w:val="LightShading-Accent1"/>
        <w:tblW w:type="auto" w:w="0"/>
        <w:tblLook w:firstColumn="1" w:firstRow="1" w:lastColumn="0" w:lastRow="0" w:noHBand="0" w:noVBand="1" w:val="04A0"/>
      </w:tblPr>
      <w:tblGrid>
        <w:gridCol w:w="4762"/>
        <w:gridCol w:w="4762"/>
      </w:tblGrid>
      <w:tr>
        <w:trPr>
          <w:tblHeader/>
          <w:cantSplit/>
        </w:trPr>
        <w:tc>
          <w:tcPr>
            <w:tcW w:type="dxa" w:w="4762"/>
          </w:tcPr>
          <w:p>
            <w:pPr>
              <w:spacing w:after="60"/>
            </w:pPr>
            <w:r>
              <w:rPr>
                <w:sz w:val="18"/>
              </w:rPr>
              <w:t>名詞</w:t>
            </w:r>
          </w:p>
        </w:tc>
        <w:tc>
          <w:tcPr>
            <w:tcW w:type="dxa" w:w="4762"/>
          </w:tcPr>
          <w:p>
            <w:pPr>
              <w:spacing w:after="60"/>
            </w:pPr>
            <w:r>
              <w:rPr>
                <w:sz w:val="18"/>
              </w:rPr>
              <w:t>本研究中的意思</w:t>
            </w:r>
          </w:p>
        </w:tc>
      </w:tr>
      <w:tr>
        <w:trPr>
          <w:cantSplit/>
        </w:trPr>
        <w:tc>
          <w:tcPr>
            <w:tcW w:type="dxa" w:w="4762"/>
          </w:tcPr>
          <w:p>
            <w:pPr>
              <w:spacing w:after="60"/>
            </w:pPr>
            <w:r>
              <w:rPr>
                <w:sz w:val="18"/>
              </w:rPr>
              <w:t>Client（參與端）</w:t>
            </w:r>
          </w:p>
        </w:tc>
        <w:tc>
          <w:tcPr>
            <w:tcW w:type="dxa" w:w="4762"/>
          </w:tcPr>
          <w:p>
            <w:pPr>
              <w:spacing w:after="60"/>
            </w:pPr>
            <w:r>
              <w:rPr>
                <w:sz w:val="18"/>
              </w:rPr>
              <w:t>持有部分訓練資料並訓練模型的角色。</w:t>
            </w:r>
          </w:p>
        </w:tc>
      </w:tr>
      <w:tr>
        <w:trPr>
          <w:cantSplit/>
        </w:trPr>
        <w:tc>
          <w:tcPr>
            <w:tcW w:type="dxa" w:w="4762"/>
          </w:tcPr>
          <w:p>
            <w:pPr>
              <w:spacing w:after="60"/>
            </w:pPr>
            <w:r>
              <w:rPr>
                <w:sz w:val="18"/>
              </w:rPr>
              <w:t>Non-IID</w:t>
            </w:r>
          </w:p>
        </w:tc>
        <w:tc>
          <w:tcPr>
            <w:tcW w:type="dxa" w:w="4762"/>
          </w:tcPr>
          <w:p>
            <w:pPr>
              <w:spacing w:after="60"/>
            </w:pPr>
            <w:r>
              <w:rPr>
                <w:sz w:val="18"/>
              </w:rPr>
              <w:t>各端資料分布不同，例如某端主要是數字 2，另一端主要是數字 8。</w:t>
            </w:r>
          </w:p>
        </w:tc>
      </w:tr>
      <w:tr>
        <w:trPr>
          <w:cantSplit/>
        </w:trPr>
        <w:tc>
          <w:tcPr>
            <w:tcW w:type="dxa" w:w="4762"/>
          </w:tcPr>
          <w:p>
            <w:pPr>
              <w:spacing w:after="60"/>
            </w:pPr>
            <w:r>
              <w:rPr>
                <w:sz w:val="18"/>
              </w:rPr>
              <w:t>Alpha（α）</w:t>
            </w:r>
          </w:p>
        </w:tc>
        <w:tc>
          <w:tcPr>
            <w:tcW w:type="dxa" w:w="4762"/>
          </w:tcPr>
          <w:p>
            <w:pPr>
              <w:spacing w:after="60"/>
            </w:pPr>
            <w:r>
              <w:rPr>
                <w:sz w:val="18"/>
              </w:rPr>
              <w:t>資料分配參數；小值通常使各端數字種類差異更大，大值通常較接近。</w:t>
            </w:r>
          </w:p>
        </w:tc>
      </w:tr>
      <w:tr>
        <w:trPr>
          <w:cantSplit/>
        </w:trPr>
        <w:tc>
          <w:tcPr>
            <w:tcW w:type="dxa" w:w="4762"/>
          </w:tcPr>
          <w:p>
            <w:pPr>
              <w:spacing w:after="60"/>
            </w:pPr>
            <w:r>
              <w:rPr>
                <w:sz w:val="18"/>
              </w:rPr>
              <w:t>Seed</w:t>
            </w:r>
          </w:p>
        </w:tc>
        <w:tc>
          <w:tcPr>
            <w:tcW w:type="dxa" w:w="4762"/>
          </w:tcPr>
          <w:p>
            <w:pPr>
              <w:spacing w:after="60"/>
            </w:pPr>
            <w:r>
              <w:rPr>
                <w:sz w:val="18"/>
              </w:rPr>
              <w:t>決定隨機起始設定的編號；較大的編號不代表較強的攻擊。</w:t>
            </w:r>
          </w:p>
        </w:tc>
      </w:tr>
      <w:tr>
        <w:trPr>
          <w:cantSplit/>
        </w:trPr>
        <w:tc>
          <w:tcPr>
            <w:tcW w:type="dxa" w:w="4762"/>
          </w:tcPr>
          <w:p>
            <w:pPr>
              <w:spacing w:after="60"/>
            </w:pPr>
            <w:r>
              <w:rPr>
                <w:sz w:val="18"/>
              </w:rPr>
              <w:t>Scale（s）</w:t>
            </w:r>
          </w:p>
        </w:tc>
        <w:tc>
          <w:tcPr>
            <w:tcW w:type="dxa" w:w="4762"/>
          </w:tcPr>
          <w:p>
            <w:pPr>
              <w:spacing w:after="60"/>
            </w:pPr>
            <w:r>
              <w:rPr>
                <w:sz w:val="18"/>
              </w:rPr>
              <w:t>攻擊者模型更新的放大倍率。</w:t>
            </w:r>
          </w:p>
        </w:tc>
      </w:tr>
      <w:tr>
        <w:trPr>
          <w:cantSplit/>
        </w:trPr>
        <w:tc>
          <w:tcPr>
            <w:tcW w:type="dxa" w:w="4762"/>
          </w:tcPr>
          <w:p>
            <w:pPr>
              <w:spacing w:after="60"/>
            </w:pPr>
            <w:r>
              <w:rPr>
                <w:sz w:val="18"/>
              </w:rPr>
              <w:t>Clean／Poisoned</w:t>
            </w:r>
          </w:p>
        </w:tc>
        <w:tc>
          <w:tcPr>
            <w:tcW w:type="dxa" w:w="4762"/>
          </w:tcPr>
          <w:p>
            <w:pPr>
              <w:spacing w:after="60"/>
            </w:pPr>
            <w:r>
              <w:rPr>
                <w:sz w:val="18"/>
              </w:rPr>
              <w:t>無攻擊／開啟更新放大的條件；Scale = 1 是正常更新控制。</w:t>
            </w:r>
          </w:p>
        </w:tc>
      </w:tr>
      <w:tr>
        <w:trPr>
          <w:cantSplit/>
        </w:trPr>
        <w:tc>
          <w:tcPr>
            <w:tcW w:type="dxa" w:w="4762"/>
          </w:tcPr>
          <w:p>
            <w:pPr>
              <w:spacing w:after="60"/>
            </w:pPr>
            <w:r>
              <w:rPr>
                <w:sz w:val="18"/>
              </w:rPr>
              <w:t>Loss</w:t>
            </w:r>
          </w:p>
        </w:tc>
        <w:tc>
          <w:tcPr>
            <w:tcW w:type="dxa" w:w="4762"/>
          </w:tcPr>
          <w:p>
            <w:pPr>
              <w:spacing w:after="60"/>
            </w:pPr>
            <w:r>
              <w:rPr>
                <w:sz w:val="18"/>
              </w:rPr>
              <w:t>衡量預測錯誤程度的分數；本研究使用交叉熵，通常越低越好。</w:t>
            </w:r>
          </w:p>
        </w:tc>
      </w:tr>
    </w:tbl>
    <w:p>
      <w:r>
        <w:br w:type="page"/>
      </w:r>
    </w:p>
    <w:p>
      <w:pPr>
        <w:pStyle w:val="Heading1"/>
      </w:pPr>
      <w:r>
        <w:t>貳、研究設備及器材</w:t>
      </w:r>
    </w:p>
    <w:tbl>
      <w:tblPr>
        <w:tblStyle w:val="LightShading-Accent1"/>
        <w:tblW w:type="auto" w:w="0"/>
        <w:tblLook w:firstColumn="1" w:firstRow="1" w:lastColumn="0" w:lastRow="0" w:noHBand="0" w:noVBand="1" w:val="04A0"/>
      </w:tblPr>
      <w:tblGrid>
        <w:gridCol w:w="4762"/>
        <w:gridCol w:w="4762"/>
      </w:tblGrid>
      <w:tr>
        <w:trPr>
          <w:tblHeader/>
          <w:cantSplit/>
        </w:trPr>
        <w:tc>
          <w:tcPr>
            <w:tcW w:type="dxa" w:w="4762"/>
          </w:tcPr>
          <w:p>
            <w:pPr>
              <w:spacing w:after="60"/>
            </w:pPr>
            <w:r>
              <w:rPr>
                <w:sz w:val="18"/>
              </w:rPr>
              <w:t>項目</w:t>
            </w:r>
          </w:p>
        </w:tc>
        <w:tc>
          <w:tcPr>
            <w:tcW w:type="dxa" w:w="4762"/>
          </w:tcPr>
          <w:p>
            <w:pPr>
              <w:spacing w:after="60"/>
            </w:pPr>
            <w:r>
              <w:rPr>
                <w:sz w:val="18"/>
              </w:rPr>
              <w:t>設定或用途</w:t>
            </w:r>
          </w:p>
        </w:tc>
      </w:tr>
      <w:tr>
        <w:trPr>
          <w:cantSplit/>
        </w:trPr>
        <w:tc>
          <w:tcPr>
            <w:tcW w:type="dxa" w:w="4762"/>
          </w:tcPr>
          <w:p>
            <w:pPr>
              <w:spacing w:after="60"/>
            </w:pPr>
            <w:r>
              <w:rPr>
                <w:sz w:val="18"/>
              </w:rPr>
              <w:t>資料集</w:t>
            </w:r>
          </w:p>
        </w:tc>
        <w:tc>
          <w:tcPr>
            <w:tcW w:type="dxa" w:w="4762"/>
          </w:tcPr>
          <w:p>
            <w:pPr>
              <w:spacing w:after="60"/>
            </w:pPr>
            <w:r>
              <w:rPr>
                <w:sz w:val="18"/>
              </w:rPr>
              <w:t>MNIST；60,000 張訓練圖片、10,000 張測試圖片；28 × 28 灰階、10 類數字。</w:t>
            </w:r>
          </w:p>
        </w:tc>
      </w:tr>
      <w:tr>
        <w:trPr>
          <w:cantSplit/>
        </w:trPr>
        <w:tc>
          <w:tcPr>
            <w:tcW w:type="dxa" w:w="4762"/>
          </w:tcPr>
          <w:p>
            <w:pPr>
              <w:spacing w:after="60"/>
            </w:pPr>
            <w:r>
              <w:rPr>
                <w:sz w:val="18"/>
              </w:rPr>
              <w:t>模型</w:t>
            </w:r>
          </w:p>
        </w:tc>
        <w:tc>
          <w:tcPr>
            <w:tcW w:type="dxa" w:w="4762"/>
          </w:tcPr>
          <w:p>
            <w:pPr>
              <w:spacing w:after="60"/>
            </w:pPr>
            <w:r>
              <w:rPr>
                <w:sz w:val="18"/>
              </w:rPr>
              <w:t>攤平為 784 個輸入 → 128 個隱藏節點 → ReLU → 10 類輸出。</w:t>
            </w:r>
          </w:p>
        </w:tc>
      </w:tr>
      <w:tr>
        <w:trPr>
          <w:cantSplit/>
        </w:trPr>
        <w:tc>
          <w:tcPr>
            <w:tcW w:type="dxa" w:w="4762"/>
          </w:tcPr>
          <w:p>
            <w:pPr>
              <w:spacing w:after="60"/>
            </w:pPr>
            <w:r>
              <w:rPr>
                <w:sz w:val="18"/>
              </w:rPr>
              <w:t>執行方式</w:t>
            </w:r>
          </w:p>
        </w:tc>
        <w:tc>
          <w:tcPr>
            <w:tcW w:type="dxa" w:w="4762"/>
          </w:tcPr>
          <w:p>
            <w:pPr>
              <w:spacing w:after="60"/>
            </w:pPr>
            <w:r>
              <w:rPr>
                <w:sz w:val="18"/>
              </w:rPr>
              <w:t>CPU 單執行緒，依序模擬五個 client；使用 Flower 的加權合併函式。</w:t>
            </w:r>
          </w:p>
        </w:tc>
      </w:tr>
      <w:tr>
        <w:trPr>
          <w:cantSplit/>
        </w:trPr>
        <w:tc>
          <w:tcPr>
            <w:tcW w:type="dxa" w:w="4762"/>
          </w:tcPr>
          <w:p>
            <w:pPr>
              <w:spacing w:after="60"/>
            </w:pPr>
            <w:r>
              <w:rPr>
                <w:sz w:val="18"/>
              </w:rPr>
              <w:t>Python</w:t>
            </w:r>
          </w:p>
        </w:tc>
        <w:tc>
          <w:tcPr>
            <w:tcW w:type="dxa" w:w="4762"/>
          </w:tcPr>
          <w:p>
            <w:pPr>
              <w:spacing w:after="60"/>
            </w:pPr>
            <w:r>
              <w:rPr>
                <w:sz w:val="18"/>
              </w:rPr>
              <w:t>3.13.12</w:t>
            </w:r>
          </w:p>
        </w:tc>
      </w:tr>
      <w:tr>
        <w:trPr>
          <w:cantSplit/>
        </w:trPr>
        <w:tc>
          <w:tcPr>
            <w:tcW w:type="dxa" w:w="4762"/>
          </w:tcPr>
          <w:p>
            <w:pPr>
              <w:spacing w:after="60"/>
            </w:pPr>
            <w:r>
              <w:rPr>
                <w:sz w:val="18"/>
              </w:rPr>
              <w:t>torch</w:t>
            </w:r>
          </w:p>
        </w:tc>
        <w:tc>
          <w:tcPr>
            <w:tcW w:type="dxa" w:w="4762"/>
          </w:tcPr>
          <w:p>
            <w:pPr>
              <w:spacing w:after="60"/>
            </w:pPr>
            <w:r>
              <w:rPr>
                <w:sz w:val="18"/>
              </w:rPr>
              <w:t>2.14.0</w:t>
            </w:r>
          </w:p>
        </w:tc>
      </w:tr>
      <w:tr>
        <w:trPr>
          <w:cantSplit/>
        </w:trPr>
        <w:tc>
          <w:tcPr>
            <w:tcW w:type="dxa" w:w="4762"/>
          </w:tcPr>
          <w:p>
            <w:pPr>
              <w:spacing w:after="60"/>
            </w:pPr>
            <w:r>
              <w:rPr>
                <w:sz w:val="18"/>
              </w:rPr>
              <w:t>torchvision</w:t>
            </w:r>
          </w:p>
        </w:tc>
        <w:tc>
          <w:tcPr>
            <w:tcW w:type="dxa" w:w="4762"/>
          </w:tcPr>
          <w:p>
            <w:pPr>
              <w:spacing w:after="60"/>
            </w:pPr>
            <w:r>
              <w:rPr>
                <w:sz w:val="18"/>
              </w:rPr>
              <w:t>0.29.0</w:t>
            </w:r>
          </w:p>
        </w:tc>
      </w:tr>
      <w:tr>
        <w:trPr>
          <w:cantSplit/>
        </w:trPr>
        <w:tc>
          <w:tcPr>
            <w:tcW w:type="dxa" w:w="4762"/>
          </w:tcPr>
          <w:p>
            <w:pPr>
              <w:spacing w:after="60"/>
            </w:pPr>
            <w:r>
              <w:rPr>
                <w:sz w:val="18"/>
              </w:rPr>
              <w:t>numpy</w:t>
            </w:r>
          </w:p>
        </w:tc>
        <w:tc>
          <w:tcPr>
            <w:tcW w:type="dxa" w:w="4762"/>
          </w:tcPr>
          <w:p>
            <w:pPr>
              <w:spacing w:after="60"/>
            </w:pPr>
            <w:r>
              <w:rPr>
                <w:sz w:val="18"/>
              </w:rPr>
              <w:t>2.5.3</w:t>
            </w:r>
          </w:p>
        </w:tc>
      </w:tr>
      <w:tr>
        <w:trPr>
          <w:cantSplit/>
        </w:trPr>
        <w:tc>
          <w:tcPr>
            <w:tcW w:type="dxa" w:w="4762"/>
          </w:tcPr>
          <w:p>
            <w:pPr>
              <w:spacing w:after="60"/>
            </w:pPr>
            <w:r>
              <w:rPr>
                <w:sz w:val="18"/>
              </w:rPr>
              <w:t>flwr</w:t>
            </w:r>
          </w:p>
        </w:tc>
        <w:tc>
          <w:tcPr>
            <w:tcW w:type="dxa" w:w="4762"/>
          </w:tcPr>
          <w:p>
            <w:pPr>
              <w:spacing w:after="60"/>
            </w:pPr>
            <w:r>
              <w:rPr>
                <w:sz w:val="18"/>
              </w:rPr>
              <w:t>1.36.0</w:t>
            </w:r>
          </w:p>
        </w:tc>
      </w:tr>
      <w:tr>
        <w:trPr>
          <w:cantSplit/>
        </w:trPr>
        <w:tc>
          <w:tcPr>
            <w:tcW w:type="dxa" w:w="4762"/>
          </w:tcPr>
          <w:p>
            <w:pPr>
              <w:spacing w:after="60"/>
            </w:pPr>
            <w:r>
              <w:rPr>
                <w:sz w:val="18"/>
              </w:rPr>
              <w:t>繪圖與文件</w:t>
            </w:r>
          </w:p>
        </w:tc>
        <w:tc>
          <w:tcPr>
            <w:tcW w:type="dxa" w:w="4762"/>
          </w:tcPr>
          <w:p>
            <w:pPr>
              <w:spacing w:after="60"/>
            </w:pPr>
            <w:r>
              <w:rPr>
                <w:sz w:val="18"/>
              </w:rPr>
              <w:t>Matplotlib 畫圖，python-docx 產生 Word 報告。</w:t>
            </w:r>
          </w:p>
        </w:tc>
      </w:tr>
    </w:tbl>
    <w:p>
      <w:r>
        <w:t>本報告使用各實驗保存的環境資料。未記錄於執行檔案中的 CPU 型號、記憶體容量及執行時間不自行填入；若正式送件需要硬體規格，應由作者補上。</w:t>
      </w:r>
    </w:p>
    <w:p>
      <w:r>
        <w:t>測試資料不參與模型訓練。每輪只對共同測試集評估一次，因為五個 client 使用相同的全域模型和測試資料，無須重複算五次。這是本機模擬，不能用來判斷真實網路速度或通訊成本。MNIST 的載入方式參考 torchvision 文件［2］。</w:t>
      </w:r>
    </w:p>
    <w:p>
      <w:pPr>
        <w:pStyle w:val="Heading2"/>
      </w:pPr>
      <w:r>
        <w:t>資料來源與使用範圍</w:t>
      </w:r>
    </w:p>
    <w:p>
      <w:r>
        <w:t>分析使用 results/studies/alpha_scale/ 的 study.json、per_seed.csv、summary.csv，並依 study.json 找到每次訓練的原始 results.csv 及 config.json。舊版含有參數快照錯誤的 poisoning 結果不納入本報告；較早的單次 baseline 也不混入三個 seeds 的統計。</w:t>
      </w:r>
    </w:p>
    <w:p>
      <w:r>
        <w:br w:type="page"/>
      </w:r>
    </w:p>
    <w:p>
      <w:pPr>
        <w:pStyle w:val="Heading1"/>
      </w:pPr>
      <w:r>
        <w:t>參、研究過程及方法</w:t>
      </w:r>
    </w:p>
    <w:p>
      <w:pPr>
        <w:pStyle w:val="Heading2"/>
      </w:pPr>
      <w:r>
        <w:t>一、實驗設定</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60"/>
            </w:pPr>
            <w:r>
              <w:rPr>
                <w:sz w:val="18"/>
              </w:rPr>
              <w:t>實驗</w:t>
            </w:r>
          </w:p>
        </w:tc>
        <w:tc>
          <w:tcPr>
            <w:tcW w:type="dxa" w:w="3175"/>
          </w:tcPr>
          <w:p>
            <w:pPr>
              <w:spacing w:after="60"/>
            </w:pPr>
            <w:r>
              <w:rPr>
                <w:sz w:val="18"/>
              </w:rPr>
              <w:t>改變的設定</w:t>
            </w:r>
          </w:p>
        </w:tc>
        <w:tc>
          <w:tcPr>
            <w:tcW w:type="dxa" w:w="3175"/>
          </w:tcPr>
          <w:p>
            <w:pPr>
              <w:spacing w:after="60"/>
            </w:pPr>
            <w:r>
              <w:rPr>
                <w:sz w:val="18"/>
              </w:rPr>
              <w:t>固定的設定</w:t>
            </w:r>
          </w:p>
        </w:tc>
      </w:tr>
      <w:tr>
        <w:trPr>
          <w:cantSplit/>
        </w:trPr>
        <w:tc>
          <w:tcPr>
            <w:tcW w:type="dxa" w:w="3175"/>
          </w:tcPr>
          <w:p>
            <w:pPr>
              <w:spacing w:after="60"/>
            </w:pPr>
            <w:r>
              <w:rPr>
                <w:sz w:val="18"/>
              </w:rPr>
              <w:t>A</w:t>
            </w:r>
          </w:p>
        </w:tc>
        <w:tc>
          <w:tcPr>
            <w:tcW w:type="dxa" w:w="3175"/>
          </w:tcPr>
          <w:p>
            <w:pPr>
              <w:spacing w:after="60"/>
            </w:pPr>
            <w:r>
              <w:rPr>
                <w:sz w:val="18"/>
              </w:rPr>
              <w:t>Alpha：0.01、0.1、1、10、100</w:t>
            </w:r>
          </w:p>
        </w:tc>
        <w:tc>
          <w:tcPr>
            <w:tcW w:type="dxa" w:w="3175"/>
          </w:tcPr>
          <w:p>
            <w:pPr>
              <w:spacing w:after="60"/>
            </w:pPr>
            <w:r>
              <w:rPr>
                <w:sz w:val="18"/>
              </w:rPr>
              <w:t>Scale = 10</w:t>
            </w:r>
          </w:p>
        </w:tc>
      </w:tr>
      <w:tr>
        <w:trPr>
          <w:cantSplit/>
        </w:trPr>
        <w:tc>
          <w:tcPr>
            <w:tcW w:type="dxa" w:w="3175"/>
          </w:tcPr>
          <w:p>
            <w:pPr>
              <w:spacing w:after="60"/>
            </w:pPr>
            <w:r>
              <w:rPr>
                <w:sz w:val="18"/>
              </w:rPr>
              <w:t>B</w:t>
            </w:r>
          </w:p>
        </w:tc>
        <w:tc>
          <w:tcPr>
            <w:tcW w:type="dxa" w:w="3175"/>
          </w:tcPr>
          <w:p>
            <w:pPr>
              <w:spacing w:after="60"/>
            </w:pPr>
            <w:r>
              <w:rPr>
                <w:sz w:val="18"/>
              </w:rPr>
              <w:t>Scale：1、2、5、10、20</w:t>
            </w:r>
          </w:p>
        </w:tc>
        <w:tc>
          <w:tcPr>
            <w:tcW w:type="dxa" w:w="3175"/>
          </w:tcPr>
          <w:p>
            <w:pPr>
              <w:spacing w:after="60"/>
            </w:pPr>
            <w:r>
              <w:rPr>
                <w:sz w:val="18"/>
              </w:rPr>
              <w:t>Alpha = 0.1</w:t>
            </w:r>
          </w:p>
        </w:tc>
      </w:tr>
    </w:tbl>
    <w:tbl>
      <w:tblPr>
        <w:tblStyle w:val="LightShading-Accent1"/>
        <w:tblW w:type="auto" w:w="0"/>
        <w:tblLook w:firstColumn="1" w:firstRow="1" w:lastColumn="0" w:lastRow="0" w:noHBand="0" w:noVBand="1" w:val="04A0"/>
      </w:tblPr>
      <w:tblGrid>
        <w:gridCol w:w="4762"/>
        <w:gridCol w:w="4762"/>
      </w:tblGrid>
      <w:tr>
        <w:trPr>
          <w:tblHeader/>
          <w:cantSplit/>
        </w:trPr>
        <w:tc>
          <w:tcPr>
            <w:tcW w:type="dxa" w:w="4762"/>
          </w:tcPr>
          <w:p>
            <w:pPr>
              <w:spacing w:after="60"/>
            </w:pPr>
            <w:r>
              <w:rPr>
                <w:sz w:val="18"/>
              </w:rPr>
              <w:t>共同條件</w:t>
            </w:r>
          </w:p>
        </w:tc>
        <w:tc>
          <w:tcPr>
            <w:tcW w:type="dxa" w:w="4762"/>
          </w:tcPr>
          <w:p>
            <w:pPr>
              <w:spacing w:after="60"/>
            </w:pPr>
            <w:r>
              <w:rPr>
                <w:sz w:val="18"/>
              </w:rPr>
              <w:t>設定</w:t>
            </w:r>
          </w:p>
        </w:tc>
      </w:tr>
      <w:tr>
        <w:trPr>
          <w:cantSplit/>
        </w:trPr>
        <w:tc>
          <w:tcPr>
            <w:tcW w:type="dxa" w:w="4762"/>
          </w:tcPr>
          <w:p>
            <w:pPr>
              <w:spacing w:after="60"/>
            </w:pPr>
            <w:r>
              <w:rPr>
                <w:sz w:val="18"/>
              </w:rPr>
              <w:t>Seeds</w:t>
            </w:r>
          </w:p>
        </w:tc>
        <w:tc>
          <w:tcPr>
            <w:tcW w:type="dxa" w:w="4762"/>
          </w:tcPr>
          <w:p>
            <w:pPr>
              <w:spacing w:after="60"/>
            </w:pPr>
            <w:r>
              <w:rPr>
                <w:sz w:val="18"/>
              </w:rPr>
              <w:t>42、43、44</w:t>
            </w:r>
          </w:p>
        </w:tc>
      </w:tr>
      <w:tr>
        <w:trPr>
          <w:cantSplit/>
        </w:trPr>
        <w:tc>
          <w:tcPr>
            <w:tcW w:type="dxa" w:w="4762"/>
          </w:tcPr>
          <w:p>
            <w:pPr>
              <w:spacing w:after="60"/>
            </w:pPr>
            <w:r>
              <w:rPr>
                <w:sz w:val="18"/>
              </w:rPr>
              <w:t>參與端／攻擊者</w:t>
            </w:r>
          </w:p>
        </w:tc>
        <w:tc>
          <w:tcPr>
            <w:tcW w:type="dxa" w:w="4762"/>
          </w:tcPr>
          <w:p>
            <w:pPr>
              <w:spacing w:after="60"/>
            </w:pPr>
            <w:r>
              <w:rPr>
                <w:sz w:val="18"/>
              </w:rPr>
              <w:t>5 個；client 0 為攻擊者</w:t>
            </w:r>
          </w:p>
        </w:tc>
      </w:tr>
      <w:tr>
        <w:trPr>
          <w:cantSplit/>
        </w:trPr>
        <w:tc>
          <w:tcPr>
            <w:tcW w:type="dxa" w:w="4762"/>
          </w:tcPr>
          <w:p>
            <w:pPr>
              <w:spacing w:after="60"/>
            </w:pPr>
            <w:r>
              <w:rPr>
                <w:sz w:val="18"/>
              </w:rPr>
              <w:t>每次訓練</w:t>
            </w:r>
          </w:p>
        </w:tc>
        <w:tc>
          <w:tcPr>
            <w:tcW w:type="dxa" w:w="4762"/>
          </w:tcPr>
          <w:p>
            <w:pPr>
              <w:spacing w:after="60"/>
            </w:pPr>
            <w:r>
              <w:rPr>
                <w:sz w:val="18"/>
              </w:rPr>
              <w:t>10 輪，每端每輪訓練一遍自己的資料</w:t>
            </w:r>
          </w:p>
        </w:tc>
      </w:tr>
      <w:tr>
        <w:trPr>
          <w:cantSplit/>
        </w:trPr>
        <w:tc>
          <w:tcPr>
            <w:tcW w:type="dxa" w:w="4762"/>
          </w:tcPr>
          <w:p>
            <w:pPr>
              <w:spacing w:after="60"/>
            </w:pPr>
            <w:r>
              <w:rPr>
                <w:sz w:val="18"/>
              </w:rPr>
              <w:t>最佳化</w:t>
            </w:r>
          </w:p>
        </w:tc>
        <w:tc>
          <w:tcPr>
            <w:tcW w:type="dxa" w:w="4762"/>
          </w:tcPr>
          <w:p>
            <w:pPr>
              <w:spacing w:after="60"/>
            </w:pPr>
            <w:r>
              <w:rPr>
                <w:sz w:val="18"/>
              </w:rPr>
              <w:t>SGD；learning rate = 0.01；batch size = 32</w:t>
            </w:r>
          </w:p>
        </w:tc>
      </w:tr>
      <w:tr>
        <w:trPr>
          <w:cantSplit/>
        </w:trPr>
        <w:tc>
          <w:tcPr>
            <w:tcW w:type="dxa" w:w="4762"/>
          </w:tcPr>
          <w:p>
            <w:pPr>
              <w:spacing w:after="60"/>
            </w:pPr>
            <w:r>
              <w:rPr>
                <w:sz w:val="18"/>
              </w:rPr>
              <w:t>評估</w:t>
            </w:r>
          </w:p>
        </w:tc>
        <w:tc>
          <w:tcPr>
            <w:tcW w:type="dxa" w:w="4762"/>
          </w:tcPr>
          <w:p>
            <w:pPr>
              <w:spacing w:after="60"/>
            </w:pPr>
            <w:r>
              <w:rPr>
                <w:sz w:val="18"/>
              </w:rPr>
              <w:t>同一份 MNIST 測試集；主要比較第 10 輪</w:t>
            </w:r>
          </w:p>
        </w:tc>
      </w:tr>
      <w:tr>
        <w:trPr>
          <w:cantSplit/>
        </w:trPr>
        <w:tc>
          <w:tcPr>
            <w:tcW w:type="dxa" w:w="4762"/>
          </w:tcPr>
          <w:p>
            <w:pPr>
              <w:spacing w:after="60"/>
            </w:pPr>
            <w:r>
              <w:rPr>
                <w:sz w:val="18"/>
              </w:rPr>
              <w:t>配對控制</w:t>
            </w:r>
          </w:p>
        </w:tc>
        <w:tc>
          <w:tcPr>
            <w:tcW w:type="dxa" w:w="4762"/>
          </w:tcPr>
          <w:p>
            <w:pPr>
              <w:spacing w:after="60"/>
            </w:pPr>
            <w:r>
              <w:rPr>
                <w:sz w:val="18"/>
              </w:rPr>
              <w:t>同一 seed 下，Clean／Poisoned 的初始模型、資料分配及洗牌 seed 相同</w:t>
            </w:r>
          </w:p>
        </w:tc>
      </w:tr>
    </w:tbl>
    <w:p>
      <w:r>
        <w:t>A、B 各有五列設定，但 Alpha = 0.1、Scale = 10 是交會點。因此有九個不同設定，每個設定為三個 seeds × 兩種條件，共 54 次訓練。不是 60 次獨立訓練；B 中重複的 Clean 結果也不是額外的獨立樣本。</w:t>
      </w:r>
    </w:p>
    <w:p>
      <w:pPr>
        <w:pStyle w:val="Heading2"/>
      </w:pPr>
      <w:r>
        <w:t>二、每輪流程</w:t>
      </w:r>
    </w:p>
    <w:p>
      <w:r>
        <w:t>全域模型送到五個 client → 各端用自己的資料訓練 → client 0 在攻擊條件下放大更新 → 依樣本數加權合併 → 使用測試集計算準確率與 Loss → 進入下一輪。</w:t>
      </w:r>
    </w:p>
    <w:p>
      <w:pPr>
        <w:pStyle w:val="Heading2"/>
      </w:pPr>
      <w:r>
        <w:t>三、資料分配</w:t>
      </w:r>
    </w:p>
    <w:p>
      <w:r>
        <w:t>對每一類數字，用 Dirichlet 分布產生五個分配比例，再將該類圖片分到五個 client。Alpha 控制比例差異。每張訓練圖片只分到一個 client；同一 seed 的 Clean／Poisoned 使用完全相同的分配。這個方法不保證五端樣本數相等，所以 Alpha 同時影響資料種類與資料量。</w:t>
      </w:r>
    </w:p>
    <w:p>
      <w:r>
        <w:br w:type="page"/>
      </w:r>
    </w:p>
    <w:p>
      <w:pPr>
        <w:pStyle w:val="Heading1"/>
      </w:pPr>
      <w:r>
        <w:t>參、研究過程及方法（續）</w:t>
      </w:r>
    </w:p>
    <w:p>
      <w:pPr>
        <w:pStyle w:val="Heading2"/>
      </w:pPr>
      <w:r>
        <w:t>四、模型更新與合併公式</w:t>
      </w:r>
    </w:p>
    <w:p>
      <w:pPr>
        <w:jc w:val="center"/>
      </w:pPr>
      <m:oMath>
        <m:r>
          <m:t>Δw = w_local − w_start</m:t>
        </m:r>
      </m:oMath>
    </w:p>
    <w:p>
      <w:r>
        <w:t>w_start 是本輪開始的共同模型；w_local 是某個 client 訓練後的模型；Δw 是它這一輪學到的變化。</w:t>
      </w:r>
    </w:p>
    <w:p>
      <w:pPr>
        <w:jc w:val="center"/>
      </w:pPr>
      <m:oMath>
        <m:r>
          <m:t>w_send = w_start + s × Δw</m:t>
        </m:r>
      </m:oMath>
    </w:p>
    <w:p>
      <w:r>
        <w:t>此式用於攻擊者，s 代表 Scale。Scale = 10 是把更新放大十倍，不是把整個模型直接乘十倍。</w:t>
      </w:r>
    </w:p>
    <w:p>
      <w:pPr>
        <w:jc w:val="center"/>
      </w:pPr>
      <m:oMath>
        <m:r>
          <m:t>w_next = Σ [(n_k / N) × w_send,k]</m:t>
        </m:r>
      </m:oMath>
    </w:p>
    <w:p>
      <w:r>
        <w:t>Σ 表示把五個 client 的結果加起來；n_k 是第 k 個 client 的訓練樣本數，w_send,k 是該端送出的模型；N = 60,000。資料較多的 client，在 FedAvg 中的權重較大。</w:t>
      </w:r>
    </w:p>
    <w:p>
      <w:pPr>
        <w:pStyle w:val="Heading2"/>
      </w:pPr>
      <w:r>
        <w:t>五、如何計算攻擊損害</w:t>
      </w:r>
    </w:p>
    <w:p>
      <w:pPr>
        <w:jc w:val="center"/>
      </w:pPr>
      <m:oMath>
        <m:r>
          <m:t>Accuracy = 正確辨識張數 / 測試圖片總數</m:t>
        </m:r>
      </m:oMath>
    </w:p>
    <w:p>
      <w:r>
        <w:t>程式以 0～1 記錄準確率；圖表乘以 100 後顯示百分比。</w:t>
      </w:r>
    </w:p>
    <w:p>
      <w:pPr>
        <w:jc w:val="center"/>
      </w:pPr>
      <m:oMath>
        <m:r>
          <m:t>Dacc = 100 × (Accuracyclean − Accuracypoisoned)</m:t>
        </m:r>
      </m:oMath>
    </w:p>
    <w:p>
      <w:r>
        <w:t>Dacc 的單位是百分點。例如 90% 降到 70%，損害為 20 個百分點，不是相對下降 20%。</w:t>
      </w:r>
    </w:p>
    <w:p>
      <w:pPr>
        <w:jc w:val="center"/>
      </w:pPr>
      <m:oMath>
        <m:r>
          <m:t>Dloss = Losspoisoned − Lossclean</m:t>
        </m:r>
      </m:oMath>
    </w:p>
    <w:p>
      <w:r>
        <w:t>兩種損害都以正值表示變差；負值表示該次結果略有改善，不應改成零。</w:t>
      </w:r>
    </w:p>
    <w:p>
      <w:pPr>
        <w:jc w:val="center"/>
      </w:pPr>
      <m:oMath>
        <m:r>
          <m:t>平均損害 = (D₄₂ + D₄₃ + D₄₄) / 3</m:t>
        </m:r>
      </m:oMath>
    </w:p>
    <w:p>
      <w:r>
        <w:t>先算每個 seed 的配對差，再平均。誤差棒使用三個配對差的樣本標準差；不是信賴區間，也不是把十輪當成十次重複。</w:t>
      </w:r>
    </w:p>
    <w:p>
      <w:pPr>
        <w:jc w:val="center"/>
      </w:pPr>
      <m:oMath>
        <m:r>
          <m:t>樣本標準差 = √[ Σ (Dᵢ − 平均損害)² / (3 − 1) ]</m:t>
        </m:r>
      </m:oMath>
    </w:p>
    <w:p>
      <w:r>
        <w:t>標準差越大，代表三個 seeds 的結果越分散。只有三次重複時，估計仍可能不穩定。</w:t>
      </w:r>
    </w:p>
    <w:p>
      <w:r>
        <w:br w:type="page"/>
      </w:r>
    </w:p>
    <w:p>
      <w:pPr>
        <w:pStyle w:val="Heading1"/>
      </w:pPr>
      <w:r>
        <w:t>肆、研究結果｜實驗 A：改變 Alpha</w:t>
      </w:r>
    </w:p>
    <w:tbl>
      <w:tblPr>
        <w:tblStyle w:val="LightShading-Accent1"/>
        <w:tblW w:type="auto" w:w="0"/>
        <w:tblLook w:firstColumn="1" w:firstRow="1" w:lastColumn="0" w:lastRow="0" w:noHBand="0" w:noVBand="1" w:val="04A0"/>
      </w:tblPr>
      <w:tblGrid>
        <w:gridCol w:w="2381"/>
        <w:gridCol w:w="2381"/>
        <w:gridCol w:w="2381"/>
        <w:gridCol w:w="2381"/>
      </w:tblGrid>
      <w:tr>
        <w:trPr>
          <w:tblHeader/>
          <w:cantSplit/>
        </w:trPr>
        <w:tc>
          <w:tcPr>
            <w:tcW w:type="dxa" w:w="2381"/>
          </w:tcPr>
          <w:p>
            <w:pPr>
              <w:spacing w:after="60"/>
            </w:pPr>
            <w:r>
              <w:rPr>
                <w:sz w:val="18"/>
              </w:rPr>
              <w:t>Alpha</w:t>
            </w:r>
          </w:p>
        </w:tc>
        <w:tc>
          <w:tcPr>
            <w:tcW w:type="dxa" w:w="2381"/>
          </w:tcPr>
          <w:p>
            <w:pPr>
              <w:spacing w:after="60"/>
            </w:pPr>
            <w:r>
              <w:rPr>
                <w:sz w:val="18"/>
              </w:rPr>
              <w:t>Clean（%）</w:t>
            </w:r>
          </w:p>
        </w:tc>
        <w:tc>
          <w:tcPr>
            <w:tcW w:type="dxa" w:w="2381"/>
          </w:tcPr>
          <w:p>
            <w:pPr>
              <w:spacing w:after="60"/>
            </w:pPr>
            <w:r>
              <w:rPr>
                <w:sz w:val="18"/>
              </w:rPr>
              <w:t>Poisoned（%）</w:t>
            </w:r>
          </w:p>
        </w:tc>
        <w:tc>
          <w:tcPr>
            <w:tcW w:type="dxa" w:w="2381"/>
          </w:tcPr>
          <w:p>
            <w:pPr>
              <w:spacing w:after="60"/>
            </w:pPr>
            <w:r>
              <w:rPr>
                <w:sz w:val="18"/>
              </w:rPr>
              <w:t>損害（百分點）</w:t>
            </w:r>
          </w:p>
        </w:tc>
      </w:tr>
      <w:tr>
        <w:trPr>
          <w:cantSplit/>
        </w:trPr>
        <w:tc>
          <w:tcPr>
            <w:tcW w:type="dxa" w:w="2381"/>
          </w:tcPr>
          <w:p>
            <w:pPr>
              <w:spacing w:after="60"/>
            </w:pPr>
            <w:r>
              <w:rPr>
                <w:sz w:val="18"/>
              </w:rPr>
              <w:t>0.01</w:t>
            </w:r>
          </w:p>
        </w:tc>
        <w:tc>
          <w:tcPr>
            <w:tcW w:type="dxa" w:w="2381"/>
          </w:tcPr>
          <w:p>
            <w:pPr>
              <w:spacing w:after="60"/>
            </w:pPr>
            <w:r>
              <w:rPr>
                <w:sz w:val="18"/>
              </w:rPr>
              <w:t>69.96 ± 6.30</w:t>
            </w:r>
          </w:p>
        </w:tc>
        <w:tc>
          <w:tcPr>
            <w:tcW w:type="dxa" w:w="2381"/>
          </w:tcPr>
          <w:p>
            <w:pPr>
              <w:spacing w:after="60"/>
            </w:pPr>
            <w:r>
              <w:rPr>
                <w:sz w:val="18"/>
              </w:rPr>
              <w:t>43.20 ± 33.45</w:t>
            </w:r>
          </w:p>
        </w:tc>
        <w:tc>
          <w:tcPr>
            <w:tcW w:type="dxa" w:w="2381"/>
          </w:tcPr>
          <w:p>
            <w:pPr>
              <w:spacing w:after="60"/>
            </w:pPr>
            <w:r>
              <w:rPr>
                <w:sz w:val="18"/>
              </w:rPr>
              <w:t>26.76 ± 27.87</w:t>
            </w:r>
          </w:p>
        </w:tc>
      </w:tr>
      <w:tr>
        <w:trPr>
          <w:cantSplit/>
        </w:trPr>
        <w:tc>
          <w:tcPr>
            <w:tcW w:type="dxa" w:w="2381"/>
          </w:tcPr>
          <w:p>
            <w:pPr>
              <w:spacing w:after="60"/>
            </w:pPr>
            <w:r>
              <w:rPr>
                <w:sz w:val="18"/>
              </w:rPr>
              <w:t>0.1</w:t>
            </w:r>
          </w:p>
        </w:tc>
        <w:tc>
          <w:tcPr>
            <w:tcW w:type="dxa" w:w="2381"/>
          </w:tcPr>
          <w:p>
            <w:pPr>
              <w:spacing w:after="60"/>
            </w:pPr>
            <w:r>
              <w:rPr>
                <w:sz w:val="18"/>
              </w:rPr>
              <w:t>82.87 ± 6.24</w:t>
            </w:r>
          </w:p>
        </w:tc>
        <w:tc>
          <w:tcPr>
            <w:tcW w:type="dxa" w:w="2381"/>
          </w:tcPr>
          <w:p>
            <w:pPr>
              <w:spacing w:after="60"/>
            </w:pPr>
            <w:r>
              <w:rPr>
                <w:sz w:val="18"/>
              </w:rPr>
              <w:t>48.65 ± 31.82</w:t>
            </w:r>
          </w:p>
        </w:tc>
        <w:tc>
          <w:tcPr>
            <w:tcW w:type="dxa" w:w="2381"/>
          </w:tcPr>
          <w:p>
            <w:pPr>
              <w:spacing w:after="60"/>
            </w:pPr>
            <w:r>
              <w:rPr>
                <w:sz w:val="18"/>
              </w:rPr>
              <w:t>34.22 ± 30.08</w:t>
            </w:r>
          </w:p>
        </w:tc>
      </w:tr>
      <w:tr>
        <w:trPr>
          <w:cantSplit/>
        </w:trPr>
        <w:tc>
          <w:tcPr>
            <w:tcW w:type="dxa" w:w="2381"/>
          </w:tcPr>
          <w:p>
            <w:pPr>
              <w:spacing w:after="60"/>
            </w:pPr>
            <w:r>
              <w:rPr>
                <w:sz w:val="18"/>
              </w:rPr>
              <w:t>1</w:t>
            </w:r>
          </w:p>
        </w:tc>
        <w:tc>
          <w:tcPr>
            <w:tcW w:type="dxa" w:w="2381"/>
          </w:tcPr>
          <w:p>
            <w:pPr>
              <w:spacing w:after="60"/>
            </w:pPr>
            <w:r>
              <w:rPr>
                <w:sz w:val="18"/>
              </w:rPr>
              <w:t>90.58 ± 0.16</w:t>
            </w:r>
          </w:p>
        </w:tc>
        <w:tc>
          <w:tcPr>
            <w:tcW w:type="dxa" w:w="2381"/>
          </w:tcPr>
          <w:p>
            <w:pPr>
              <w:spacing w:after="60"/>
            </w:pPr>
            <w:r>
              <w:rPr>
                <w:sz w:val="18"/>
              </w:rPr>
              <w:t>42.20 ± 24.15</w:t>
            </w:r>
          </w:p>
        </w:tc>
        <w:tc>
          <w:tcPr>
            <w:tcW w:type="dxa" w:w="2381"/>
          </w:tcPr>
          <w:p>
            <w:pPr>
              <w:spacing w:after="60"/>
            </w:pPr>
            <w:r>
              <w:rPr>
                <w:sz w:val="18"/>
              </w:rPr>
              <w:t>48.38 ± 24.11</w:t>
            </w:r>
          </w:p>
        </w:tc>
      </w:tr>
      <w:tr>
        <w:trPr>
          <w:cantSplit/>
        </w:trPr>
        <w:tc>
          <w:tcPr>
            <w:tcW w:type="dxa" w:w="2381"/>
          </w:tcPr>
          <w:p>
            <w:pPr>
              <w:spacing w:after="60"/>
            </w:pPr>
            <w:r>
              <w:rPr>
                <w:sz w:val="18"/>
              </w:rPr>
              <w:t>10</w:t>
            </w:r>
          </w:p>
        </w:tc>
        <w:tc>
          <w:tcPr>
            <w:tcW w:type="dxa" w:w="2381"/>
          </w:tcPr>
          <w:p>
            <w:pPr>
              <w:spacing w:after="60"/>
            </w:pPr>
            <w:r>
              <w:rPr>
                <w:sz w:val="18"/>
              </w:rPr>
              <w:t>90.92 ± 0.07</w:t>
            </w:r>
          </w:p>
        </w:tc>
        <w:tc>
          <w:tcPr>
            <w:tcW w:type="dxa" w:w="2381"/>
          </w:tcPr>
          <w:p>
            <w:pPr>
              <w:spacing w:after="60"/>
            </w:pPr>
            <w:r>
              <w:rPr>
                <w:sz w:val="18"/>
              </w:rPr>
              <w:t>28.21 ± 18.30</w:t>
            </w:r>
          </w:p>
        </w:tc>
        <w:tc>
          <w:tcPr>
            <w:tcW w:type="dxa" w:w="2381"/>
          </w:tcPr>
          <w:p>
            <w:pPr>
              <w:spacing w:after="60"/>
            </w:pPr>
            <w:r>
              <w:rPr>
                <w:sz w:val="18"/>
              </w:rPr>
              <w:t>62.71 ± 18.33</w:t>
            </w:r>
          </w:p>
        </w:tc>
      </w:tr>
      <w:tr>
        <w:trPr>
          <w:cantSplit/>
        </w:trPr>
        <w:tc>
          <w:tcPr>
            <w:tcW w:type="dxa" w:w="2381"/>
          </w:tcPr>
          <w:p>
            <w:pPr>
              <w:spacing w:after="60"/>
            </w:pPr>
            <w:r>
              <w:rPr>
                <w:sz w:val="18"/>
              </w:rPr>
              <w:t>100</w:t>
            </w:r>
          </w:p>
        </w:tc>
        <w:tc>
          <w:tcPr>
            <w:tcW w:type="dxa" w:w="2381"/>
          </w:tcPr>
          <w:p>
            <w:pPr>
              <w:spacing w:after="60"/>
            </w:pPr>
            <w:r>
              <w:rPr>
                <w:sz w:val="18"/>
              </w:rPr>
              <w:t>90.93 ± 0.07</w:t>
            </w:r>
          </w:p>
        </w:tc>
        <w:tc>
          <w:tcPr>
            <w:tcW w:type="dxa" w:w="2381"/>
          </w:tcPr>
          <w:p>
            <w:pPr>
              <w:spacing w:after="60"/>
            </w:pPr>
            <w:r>
              <w:rPr>
                <w:sz w:val="18"/>
              </w:rPr>
              <w:t>26.25 ± 4.44</w:t>
            </w:r>
          </w:p>
        </w:tc>
        <w:tc>
          <w:tcPr>
            <w:tcW w:type="dxa" w:w="2381"/>
          </w:tcPr>
          <w:p>
            <w:pPr>
              <w:spacing w:after="60"/>
            </w:pPr>
            <w:r>
              <w:rPr>
                <w:sz w:val="18"/>
              </w:rPr>
              <w:t>64.68 ± 4.45</w:t>
            </w:r>
          </w:p>
        </w:tc>
      </w:tr>
    </w:tbl>
    <w:p>
      <w:r>
        <w:t>表中為平均 ± 樣本標準差；每列使用三個 seeds。所有主要比較取第 10 輪。</w:t>
      </w:r>
    </w:p>
    <w:p>
      <w:r>
        <w:drawing>
          <wp:inline xmlns:a="http://schemas.openxmlformats.org/drawingml/2006/main" xmlns:pic="http://schemas.openxmlformats.org/drawingml/2006/picture">
            <wp:extent cx="5943600" cy="4357073"/>
            <wp:docPr id="2" name="Picture 2"/>
            <wp:cNvGraphicFramePr>
              <a:graphicFrameLocks noChangeAspect="1"/>
            </wp:cNvGraphicFramePr>
            <a:graphic>
              <a:graphicData uri="http://schemas.openxmlformats.org/drawingml/2006/picture">
                <pic:pic>
                  <pic:nvPicPr>
                    <pic:cNvPr id="0" name="A_overview.png"/>
                    <pic:cNvPicPr/>
                  </pic:nvPicPr>
                  <pic:blipFill>
                    <a:blip r:embed="rId11"/>
                    <a:stretch>
                      <a:fillRect/>
                    </a:stretch>
                  </pic:blipFill>
                  <pic:spPr>
                    <a:xfrm>
                      <a:off x="0" y="0"/>
                      <a:ext cx="5943600" cy="4357073"/>
                    </a:xfrm>
                    <a:prstGeom prst="rect"/>
                  </pic:spPr>
                </pic:pic>
              </a:graphicData>
            </a:graphic>
          </wp:inline>
        </w:drawing>
      </w:r>
    </w:p>
    <w:p>
      <w:pPr>
        <w:pStyle w:val="Caption"/>
      </w:pPr>
      <w:r>
        <w:t>圖 1　實驗 A 的準確率、Loss 與配對損害。橫軸依設定等距排列；誤差棒可能跨過零，不代表原始 Loss 為負。</w:t>
      </w:r>
    </w:p>
    <w:p>
      <w:r>
        <w:t>無攻擊準確率隨 Alpha 增大而提高，且在 Alpha ≥ 1 時約為 90%～91%。平均準確率損害也隨 Alpha 增大，從 26.76 增至 64.68 個百分點。Loss 損害並未呈現相同的單調趨勢，因此不能說每個指標都隨 Alpha 增加。</w:t>
      </w:r>
    </w:p>
    <w:p>
      <w:r>
        <w:br w:type="page"/>
      </w:r>
    </w:p>
    <w:p>
      <w:pPr>
        <w:pStyle w:val="Heading1"/>
      </w:pPr>
      <w:r>
        <w:t>肆、研究結果｜實驗 B：改變 Scale</w:t>
      </w:r>
    </w:p>
    <w:tbl>
      <w:tblPr>
        <w:tblStyle w:val="LightShading-Accent1"/>
        <w:tblW w:type="auto" w:w="0"/>
        <w:tblLook w:firstColumn="1" w:firstRow="1" w:lastColumn="0" w:lastRow="0" w:noHBand="0" w:noVBand="1" w:val="04A0"/>
      </w:tblPr>
      <w:tblGrid>
        <w:gridCol w:w="2381"/>
        <w:gridCol w:w="2381"/>
        <w:gridCol w:w="2381"/>
        <w:gridCol w:w="2381"/>
      </w:tblGrid>
      <w:tr>
        <w:trPr>
          <w:tblHeader/>
          <w:cantSplit/>
        </w:trPr>
        <w:tc>
          <w:tcPr>
            <w:tcW w:type="dxa" w:w="2381"/>
          </w:tcPr>
          <w:p>
            <w:pPr>
              <w:spacing w:after="60"/>
            </w:pPr>
            <w:r>
              <w:rPr>
                <w:sz w:val="18"/>
              </w:rPr>
              <w:t>Scale</w:t>
            </w:r>
          </w:p>
        </w:tc>
        <w:tc>
          <w:tcPr>
            <w:tcW w:type="dxa" w:w="2381"/>
          </w:tcPr>
          <w:p>
            <w:pPr>
              <w:spacing w:after="60"/>
            </w:pPr>
            <w:r>
              <w:rPr>
                <w:sz w:val="18"/>
              </w:rPr>
              <w:t>Clean（%）</w:t>
            </w:r>
          </w:p>
        </w:tc>
        <w:tc>
          <w:tcPr>
            <w:tcW w:type="dxa" w:w="2381"/>
          </w:tcPr>
          <w:p>
            <w:pPr>
              <w:spacing w:after="60"/>
            </w:pPr>
            <w:r>
              <w:rPr>
                <w:sz w:val="18"/>
              </w:rPr>
              <w:t>Poisoned（%）</w:t>
            </w:r>
          </w:p>
        </w:tc>
        <w:tc>
          <w:tcPr>
            <w:tcW w:type="dxa" w:w="2381"/>
          </w:tcPr>
          <w:p>
            <w:pPr>
              <w:spacing w:after="60"/>
            </w:pPr>
            <w:r>
              <w:rPr>
                <w:sz w:val="18"/>
              </w:rPr>
              <w:t>損害（百分點）</w:t>
            </w:r>
          </w:p>
        </w:tc>
      </w:tr>
      <w:tr>
        <w:trPr>
          <w:cantSplit/>
        </w:trPr>
        <w:tc>
          <w:tcPr>
            <w:tcW w:type="dxa" w:w="2381"/>
          </w:tcPr>
          <w:p>
            <w:pPr>
              <w:spacing w:after="60"/>
            </w:pPr>
            <w:r>
              <w:rPr>
                <w:sz w:val="18"/>
              </w:rPr>
              <w:t>1</w:t>
            </w:r>
          </w:p>
        </w:tc>
        <w:tc>
          <w:tcPr>
            <w:tcW w:type="dxa" w:w="2381"/>
          </w:tcPr>
          <w:p>
            <w:pPr>
              <w:spacing w:after="60"/>
            </w:pPr>
            <w:r>
              <w:rPr>
                <w:sz w:val="18"/>
              </w:rPr>
              <w:t>82.87 ± 6.24</w:t>
            </w:r>
          </w:p>
        </w:tc>
        <w:tc>
          <w:tcPr>
            <w:tcW w:type="dxa" w:w="2381"/>
          </w:tcPr>
          <w:p>
            <w:pPr>
              <w:spacing w:after="60"/>
            </w:pPr>
            <w:r>
              <w:rPr>
                <w:sz w:val="18"/>
              </w:rPr>
              <w:t>82.87 ± 6.24</w:t>
            </w:r>
          </w:p>
        </w:tc>
        <w:tc>
          <w:tcPr>
            <w:tcW w:type="dxa" w:w="2381"/>
          </w:tcPr>
          <w:p>
            <w:pPr>
              <w:spacing w:after="60"/>
            </w:pPr>
            <w:r>
              <w:rPr>
                <w:sz w:val="18"/>
              </w:rPr>
              <w:t>0.00 ± 0.00</w:t>
            </w:r>
          </w:p>
        </w:tc>
      </w:tr>
      <w:tr>
        <w:trPr>
          <w:cantSplit/>
        </w:trPr>
        <w:tc>
          <w:tcPr>
            <w:tcW w:type="dxa" w:w="2381"/>
          </w:tcPr>
          <w:p>
            <w:pPr>
              <w:spacing w:after="60"/>
            </w:pPr>
            <w:r>
              <w:rPr>
                <w:sz w:val="18"/>
              </w:rPr>
              <w:t>2</w:t>
            </w:r>
          </w:p>
        </w:tc>
        <w:tc>
          <w:tcPr>
            <w:tcW w:type="dxa" w:w="2381"/>
          </w:tcPr>
          <w:p>
            <w:pPr>
              <w:spacing w:after="60"/>
            </w:pPr>
            <w:r>
              <w:rPr>
                <w:sz w:val="18"/>
              </w:rPr>
              <w:t>82.87 ± 6.24</w:t>
            </w:r>
          </w:p>
        </w:tc>
        <w:tc>
          <w:tcPr>
            <w:tcW w:type="dxa" w:w="2381"/>
          </w:tcPr>
          <w:p>
            <w:pPr>
              <w:spacing w:after="60"/>
            </w:pPr>
            <w:r>
              <w:rPr>
                <w:sz w:val="18"/>
              </w:rPr>
              <w:t>81.58 ± 5.95</w:t>
            </w:r>
          </w:p>
        </w:tc>
        <w:tc>
          <w:tcPr>
            <w:tcW w:type="dxa" w:w="2381"/>
          </w:tcPr>
          <w:p>
            <w:pPr>
              <w:spacing w:after="60"/>
            </w:pPr>
            <w:r>
              <w:rPr>
                <w:sz w:val="18"/>
              </w:rPr>
              <w:t>1.28 ± 1.50</w:t>
            </w:r>
          </w:p>
        </w:tc>
      </w:tr>
      <w:tr>
        <w:trPr>
          <w:cantSplit/>
        </w:trPr>
        <w:tc>
          <w:tcPr>
            <w:tcW w:type="dxa" w:w="2381"/>
          </w:tcPr>
          <w:p>
            <w:pPr>
              <w:spacing w:after="60"/>
            </w:pPr>
            <w:r>
              <w:rPr>
                <w:sz w:val="18"/>
              </w:rPr>
              <w:t>5</w:t>
            </w:r>
          </w:p>
        </w:tc>
        <w:tc>
          <w:tcPr>
            <w:tcW w:type="dxa" w:w="2381"/>
          </w:tcPr>
          <w:p>
            <w:pPr>
              <w:spacing w:after="60"/>
            </w:pPr>
            <w:r>
              <w:rPr>
                <w:sz w:val="18"/>
              </w:rPr>
              <w:t>82.87 ± 6.24</w:t>
            </w:r>
          </w:p>
        </w:tc>
        <w:tc>
          <w:tcPr>
            <w:tcW w:type="dxa" w:w="2381"/>
          </w:tcPr>
          <w:p>
            <w:pPr>
              <w:spacing w:after="60"/>
            </w:pPr>
            <w:r>
              <w:rPr>
                <w:sz w:val="18"/>
              </w:rPr>
              <w:t>77.87 ± 8.81</w:t>
            </w:r>
          </w:p>
        </w:tc>
        <w:tc>
          <w:tcPr>
            <w:tcW w:type="dxa" w:w="2381"/>
          </w:tcPr>
          <w:p>
            <w:pPr>
              <w:spacing w:after="60"/>
            </w:pPr>
            <w:r>
              <w:rPr>
                <w:sz w:val="18"/>
              </w:rPr>
              <w:t>5.00 ± 4.45</w:t>
            </w:r>
          </w:p>
        </w:tc>
      </w:tr>
      <w:tr>
        <w:trPr>
          <w:cantSplit/>
        </w:trPr>
        <w:tc>
          <w:tcPr>
            <w:tcW w:type="dxa" w:w="2381"/>
          </w:tcPr>
          <w:p>
            <w:pPr>
              <w:spacing w:after="60"/>
            </w:pPr>
            <w:r>
              <w:rPr>
                <w:sz w:val="18"/>
              </w:rPr>
              <w:t>10</w:t>
            </w:r>
          </w:p>
        </w:tc>
        <w:tc>
          <w:tcPr>
            <w:tcW w:type="dxa" w:w="2381"/>
          </w:tcPr>
          <w:p>
            <w:pPr>
              <w:spacing w:after="60"/>
            </w:pPr>
            <w:r>
              <w:rPr>
                <w:sz w:val="18"/>
              </w:rPr>
              <w:t>82.87 ± 6.24</w:t>
            </w:r>
          </w:p>
        </w:tc>
        <w:tc>
          <w:tcPr>
            <w:tcW w:type="dxa" w:w="2381"/>
          </w:tcPr>
          <w:p>
            <w:pPr>
              <w:spacing w:after="60"/>
            </w:pPr>
            <w:r>
              <w:rPr>
                <w:sz w:val="18"/>
              </w:rPr>
              <w:t>48.65 ± 31.82</w:t>
            </w:r>
          </w:p>
        </w:tc>
        <w:tc>
          <w:tcPr>
            <w:tcW w:type="dxa" w:w="2381"/>
          </w:tcPr>
          <w:p>
            <w:pPr>
              <w:spacing w:after="60"/>
            </w:pPr>
            <w:r>
              <w:rPr>
                <w:sz w:val="18"/>
              </w:rPr>
              <w:t>34.22 ± 30.08</w:t>
            </w:r>
          </w:p>
        </w:tc>
      </w:tr>
      <w:tr>
        <w:trPr>
          <w:cantSplit/>
        </w:trPr>
        <w:tc>
          <w:tcPr>
            <w:tcW w:type="dxa" w:w="2381"/>
          </w:tcPr>
          <w:p>
            <w:pPr>
              <w:spacing w:after="60"/>
            </w:pPr>
            <w:r>
              <w:rPr>
                <w:sz w:val="18"/>
              </w:rPr>
              <w:t>20</w:t>
            </w:r>
          </w:p>
        </w:tc>
        <w:tc>
          <w:tcPr>
            <w:tcW w:type="dxa" w:w="2381"/>
          </w:tcPr>
          <w:p>
            <w:pPr>
              <w:spacing w:after="60"/>
            </w:pPr>
            <w:r>
              <w:rPr>
                <w:sz w:val="18"/>
              </w:rPr>
              <w:t>82.87 ± 6.24</w:t>
            </w:r>
          </w:p>
        </w:tc>
        <w:tc>
          <w:tcPr>
            <w:tcW w:type="dxa" w:w="2381"/>
          </w:tcPr>
          <w:p>
            <w:pPr>
              <w:spacing w:after="60"/>
            </w:pPr>
            <w:r>
              <w:rPr>
                <w:sz w:val="18"/>
              </w:rPr>
              <w:t>42.82 ± 37.87</w:t>
            </w:r>
          </w:p>
        </w:tc>
        <w:tc>
          <w:tcPr>
            <w:tcW w:type="dxa" w:w="2381"/>
          </w:tcPr>
          <w:p>
            <w:pPr>
              <w:spacing w:after="60"/>
            </w:pPr>
            <w:r>
              <w:rPr>
                <w:sz w:val="18"/>
              </w:rPr>
              <w:t>40.05 ± 37.95</w:t>
            </w:r>
          </w:p>
        </w:tc>
      </w:tr>
    </w:tbl>
    <w:p>
      <w:r>
        <w:t>表中為平均 ± 樣本標準差；每列使用三個 seeds。所有主要比較取第 10 輪。</w:t>
      </w:r>
    </w:p>
    <w:p>
      <w:r>
        <w:drawing>
          <wp:inline xmlns:a="http://schemas.openxmlformats.org/drawingml/2006/main" xmlns:pic="http://schemas.openxmlformats.org/drawingml/2006/picture">
            <wp:extent cx="5943600" cy="4357073"/>
            <wp:docPr id="3" name="Picture 3"/>
            <wp:cNvGraphicFramePr>
              <a:graphicFrameLocks noChangeAspect="1"/>
            </wp:cNvGraphicFramePr>
            <a:graphic>
              <a:graphicData uri="http://schemas.openxmlformats.org/drawingml/2006/picture">
                <pic:pic>
                  <pic:nvPicPr>
                    <pic:cNvPr id="0" name="B_overview.png"/>
                    <pic:cNvPicPr/>
                  </pic:nvPicPr>
                  <pic:blipFill>
                    <a:blip r:embed="rId12"/>
                    <a:stretch>
                      <a:fillRect/>
                    </a:stretch>
                  </pic:blipFill>
                  <pic:spPr>
                    <a:xfrm>
                      <a:off x="0" y="0"/>
                      <a:ext cx="5943600" cy="4357073"/>
                    </a:xfrm>
                    <a:prstGeom prst="rect"/>
                  </pic:spPr>
                </pic:pic>
              </a:graphicData>
            </a:graphic>
          </wp:inline>
        </w:drawing>
      </w:r>
    </w:p>
    <w:p>
      <w:pPr>
        <w:pStyle w:val="Caption"/>
      </w:pPr>
      <w:r>
        <w:t>圖 2　實驗 B 的準確率、Loss 與配對損害。橫軸依設定等距排列；誤差棒可能跨過零，不代表原始 Loss 為負。</w:t>
      </w:r>
    </w:p>
    <w:p>
      <w:r>
        <w:t>Scale = 1 的準確率損害為零，平均 Loss 差約 1.07 × 10⁻⁸，符合浮點運算誤差的量級。Scale 從 5 到 10 時，平均準確率損害由 5.00 增至 34.22 個百分點；Scale = 20 時為 40.05。但這不足以證明所有情況都存在相同的臨界倍率。</w:t>
      </w:r>
    </w:p>
    <w:p>
      <w:r>
        <w:br w:type="page"/>
      </w:r>
    </w:p>
    <w:p>
      <w:pPr>
        <w:pStyle w:val="Heading1"/>
      </w:pPr>
      <w:r>
        <w:t>肆、研究結果｜各 seed 與訓練過程</w:t>
      </w:r>
    </w:p>
    <w:p>
      <w:r>
        <w:drawing>
          <wp:inline xmlns:a="http://schemas.openxmlformats.org/drawingml/2006/main" xmlns:pic="http://schemas.openxmlformats.org/drawingml/2006/picture">
            <wp:extent cx="5943600" cy="2535505"/>
            <wp:docPr id="4" name="Picture 4"/>
            <wp:cNvGraphicFramePr>
              <a:graphicFrameLocks noChangeAspect="1"/>
            </wp:cNvGraphicFramePr>
            <a:graphic>
              <a:graphicData uri="http://schemas.openxmlformats.org/drawingml/2006/picture">
                <pic:pic>
                  <pic:nvPicPr>
                    <pic:cNvPr id="0" name="seed_damage.png"/>
                    <pic:cNvPicPr/>
                  </pic:nvPicPr>
                  <pic:blipFill>
                    <a:blip r:embed="rId13"/>
                    <a:stretch>
                      <a:fillRect/>
                    </a:stretch>
                  </pic:blipFill>
                  <pic:spPr>
                    <a:xfrm>
                      <a:off x="0" y="0"/>
                      <a:ext cx="5943600" cy="2535505"/>
                    </a:xfrm>
                    <a:prstGeom prst="rect"/>
                  </pic:spPr>
                </pic:pic>
              </a:graphicData>
            </a:graphic>
          </wp:inline>
        </w:drawing>
      </w:r>
    </w:p>
    <w:p>
      <w:pPr>
        <w:pStyle w:val="Caption"/>
      </w:pPr>
      <w:r>
        <w:t>圖 3　三個 seeds 各自的準確率損害；平均趨勢不代表每個 seed 都有相同趨勢。</w:t>
      </w:r>
    </w:p>
    <w:p>
      <w:r>
        <w:t>實驗 A 的平均損害逐步增加，但 seed 42 在 Alpha = 1 的損害比 Alpha = 0.1 小，seed 43 在 Alpha = 10 也比 Alpha = 1 小。實驗 B 的 seed 43 對放大較不敏感，Scale = 20 時損害仍只有 0.48 個百分點；seed 44 則從 Scale = 10 的 46.38 降到 Scale = 20 的 43.52。因此「Scale 越大」是本組平均值的趨勢，不是每次都成立的定律。</w:t>
      </w:r>
    </w:p>
    <w:p>
      <w:r>
        <w:drawing>
          <wp:inline xmlns:a="http://schemas.openxmlformats.org/drawingml/2006/main" xmlns:pic="http://schemas.openxmlformats.org/drawingml/2006/picture">
            <wp:extent cx="5943600" cy="2535505"/>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5943600" cy="2535505"/>
                    </a:xfrm>
                    <a:prstGeom prst="rect"/>
                  </pic:spPr>
                </pic:pic>
              </a:graphicData>
            </a:graphic>
          </wp:inline>
        </w:drawing>
      </w:r>
    </w:p>
    <w:p>
      <w:pPr>
        <w:pStyle w:val="Caption"/>
      </w:pPr>
      <w:r>
        <w:t>圖 4　實驗 B 的平均訓練曲線。Clean 與 Scale = 1 幾乎重疊；曲線只顯示平均，不取代各 seed 的檢查。</w:t>
      </w:r>
    </w:p>
    <w:p>
      <w:r>
        <w:br w:type="page"/>
      </w:r>
    </w:p>
    <w:p>
      <w:pPr>
        <w:pStyle w:val="Heading1"/>
      </w:pPr>
      <w:r>
        <w:t>伍、討論｜攻擊者資料量的影響</w:t>
      </w:r>
    </w:p>
    <w:p>
      <w:r>
        <w:drawing>
          <wp:inline xmlns:a="http://schemas.openxmlformats.org/drawingml/2006/main" xmlns:pic="http://schemas.openxmlformats.org/drawingml/2006/picture">
            <wp:extent cx="5943600" cy="2535505"/>
            <wp:docPr id="6" name="Picture 6"/>
            <wp:cNvGraphicFramePr>
              <a:graphicFrameLocks noChangeAspect="1"/>
            </wp:cNvGraphicFramePr>
            <a:graphic>
              <a:graphicData uri="http://schemas.openxmlformats.org/drawingml/2006/picture">
                <pic:pic>
                  <pic:nvPicPr>
                    <pic:cNvPr id="0" name="attacker_weight.png"/>
                    <pic:cNvPicPr/>
                  </pic:nvPicPr>
                  <pic:blipFill>
                    <a:blip r:embed="rId15"/>
                    <a:stretch>
                      <a:fillRect/>
                    </a:stretch>
                  </pic:blipFill>
                  <pic:spPr>
                    <a:xfrm>
                      <a:off x="0" y="0"/>
                      <a:ext cx="5943600" cy="2535505"/>
                    </a:xfrm>
                    <a:prstGeom prst="rect"/>
                  </pic:spPr>
                </pic:pic>
              </a:graphicData>
            </a:graphic>
          </wp:inline>
        </w:drawing>
      </w:r>
    </w:p>
    <w:p>
      <w:pPr>
        <w:pStyle w:val="Caption"/>
      </w:pPr>
      <w:r>
        <w:t>圖 5　實驗 A 中 client 0 的資料占比與損害。每個點是一個 alpha／seed 組合，尚未控制其他因素。</w:t>
      </w:r>
    </w:p>
    <w:tbl>
      <w:tblPr>
        <w:tblStyle w:val="LightShading-Accent1"/>
        <w:tblW w:type="auto" w:w="0"/>
        <w:tblLook w:firstColumn="1" w:firstRow="1" w:lastColumn="0" w:lastRow="0" w:noHBand="0" w:noVBand="1" w:val="04A0"/>
      </w:tblPr>
      <w:tblGrid>
        <w:gridCol w:w="2381"/>
        <w:gridCol w:w="2381"/>
        <w:gridCol w:w="2381"/>
        <w:gridCol w:w="2381"/>
      </w:tblGrid>
      <w:tr>
        <w:trPr>
          <w:tblHeader/>
          <w:cantSplit/>
        </w:trPr>
        <w:tc>
          <w:tcPr>
            <w:tcW w:type="dxa" w:w="2381"/>
          </w:tcPr>
          <w:p>
            <w:pPr>
              <w:spacing w:after="60"/>
            </w:pPr>
            <w:r>
              <w:rPr>
                <w:sz w:val="18"/>
              </w:rPr>
              <w:t>Seed</w:t>
            </w:r>
          </w:p>
        </w:tc>
        <w:tc>
          <w:tcPr>
            <w:tcW w:type="dxa" w:w="2381"/>
          </w:tcPr>
          <w:p>
            <w:pPr>
              <w:spacing w:after="60"/>
            </w:pPr>
            <w:r>
              <w:rPr>
                <w:sz w:val="18"/>
              </w:rPr>
              <w:t>攻擊者樣本數</w:t>
            </w:r>
          </w:p>
        </w:tc>
        <w:tc>
          <w:tcPr>
            <w:tcW w:type="dxa" w:w="2381"/>
          </w:tcPr>
          <w:p>
            <w:pPr>
              <w:spacing w:after="60"/>
            </w:pPr>
            <w:r>
              <w:rPr>
                <w:sz w:val="18"/>
              </w:rPr>
              <w:t>FedAvg 權重</w:t>
            </w:r>
          </w:p>
        </w:tc>
        <w:tc>
          <w:tcPr>
            <w:tcW w:type="dxa" w:w="2381"/>
          </w:tcPr>
          <w:p>
            <w:pPr>
              <w:spacing w:after="60"/>
            </w:pPr>
            <w:r>
              <w:rPr>
                <w:sz w:val="18"/>
              </w:rPr>
              <w:t>Scale = 10 損害</w:t>
            </w:r>
          </w:p>
        </w:tc>
      </w:tr>
      <w:tr>
        <w:trPr>
          <w:cantSplit/>
        </w:trPr>
        <w:tc>
          <w:tcPr>
            <w:tcW w:type="dxa" w:w="2381"/>
          </w:tcPr>
          <w:p>
            <w:pPr>
              <w:spacing w:after="60"/>
            </w:pPr>
            <w:r>
              <w:rPr>
                <w:sz w:val="18"/>
              </w:rPr>
              <w:t>42</w:t>
            </w:r>
          </w:p>
        </w:tc>
        <w:tc>
          <w:tcPr>
            <w:tcW w:type="dxa" w:w="2381"/>
          </w:tcPr>
          <w:p>
            <w:pPr>
              <w:spacing w:after="60"/>
            </w:pPr>
            <w:r>
              <w:rPr>
                <w:sz w:val="18"/>
              </w:rPr>
              <w:t>14100</w:t>
            </w:r>
          </w:p>
        </w:tc>
        <w:tc>
          <w:tcPr>
            <w:tcW w:type="dxa" w:w="2381"/>
          </w:tcPr>
          <w:p>
            <w:pPr>
              <w:spacing w:after="60"/>
            </w:pPr>
            <w:r>
              <w:rPr>
                <w:sz w:val="18"/>
              </w:rPr>
              <w:t>23.50%</w:t>
            </w:r>
          </w:p>
        </w:tc>
        <w:tc>
          <w:tcPr>
            <w:tcW w:type="dxa" w:w="2381"/>
          </w:tcPr>
          <w:p>
            <w:pPr>
              <w:spacing w:after="60"/>
            </w:pPr>
            <w:r>
              <w:rPr>
                <w:sz w:val="18"/>
              </w:rPr>
              <w:t>56.32 百分點</w:t>
            </w:r>
          </w:p>
        </w:tc>
      </w:tr>
      <w:tr>
        <w:trPr>
          <w:cantSplit/>
        </w:trPr>
        <w:tc>
          <w:tcPr>
            <w:tcW w:type="dxa" w:w="2381"/>
          </w:tcPr>
          <w:p>
            <w:pPr>
              <w:spacing w:after="60"/>
            </w:pPr>
            <w:r>
              <w:rPr>
                <w:sz w:val="18"/>
              </w:rPr>
              <w:t>43</w:t>
            </w:r>
          </w:p>
        </w:tc>
        <w:tc>
          <w:tcPr>
            <w:tcW w:type="dxa" w:w="2381"/>
          </w:tcPr>
          <w:p>
            <w:pPr>
              <w:spacing w:after="60"/>
            </w:pPr>
            <w:r>
              <w:rPr>
                <w:sz w:val="18"/>
              </w:rPr>
              <w:t>1135</w:t>
            </w:r>
          </w:p>
        </w:tc>
        <w:tc>
          <w:tcPr>
            <w:tcW w:type="dxa" w:w="2381"/>
          </w:tcPr>
          <w:p>
            <w:pPr>
              <w:spacing w:after="60"/>
            </w:pPr>
            <w:r>
              <w:rPr>
                <w:sz w:val="18"/>
              </w:rPr>
              <w:t>1.89%</w:t>
            </w:r>
          </w:p>
        </w:tc>
        <w:tc>
          <w:tcPr>
            <w:tcW w:type="dxa" w:w="2381"/>
          </w:tcPr>
          <w:p>
            <w:pPr>
              <w:spacing w:after="60"/>
            </w:pPr>
            <w:r>
              <w:rPr>
                <w:sz w:val="18"/>
              </w:rPr>
              <w:t>-0.04 百分點</w:t>
            </w:r>
          </w:p>
        </w:tc>
      </w:tr>
      <w:tr>
        <w:trPr>
          <w:cantSplit/>
        </w:trPr>
        <w:tc>
          <w:tcPr>
            <w:tcW w:type="dxa" w:w="2381"/>
          </w:tcPr>
          <w:p>
            <w:pPr>
              <w:spacing w:after="60"/>
            </w:pPr>
            <w:r>
              <w:rPr>
                <w:sz w:val="18"/>
              </w:rPr>
              <w:t>44</w:t>
            </w:r>
          </w:p>
        </w:tc>
        <w:tc>
          <w:tcPr>
            <w:tcW w:type="dxa" w:w="2381"/>
          </w:tcPr>
          <w:p>
            <w:pPr>
              <w:spacing w:after="60"/>
            </w:pPr>
            <w:r>
              <w:rPr>
                <w:sz w:val="18"/>
              </w:rPr>
              <w:t>17912</w:t>
            </w:r>
          </w:p>
        </w:tc>
        <w:tc>
          <w:tcPr>
            <w:tcW w:type="dxa" w:w="2381"/>
          </w:tcPr>
          <w:p>
            <w:pPr>
              <w:spacing w:after="60"/>
            </w:pPr>
            <w:r>
              <w:rPr>
                <w:sz w:val="18"/>
              </w:rPr>
              <w:t>29.85%</w:t>
            </w:r>
          </w:p>
        </w:tc>
        <w:tc>
          <w:tcPr>
            <w:tcW w:type="dxa" w:w="2381"/>
          </w:tcPr>
          <w:p>
            <w:pPr>
              <w:spacing w:after="60"/>
            </w:pPr>
            <w:r>
              <w:rPr>
                <w:sz w:val="18"/>
              </w:rPr>
              <w:t>46.38 百分點</w:t>
            </w:r>
          </w:p>
        </w:tc>
      </w:tr>
    </w:tbl>
    <w:p>
      <w:r>
        <w:t>在 Alpha = 0.1 時，seed 43 的攻擊者只有 1,135 張資料，占全部訓練資料約 1.89%；seed 42 與 44 分別約占 23.50% 和 29.85%。這可能是 seed 43 受到較小影響的原因之一，但尚不能據此證明因果。各端數字種類、更新方向與訓練狀態也不同。</w:t>
      </w:r>
    </w:p>
    <w:p>
      <w:pPr>
        <w:jc w:val="center"/>
      </w:pPr>
      <m:oMath>
        <m:r>
          <m:t>本輪攻擊者的更新係數 = s × n_attack / N</m:t>
        </m:r>
      </m:oMath>
    </w:p>
    <w:p>
      <w:r>
        <w:t>n_attack 是攻擊者的樣本數。在單次 FedAvg 合併中，攻擊者的更新先乘 Scale，再乘樣本占比。這能說明兩者為何都值得記錄，但不能直接用這個係數預測十輪後的準確率。</w:t>
      </w:r>
    </w:p>
    <w:p>
      <w:r>
        <w:br w:type="page"/>
      </w:r>
    </w:p>
    <w:p>
      <w:pPr>
        <w:pStyle w:val="Heading1"/>
      </w:pPr>
      <w:r>
        <w:t>伍、討論｜可信度與限制</w:t>
      </w:r>
    </w:p>
    <w:p>
      <w:pPr>
        <w:pStyle w:val="Heading2"/>
      </w:pPr>
      <w:r>
        <w:t>一、已完成的檢查</w:t>
      </w:r>
    </w:p>
    <w:p>
      <w:r>
        <w:t>目前報告的產生腳本已核對九個設定的原始檔案雜湊、60,000 張訓練圖片的完整分配、Clean／Poisoned 配對識別資料，並從每次訓練的最後一輪重新計算 per_seed.csv 與 summary.csv。報告沒有重新訓練模型。</w:t>
      </w:r>
    </w:p>
    <w:p>
      <w:r>
        <w:t>先前已修正兩項程式錯誤：第一，訓練前參數必須複製，避免被後續訓練改寫；第二，資料分配的最後邊界必須補到該類資料末端，避免浮點數捨去造成遺漏。舊錯誤版本的 poisoning 結果不納入。</w:t>
      </w:r>
    </w:p>
    <w:p>
      <w:pPr>
        <w:pStyle w:val="Heading2"/>
      </w:pPr>
      <w:r>
        <w:t>二、目前不能下的結論</w:t>
      </w:r>
    </w:p>
    <w:p>
      <w:r>
        <w:t>• 只有三個 seeds，且多組標準差很大，尚未建立統計顯著性。</w:t>
      </w:r>
    </w:p>
    <w:p>
      <w:r>
        <w:t>• 只測 MNIST、一種小型神經網路、五個 client 與十輪訓練，不能推論所有資料或模型。</w:t>
      </w:r>
    </w:p>
    <w:p>
      <w:r>
        <w:t>• Alpha 同時改變標籤差異與樣本數，尚未單獨測出資料種類差異的影響。</w:t>
      </w:r>
    </w:p>
    <w:p>
      <w:r>
        <w:t>• 兩組掃描不是所有 Alpha × Scale 的組合，尚未完整測試兩者互相影響的情況。</w:t>
      </w:r>
    </w:p>
    <w:p>
      <w:r>
        <w:t>• 目前只有更新放大攻擊，沒有實作防禦方法、後門或 Sybil 攻擊。</w:t>
      </w:r>
    </w:p>
    <w:p>
      <w:r>
        <w:t>• 此為本機依序模擬，不是實際分散式網路效能測試。</w:t>
      </w:r>
    </w:p>
    <w:p>
      <w:pPr>
        <w:pStyle w:val="Heading2"/>
      </w:pPr>
      <w:r>
        <w:t>三、為什麼要同時看準確率與 Loss？</w:t>
      </w:r>
    </w:p>
    <w:p>
      <w:r>
        <w:t>準確率只看答案是否正確，Loss 還會受到模型對答案有多確定的影響。例如模型很有把握地答錯，Loss 可能明顯上升。因此兩項指標不一定同時以相同比例變動，不能只選擇符合預期的指標。</w:t>
      </w:r>
    </w:p>
    <w:p>
      <w:r>
        <w:br w:type="page"/>
      </w:r>
    </w:p>
    <w:p>
      <w:pPr>
        <w:pStyle w:val="Heading1"/>
      </w:pPr>
      <w:r>
        <w:t>陸、結論與後續工作</w:t>
      </w:r>
    </w:p>
    <w:p>
      <w:pPr>
        <w:pStyle w:val="Heading2"/>
      </w:pPr>
      <w:r>
        <w:t>一、目前結論</w:t>
      </w:r>
    </w:p>
    <w:p>
      <w:r>
        <w:t>• 在本次十輪實驗中，較大的 Alpha 對應較高且較穩定的 Clean 準確率。</w:t>
      </w:r>
    </w:p>
    <w:p>
      <w:r>
        <w:t>• 固定 Scale = 10 時，平均準確率損害隨 Alpha 增大；本結果不支持「越 Non-IID 一定越容易受攻擊」的簡單說法。</w:t>
      </w:r>
    </w:p>
    <w:p>
      <w:r>
        <w:t>• 固定 Alpha = 0.1 時，Scale 越大，平均準確率損害與 Loss 損害越大；但各 seed 並非完全一致。</w:t>
      </w:r>
    </w:p>
    <w:p>
      <w:r>
        <w:t>• 攻擊者樣本占比值得進一步控制。現有資料能提供研究方向，還不能解釋所有原因。</w:t>
      </w:r>
    </w:p>
    <w:p>
      <w:pPr>
        <w:pStyle w:val="Heading2"/>
      </w:pPr>
      <w:r>
        <w:t>二、下一階段計畫（尚未執行）</w:t>
      </w:r>
    </w:p>
    <w:p>
      <w:r>
        <w:t>先增加不同 seeds，確認結果是否穩定。接著設計每個 client 樣本數相同、只改變數字種類分布的分配方式，檢查 Alpha 的影響是否仍然存在。再考慮交換攻擊者 client 編號、增加訓練輪數，以及測試限制更新大小等防禦方法。每次只改變一個主要條件，並保留配對的 Clean 結果。</w:t>
      </w:r>
    </w:p>
    <w:p>
      <w:pPr>
        <w:pStyle w:val="Heading2"/>
      </w:pPr>
      <w:r>
        <w:t>三、研究進度</w:t>
      </w:r>
    </w:p>
    <w:tbl>
      <w:tblPr>
        <w:tblStyle w:val="LightShading-Accent1"/>
        <w:tblW w:type="auto" w:w="0"/>
        <w:tblLook w:firstColumn="1" w:firstRow="1" w:lastColumn="0" w:lastRow="0" w:noHBand="0" w:noVBand="1" w:val="04A0"/>
      </w:tblPr>
      <w:tblGrid>
        <w:gridCol w:w="4762"/>
        <w:gridCol w:w="4762"/>
      </w:tblGrid>
      <w:tr>
        <w:trPr>
          <w:tblHeader/>
          <w:cantSplit/>
        </w:trPr>
        <w:tc>
          <w:tcPr>
            <w:tcW w:type="dxa" w:w="4762"/>
          </w:tcPr>
          <w:p>
            <w:pPr>
              <w:spacing w:after="60"/>
            </w:pPr>
            <w:r>
              <w:rPr>
                <w:sz w:val="18"/>
              </w:rPr>
              <w:t>工作</w:t>
            </w:r>
          </w:p>
        </w:tc>
        <w:tc>
          <w:tcPr>
            <w:tcW w:type="dxa" w:w="4762"/>
          </w:tcPr>
          <w:p>
            <w:pPr>
              <w:spacing w:after="60"/>
            </w:pPr>
            <w:r>
              <w:rPr>
                <w:sz w:val="18"/>
              </w:rPr>
              <w:t>狀態</w:t>
            </w:r>
          </w:p>
        </w:tc>
      </w:tr>
      <w:tr>
        <w:trPr>
          <w:cantSplit/>
        </w:trPr>
        <w:tc>
          <w:tcPr>
            <w:tcW w:type="dxa" w:w="4762"/>
          </w:tcPr>
          <w:p>
            <w:pPr>
              <w:spacing w:after="60"/>
            </w:pPr>
            <w:r>
              <w:rPr>
                <w:sz w:val="18"/>
              </w:rPr>
              <w:t>實驗 A、B 的三個 seeds</w:t>
            </w:r>
          </w:p>
        </w:tc>
        <w:tc>
          <w:tcPr>
            <w:tcW w:type="dxa" w:w="4762"/>
          </w:tcPr>
          <w:p>
            <w:pPr>
              <w:spacing w:after="60"/>
            </w:pPr>
            <w:r>
              <w:rPr>
                <w:sz w:val="18"/>
              </w:rPr>
              <w:t>已完成；九個不同設定、54 次訓練</w:t>
            </w:r>
          </w:p>
        </w:tc>
      </w:tr>
      <w:tr>
        <w:trPr>
          <w:cantSplit/>
        </w:trPr>
        <w:tc>
          <w:tcPr>
            <w:tcW w:type="dxa" w:w="4762"/>
          </w:tcPr>
          <w:p>
            <w:pPr>
              <w:spacing w:after="60"/>
            </w:pPr>
            <w:r>
              <w:rPr>
                <w:sz w:val="18"/>
              </w:rPr>
              <w:t>原始資料核對與圖表</w:t>
            </w:r>
          </w:p>
        </w:tc>
        <w:tc>
          <w:tcPr>
            <w:tcW w:type="dxa" w:w="4762"/>
          </w:tcPr>
          <w:p>
            <w:pPr>
              <w:spacing w:after="60"/>
            </w:pPr>
            <w:r>
              <w:rPr>
                <w:sz w:val="18"/>
              </w:rPr>
              <w:t>已完成，本腳本可重建</w:t>
            </w:r>
          </w:p>
        </w:tc>
      </w:tr>
      <w:tr>
        <w:trPr>
          <w:cantSplit/>
        </w:trPr>
        <w:tc>
          <w:tcPr>
            <w:tcW w:type="dxa" w:w="4762"/>
          </w:tcPr>
          <w:p>
            <w:pPr>
              <w:spacing w:after="60"/>
            </w:pPr>
            <w:r>
              <w:rPr>
                <w:sz w:val="18"/>
              </w:rPr>
              <w:t>控制攻擊者資料量</w:t>
            </w:r>
          </w:p>
        </w:tc>
        <w:tc>
          <w:tcPr>
            <w:tcW w:type="dxa" w:w="4762"/>
          </w:tcPr>
          <w:p>
            <w:pPr>
              <w:spacing w:after="60"/>
            </w:pPr>
            <w:r>
              <w:rPr>
                <w:sz w:val="18"/>
              </w:rPr>
              <w:t>待設計</w:t>
            </w:r>
          </w:p>
        </w:tc>
      </w:tr>
      <w:tr>
        <w:trPr>
          <w:cantSplit/>
        </w:trPr>
        <w:tc>
          <w:tcPr>
            <w:tcW w:type="dxa" w:w="4762"/>
          </w:tcPr>
          <w:p>
            <w:pPr>
              <w:spacing w:after="60"/>
            </w:pPr>
            <w:r>
              <w:rPr>
                <w:sz w:val="18"/>
              </w:rPr>
              <w:t>更多 seeds／資料集／模型</w:t>
            </w:r>
          </w:p>
        </w:tc>
        <w:tc>
          <w:tcPr>
            <w:tcW w:type="dxa" w:w="4762"/>
          </w:tcPr>
          <w:p>
            <w:pPr>
              <w:spacing w:after="60"/>
            </w:pPr>
            <w:r>
              <w:rPr>
                <w:sz w:val="18"/>
              </w:rPr>
              <w:t>待執行</w:t>
            </w:r>
          </w:p>
        </w:tc>
      </w:tr>
      <w:tr>
        <w:trPr>
          <w:cantSplit/>
        </w:trPr>
        <w:tc>
          <w:tcPr>
            <w:tcW w:type="dxa" w:w="4762"/>
          </w:tcPr>
          <w:p>
            <w:pPr>
              <w:spacing w:after="60"/>
            </w:pPr>
            <w:r>
              <w:rPr>
                <w:sz w:val="18"/>
              </w:rPr>
              <w:t>防禦、後門、Sybil</w:t>
            </w:r>
          </w:p>
        </w:tc>
        <w:tc>
          <w:tcPr>
            <w:tcW w:type="dxa" w:w="4762"/>
          </w:tcPr>
          <w:p>
            <w:pPr>
              <w:spacing w:after="60"/>
            </w:pPr>
            <w:r>
              <w:rPr>
                <w:sz w:val="18"/>
              </w:rPr>
              <w:t>尚未完成</w:t>
            </w:r>
          </w:p>
        </w:tc>
      </w:tr>
    </w:tbl>
    <w:p>
      <w:r>
        <w:br w:type="page"/>
      </w:r>
    </w:p>
    <w:p>
      <w:pPr>
        <w:pStyle w:val="Heading1"/>
      </w:pPr>
      <w:r>
        <w:t>柒、參考資料與附錄</w:t>
      </w:r>
    </w:p>
    <w:p>
      <w:r>
        <w:t>［1］McMahan, B., Moore, E., Ramage, D., Hampson, S., &amp; Agüera y Arcas, B.（2017）. Communication-Efficient Learning of Deep Networks from Decentralized Data. PMLR 54, 1273–1282. https://proceedings.mlr.press/v54/mcmahan17a.html （用於聯邦學習與模型平均的背景說明。）</w:t>
      </w:r>
    </w:p>
    <w:p>
      <w:r>
        <w:t>［2］PyTorch / torchvision. MNIST dataset documentation. https://docs.pytorch.org/vision/stable/generated/torchvision.datasets.MNIST.html （查閱日期：2026-09-21；用於資料載入介面說明。）</w:t>
      </w:r>
    </w:p>
    <w:p>
      <w:r>
        <w:t>［3］本研究程式與資料：FL-project 的 client.py、run_matched.py、run_study.py，以及 results/studies/alpha_scale/。報告數值以保存的實驗結果為依據。</w:t>
      </w:r>
    </w:p>
    <w:p>
      <w:r>
        <w:t>［4］使用者提供的 TISF.docx。僅參考報告形式與章節安排，未沿用其中駕駛偵測的實驗內容、作者資料或成果。此報告不表示已符合最新正式參賽格式。</w:t>
      </w:r>
    </w:p>
    <w:p>
      <w:pPr>
        <w:pStyle w:val="Heading2"/>
      </w:pPr>
      <w:r>
        <w:t>附錄一：實驗 B 的三個 seeds 詳細損害</w:t>
      </w:r>
    </w:p>
    <w:tbl>
      <w:tblPr>
        <w:tblStyle w:val="LightShading-Accent1"/>
        <w:tblW w:type="auto" w:w="0"/>
        <w:tblLook w:firstColumn="1" w:firstRow="1" w:lastColumn="0" w:lastRow="0" w:noHBand="0" w:noVBand="1" w:val="04A0"/>
      </w:tblPr>
      <w:tblGrid>
        <w:gridCol w:w="2381"/>
        <w:gridCol w:w="2381"/>
        <w:gridCol w:w="2381"/>
        <w:gridCol w:w="2381"/>
      </w:tblGrid>
      <w:tr>
        <w:trPr>
          <w:tblHeader/>
          <w:cantSplit/>
        </w:trPr>
        <w:tc>
          <w:tcPr>
            <w:tcW w:type="dxa" w:w="2381"/>
          </w:tcPr>
          <w:p>
            <w:pPr>
              <w:spacing w:after="60"/>
            </w:pPr>
            <w:r>
              <w:rPr>
                <w:sz w:val="18"/>
              </w:rPr>
              <w:t>Scale</w:t>
            </w:r>
          </w:p>
        </w:tc>
        <w:tc>
          <w:tcPr>
            <w:tcW w:type="dxa" w:w="2381"/>
          </w:tcPr>
          <w:p>
            <w:pPr>
              <w:spacing w:after="60"/>
            </w:pPr>
            <w:r>
              <w:rPr>
                <w:sz w:val="18"/>
              </w:rPr>
              <w:t>Seed 42</w:t>
            </w:r>
          </w:p>
        </w:tc>
        <w:tc>
          <w:tcPr>
            <w:tcW w:type="dxa" w:w="2381"/>
          </w:tcPr>
          <w:p>
            <w:pPr>
              <w:spacing w:after="60"/>
            </w:pPr>
            <w:r>
              <w:rPr>
                <w:sz w:val="18"/>
              </w:rPr>
              <w:t>Seed 43</w:t>
            </w:r>
          </w:p>
        </w:tc>
        <w:tc>
          <w:tcPr>
            <w:tcW w:type="dxa" w:w="2381"/>
          </w:tcPr>
          <w:p>
            <w:pPr>
              <w:spacing w:after="60"/>
            </w:pPr>
            <w:r>
              <w:rPr>
                <w:sz w:val="18"/>
              </w:rPr>
              <w:t>Seed 44</w:t>
            </w:r>
          </w:p>
        </w:tc>
      </w:tr>
      <w:tr>
        <w:trPr>
          <w:cantSplit/>
        </w:trPr>
        <w:tc>
          <w:tcPr>
            <w:tcW w:type="dxa" w:w="2381"/>
          </w:tcPr>
          <w:p>
            <w:pPr>
              <w:spacing w:after="60"/>
            </w:pPr>
            <w:r>
              <w:rPr>
                <w:sz w:val="18"/>
              </w:rPr>
              <w:t>1</w:t>
            </w:r>
          </w:p>
        </w:tc>
        <w:tc>
          <w:tcPr>
            <w:tcW w:type="dxa" w:w="2381"/>
          </w:tcPr>
          <w:p>
            <w:pPr>
              <w:spacing w:after="60"/>
            </w:pPr>
            <w:r>
              <w:rPr>
                <w:sz w:val="18"/>
              </w:rPr>
              <w:t>0.00</w:t>
            </w:r>
          </w:p>
        </w:tc>
        <w:tc>
          <w:tcPr>
            <w:tcW w:type="dxa" w:w="2381"/>
          </w:tcPr>
          <w:p>
            <w:pPr>
              <w:spacing w:after="60"/>
            </w:pPr>
            <w:r>
              <w:rPr>
                <w:sz w:val="18"/>
              </w:rPr>
              <w:t>0.00</w:t>
            </w:r>
          </w:p>
        </w:tc>
        <w:tc>
          <w:tcPr>
            <w:tcW w:type="dxa" w:w="2381"/>
          </w:tcPr>
          <w:p>
            <w:pPr>
              <w:spacing w:after="60"/>
            </w:pPr>
            <w:r>
              <w:rPr>
                <w:sz w:val="18"/>
              </w:rPr>
              <w:t>0.00</w:t>
            </w:r>
          </w:p>
        </w:tc>
      </w:tr>
      <w:tr>
        <w:trPr>
          <w:cantSplit/>
        </w:trPr>
        <w:tc>
          <w:tcPr>
            <w:tcW w:type="dxa" w:w="2381"/>
          </w:tcPr>
          <w:p>
            <w:pPr>
              <w:spacing w:after="60"/>
            </w:pPr>
            <w:r>
              <w:rPr>
                <w:sz w:val="18"/>
              </w:rPr>
              <w:t>2</w:t>
            </w:r>
          </w:p>
        </w:tc>
        <w:tc>
          <w:tcPr>
            <w:tcW w:type="dxa" w:w="2381"/>
          </w:tcPr>
          <w:p>
            <w:pPr>
              <w:spacing w:after="60"/>
            </w:pPr>
            <w:r>
              <w:rPr>
                <w:sz w:val="18"/>
              </w:rPr>
              <w:t>2.89</w:t>
            </w:r>
          </w:p>
        </w:tc>
        <w:tc>
          <w:tcPr>
            <w:tcW w:type="dxa" w:w="2381"/>
          </w:tcPr>
          <w:p>
            <w:pPr>
              <w:spacing w:after="60"/>
            </w:pPr>
            <w:r>
              <w:rPr>
                <w:sz w:val="18"/>
              </w:rPr>
              <w:t>-0.08</w:t>
            </w:r>
          </w:p>
        </w:tc>
        <w:tc>
          <w:tcPr>
            <w:tcW w:type="dxa" w:w="2381"/>
          </w:tcPr>
          <w:p>
            <w:pPr>
              <w:spacing w:after="60"/>
            </w:pPr>
            <w:r>
              <w:rPr>
                <w:sz w:val="18"/>
              </w:rPr>
              <w:t>1.04</w:t>
            </w:r>
          </w:p>
        </w:tc>
      </w:tr>
      <w:tr>
        <w:trPr>
          <w:cantSplit/>
        </w:trPr>
        <w:tc>
          <w:tcPr>
            <w:tcW w:type="dxa" w:w="2381"/>
          </w:tcPr>
          <w:p>
            <w:pPr>
              <w:spacing w:after="60"/>
            </w:pPr>
            <w:r>
              <w:rPr>
                <w:sz w:val="18"/>
              </w:rPr>
              <w:t>5</w:t>
            </w:r>
          </w:p>
        </w:tc>
        <w:tc>
          <w:tcPr>
            <w:tcW w:type="dxa" w:w="2381"/>
          </w:tcPr>
          <w:p>
            <w:pPr>
              <w:spacing w:after="60"/>
            </w:pPr>
            <w:r>
              <w:rPr>
                <w:sz w:val="18"/>
              </w:rPr>
              <w:t>7.58</w:t>
            </w:r>
          </w:p>
        </w:tc>
        <w:tc>
          <w:tcPr>
            <w:tcW w:type="dxa" w:w="2381"/>
          </w:tcPr>
          <w:p>
            <w:pPr>
              <w:spacing w:after="60"/>
            </w:pPr>
            <w:r>
              <w:rPr>
                <w:sz w:val="18"/>
              </w:rPr>
              <w:t>-0.14</w:t>
            </w:r>
          </w:p>
        </w:tc>
        <w:tc>
          <w:tcPr>
            <w:tcW w:type="dxa" w:w="2381"/>
          </w:tcPr>
          <w:p>
            <w:pPr>
              <w:spacing w:after="60"/>
            </w:pPr>
            <w:r>
              <w:rPr>
                <w:sz w:val="18"/>
              </w:rPr>
              <w:t>7.56</w:t>
            </w:r>
          </w:p>
        </w:tc>
      </w:tr>
      <w:tr>
        <w:trPr>
          <w:cantSplit/>
        </w:trPr>
        <w:tc>
          <w:tcPr>
            <w:tcW w:type="dxa" w:w="2381"/>
          </w:tcPr>
          <w:p>
            <w:pPr>
              <w:spacing w:after="60"/>
            </w:pPr>
            <w:r>
              <w:rPr>
                <w:sz w:val="18"/>
              </w:rPr>
              <w:t>10</w:t>
            </w:r>
          </w:p>
        </w:tc>
        <w:tc>
          <w:tcPr>
            <w:tcW w:type="dxa" w:w="2381"/>
          </w:tcPr>
          <w:p>
            <w:pPr>
              <w:spacing w:after="60"/>
            </w:pPr>
            <w:r>
              <w:rPr>
                <w:sz w:val="18"/>
              </w:rPr>
              <w:t>56.32</w:t>
            </w:r>
          </w:p>
        </w:tc>
        <w:tc>
          <w:tcPr>
            <w:tcW w:type="dxa" w:w="2381"/>
          </w:tcPr>
          <w:p>
            <w:pPr>
              <w:spacing w:after="60"/>
            </w:pPr>
            <w:r>
              <w:rPr>
                <w:sz w:val="18"/>
              </w:rPr>
              <w:t>-0.04</w:t>
            </w:r>
          </w:p>
        </w:tc>
        <w:tc>
          <w:tcPr>
            <w:tcW w:type="dxa" w:w="2381"/>
          </w:tcPr>
          <w:p>
            <w:pPr>
              <w:spacing w:after="60"/>
            </w:pPr>
            <w:r>
              <w:rPr>
                <w:sz w:val="18"/>
              </w:rPr>
              <w:t>46.38</w:t>
            </w:r>
          </w:p>
        </w:tc>
      </w:tr>
      <w:tr>
        <w:trPr>
          <w:cantSplit/>
        </w:trPr>
        <w:tc>
          <w:tcPr>
            <w:tcW w:type="dxa" w:w="2381"/>
          </w:tcPr>
          <w:p>
            <w:pPr>
              <w:spacing w:after="60"/>
            </w:pPr>
            <w:r>
              <w:rPr>
                <w:sz w:val="18"/>
              </w:rPr>
              <w:t>20</w:t>
            </w:r>
          </w:p>
        </w:tc>
        <w:tc>
          <w:tcPr>
            <w:tcW w:type="dxa" w:w="2381"/>
          </w:tcPr>
          <w:p>
            <w:pPr>
              <w:spacing w:after="60"/>
            </w:pPr>
            <w:r>
              <w:rPr>
                <w:sz w:val="18"/>
              </w:rPr>
              <w:t>76.15</w:t>
            </w:r>
          </w:p>
        </w:tc>
        <w:tc>
          <w:tcPr>
            <w:tcW w:type="dxa" w:w="2381"/>
          </w:tcPr>
          <w:p>
            <w:pPr>
              <w:spacing w:after="60"/>
            </w:pPr>
            <w:r>
              <w:rPr>
                <w:sz w:val="18"/>
              </w:rPr>
              <w:t>0.48</w:t>
            </w:r>
          </w:p>
        </w:tc>
        <w:tc>
          <w:tcPr>
            <w:tcW w:type="dxa" w:w="2381"/>
          </w:tcPr>
          <w:p>
            <w:pPr>
              <w:spacing w:after="60"/>
            </w:pPr>
            <w:r>
              <w:rPr>
                <w:sz w:val="18"/>
              </w:rPr>
              <w:t>43.52</w:t>
            </w:r>
          </w:p>
        </w:tc>
      </w:tr>
    </w:tbl>
    <w:p>
      <w:r>
        <w:t>單位：百分點。負值保留原始方向，不改成零。</w:t>
      </w:r>
    </w:p>
    <w:p>
      <w:pPr>
        <w:pStyle w:val="Heading2"/>
      </w:pPr>
      <w:r>
        <w:t>附錄二：重建圖表與報告</w:t>
      </w:r>
    </w:p>
    <w:p>
      <w:r>
        <w:t>在專案根目錄執行：</w:t>
        <w:br/>
        <w:t>.venv/bin/python scripts/build_science_report.py</w:t>
      </w:r>
    </w:p>
    <w:p>
      <w:r>
        <w:t>輸出資料夾：reports/current/。包含 Word 報告、PNG／PDF 圖表、攻擊者權重資料表及 validation.json。執行腳本只讀取實驗資料，不會啟動訓練，也不會修改 TISF.docx。</w:t>
      </w:r>
    </w:p>
    <w:sectPr w:rsidR="00FC693F" w:rsidRPr="0006063C" w:rsidSect="00034616">
      <w:footerReference w:type="default" r:id="rId9"/>
      <w:pgSz w:w="11906" w:h="16838"/>
      <w:pgMar w:top="1247" w:right="1191" w:bottom="1191"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聯邦學習研究｜階段報告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205A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05A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JhengHei" w:hAnsi="Microsoft JhengHei" w:eastAsia="Microsoft Jheng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