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5E78" w14:textId="77777777" w:rsidR="00713480" w:rsidRPr="00713480" w:rsidRDefault="00713480" w:rsidP="00713480">
      <w:pPr>
        <w:shd w:val="clear" w:color="auto" w:fill="E6E6D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zh-TW"/>
          <w14:ligatures w14:val="none"/>
        </w:rPr>
      </w:pPr>
      <w:r w:rsidRPr="007134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zh-TW"/>
          <w14:ligatures w14:val="none"/>
        </w:rPr>
        <w:t>Update on Family Law Amendment Act 2023</w:t>
      </w:r>
    </w:p>
    <w:p w14:paraId="194D2E9D" w14:textId="77777777" w:rsidR="00713480" w:rsidRPr="00713480" w:rsidRDefault="00713480" w:rsidP="00713480">
      <w:pPr>
        <w:shd w:val="clear" w:color="auto" w:fill="E6E6D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13480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The </w:t>
      </w:r>
      <w:r w:rsidRPr="00713480"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  <w:t>Family Law Amendment Act 2023</w:t>
      </w:r>
      <w:r w:rsidRPr="00713480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(Act No. 87 of 2023) received Royal Assent on 6 November 2023. Most of the changes to the law will apply from 6 May 2024. The Bill previously passed the Senate, with amendments, on 19 October 2023. The House of Representatives agreed to the Senate amendments on 19 October 2023. </w:t>
      </w:r>
      <w:hyperlink r:id="rId4" w:tgtFrame="_blank" w:history="1">
        <w:r w:rsidRPr="0071348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zh-TW"/>
            <w14:ligatures w14:val="none"/>
          </w:rPr>
          <w:t>Find out more about the passage of the Bill</w:t>
        </w:r>
      </w:hyperlink>
      <w:r w:rsidRPr="00713480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, including the text of the Bill, the amendments, the explanatory </w:t>
      </w:r>
      <w:proofErr w:type="gramStart"/>
      <w:r w:rsidRPr="00713480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memorandums</w:t>
      </w:r>
      <w:proofErr w:type="gramEnd"/>
      <w:r w:rsidRPr="00713480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and all speeches.</w:t>
      </w:r>
    </w:p>
    <w:p w14:paraId="4101F90E" w14:textId="77777777" w:rsidR="00713480" w:rsidRPr="00713480" w:rsidRDefault="00713480" w:rsidP="00713480">
      <w:pPr>
        <w:shd w:val="clear" w:color="auto" w:fill="E6E6D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713480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A </w:t>
      </w:r>
      <w:hyperlink r:id="rId5" w:tgtFrame="_blank" w:history="1">
        <w:r w:rsidRPr="0071348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zh-TW"/>
            <w14:ligatures w14:val="none"/>
          </w:rPr>
          <w:t>media release</w:t>
        </w:r>
      </w:hyperlink>
      <w:r w:rsidRPr="00713480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containing an overview of the changes is also available.</w:t>
      </w:r>
    </w:p>
    <w:p w14:paraId="0E16F8EF" w14:textId="77777777" w:rsidR="009516E0" w:rsidRDefault="009516E0"/>
    <w:sectPr w:rsidR="009516E0" w:rsidSect="00426F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80"/>
    <w:rsid w:val="00426FEC"/>
    <w:rsid w:val="00713480"/>
    <w:rsid w:val="009516E0"/>
    <w:rsid w:val="00E2000B"/>
    <w:rsid w:val="00EA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69BE0"/>
  <w15:chartTrackingRefBased/>
  <w15:docId w15:val="{28093906-2AB2-A248-A36E-71B5B976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348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zh-TW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480"/>
    <w:rPr>
      <w:rFonts w:ascii="Times New Roman" w:eastAsia="Times New Roman" w:hAnsi="Times New Roman" w:cs="Times New Roman"/>
      <w:b/>
      <w:bCs/>
      <w:kern w:val="0"/>
      <w:sz w:val="36"/>
      <w:szCs w:val="36"/>
      <w:lang w:eastAsia="zh-TW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134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TW"/>
      <w14:ligatures w14:val="none"/>
    </w:rPr>
  </w:style>
  <w:style w:type="character" w:styleId="Emphasis">
    <w:name w:val="Emphasis"/>
    <w:basedOn w:val="DefaultParagraphFont"/>
    <w:uiPriority w:val="20"/>
    <w:qFormat/>
    <w:rsid w:val="0071348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134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nisters.ag.gov.au/media-centre/passage-landmark-family-law-reforms-19-10-2023" TargetMode="External"/><Relationship Id="rId4" Type="http://schemas.openxmlformats.org/officeDocument/2006/relationships/hyperlink" Target="https://www.aph.gov.au/Parliamentary_Business/Bills_Legislation/Bills_Search_Results/Result?bId=r7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 Shen</dc:creator>
  <cp:keywords/>
  <dc:description/>
  <cp:lastModifiedBy>Qingyu Shen</cp:lastModifiedBy>
  <cp:revision>1</cp:revision>
  <dcterms:created xsi:type="dcterms:W3CDTF">2023-11-10T08:25:00Z</dcterms:created>
  <dcterms:modified xsi:type="dcterms:W3CDTF">2023-11-10T08:28:00Z</dcterms:modified>
</cp:coreProperties>
</file>