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qonto-board-pack</w:t>
      </w:r>
    </w:p>
    <w:p>
      <w:pPr>
        <w:jc w:val="center"/>
      </w:pPr>
      <w:r>
        <w:rPr>
          <w:b/>
          <w:color w:val="1D1B29"/>
          <w:sz w:val="26"/>
        </w:rPr>
        <w:t>The monthly investor update, ready before your coffee gets cold — numbers, highlights, narrative, deck and email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Read-only on Qonto  ·  Nothing ships without review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The monthly investor/banker update is the task every founder postpones to the last evening — then rushes, half from memory. One prompt → the complete pack, while you watch:</w:t>
      </w:r>
    </w:p>
    <w:p>
      <w:pPr>
        <w:pStyle w:val="ListBullet"/>
        <w:spacing w:after="60"/>
      </w:pPr>
      <w:r>
        <w:rPr>
          <w:sz w:val="21"/>
        </w:rPr>
        <w:t>1. The month's numbers, straight from Qonto — cash in, spend by category (labels), end-of-month cash (official statement when it exists), net burn and runway</w:t>
      </w:r>
    </w:p>
    <w:p>
      <w:pPr>
        <w:pStyle w:val="ListBullet"/>
        <w:spacing w:after="60"/>
      </w:pPr>
      <w:r>
        <w:rPr>
          <w:sz w:val="21"/>
        </w:rPr>
        <w:t>2. Month-over-month and rolling-year comparisons — deltas in amount and %, seasonality flagged, outstanding receivables as a forward signal — never a trend from a single month</w:t>
      </w:r>
    </w:p>
    <w:p>
      <w:pPr>
        <w:pStyle w:val="ListBullet"/>
        <w:spacing w:after="60"/>
      </w:pPr>
      <w:r>
        <w:rPr>
          <w:sz w:val="21"/>
        </w:rPr>
        <w:t>3. Auto-detected highlights — big contract collected, new significant expense, missing recurring client payment — every fact cites its transactions</w:t>
      </w:r>
    </w:p>
    <w:p>
      <w:pPr>
        <w:pStyle w:val="ListBullet"/>
        <w:spacing w:after="60"/>
      </w:pPr>
      <w:r>
        <w:rPr>
          <w:sz w:val="21"/>
        </w:rPr>
        <w:t>4. Executive narrative (3 §: highlights, numbers, outlook) reviewed and edited BEFORE anything is formatted, then a self-contained 5-6 slide HTML deck (or Canva) + the send email (Gmail draft)</w:t>
      </w:r>
    </w:p>
    <w:p>
      <w:r>
        <w:rPr>
          <w:b/>
          <w:i w:val="0"/>
          <w:sz w:val="21"/>
        </w:rPr>
        <w:t>Confidentiality is a feature: your banker, your investors and your team don't get the same pack — the user picks the audience and the detail level (exact figures vs trends). Would someone use this on a Monday morning? It's the end-of-month ritual every founder already dreads.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Every Qonto country (FR, DE, ES, IT, AT, NL, BE, PT) — financial facts are universal; only currency formatting and wording adapt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≥ 2 months of history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Below that: the month's numbers only, comparisons skipped and said so (≥ 12 months for the rolling year)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Canva MCP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Deck exported to Canva — detected dynamically, self-contained HTML deck otherwise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Gmail MCP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Email draft in the mailbox — detected dynamically, paste-ready text otherwise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(zero Qonto writes)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Internal transfers excluded from revenue and burn (paired debit/credit on the organization's own IBANs) — the classic way to accidentally double your “revenue”</w:t>
      </w:r>
    </w:p>
    <w:p>
      <w:pPr>
        <w:pStyle w:val="ListBullet"/>
        <w:spacing w:after="60"/>
      </w:pPr>
      <w:r>
        <w:rPr>
          <w:sz w:val="21"/>
        </w:rPr>
        <w:t>Month boundaries handled: card payments settle 1–2 days late — window on settled_at, cross-checked with emitted_at</w:t>
      </w:r>
    </w:p>
    <w:p>
      <w:pPr>
        <w:pStyle w:val="ListBullet"/>
        <w:spacing w:after="60"/>
      </w:pPr>
      <w:r>
        <w:rPr>
          <w:sz w:val="21"/>
        </w:rPr>
        <w:t>Spend grouped by labels (list_cash_flow_categories returns 403 on the claude.ai connector); untagged spend lands in “Other”, share disclosed</w:t>
      </w:r>
    </w:p>
    <w:p>
      <w:pPr>
        <w:pStyle w:val="ListBullet"/>
        <w:spacing w:after="60"/>
      </w:pPr>
      <w:r>
        <w:rPr>
          <w:sz w:val="21"/>
        </w:rPr>
        <w:t>End-of-month balance: official statement (list_statements) when it exists, computed otherwise — the method is always stated</w:t>
      </w:r>
    </w:p>
    <w:p>
      <w:pPr>
        <w:pStyle w:val="ListBullet"/>
        <w:spacing w:after="60"/>
      </w:pPr>
      <w:r>
        <w:rPr>
          <w:sz w:val="21"/>
        </w:rPr>
        <w:t>Empty month or brand-new account: numbers only, comparisons skipped and said — never invented trends; runway only when burn &gt; 0</w:t>
      </w:r>
    </w:p>
    <w:p>
      <w:pPr>
        <w:pStyle w:val="ListBullet"/>
        <w:spacing w:after="60"/>
      </w:pPr>
      <w:r>
        <w:rPr>
          <w:sz w:val="21"/>
        </w:rPr>
        <w:t>Canva or Gmail absent: stated once, then fallback to HTML deck + email text — the core runs on Qonto alone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read-only on Qonto; outputs = local file + draft</w:t>
      </w:r>
    </w:p>
    <w:p>
      <w:r>
        <w:rPr>
          <w:b/>
          <w:i w:val="0"/>
          <w:sz w:val="21"/>
        </w:rPr>
        <w:t>🔒 Nothing ever ships itself: the skill is read-only on Qonto — no write, ever. The only outputs are a local file (the HTML deck) and a draft (Gmail). The narrative always goes through the user's review before formatting, and the user does the sending. That's the product, not friction.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👥 Three audiences (confidentiality as a feature)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272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What they want</w:t>
            </w:r>
          </w:p>
        </w:tc>
        <w:tc>
          <w:tcPr>
            <w:tcW w:type="dxa" w:w="328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Pack content</w:t>
            </w:r>
          </w:p>
        </w:tc>
        <w:tc>
          <w:tcPr>
            <w:tcW w:type="dxa" w:w="170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 level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Banker</w:t>
            </w:r>
          </w:p>
        </w:tc>
        <w:tc>
          <w:tcPr>
            <w:tcW w:type="dxa" w:w="2721"/>
          </w:tcPr>
          <w:p>
            <w:pPr>
              <w:keepNext/>
            </w:pPr>
            <w:r>
              <w:rPr>
                <w:sz w:val="19"/>
              </w:rPr>
              <w:t>Stability: the account is healthy, obligations are covered</w:t>
            </w:r>
          </w:p>
        </w:tc>
        <w:tc>
          <w:tcPr>
            <w:tcW w:type="dxa" w:w="3288"/>
          </w:tcPr>
          <w:p>
            <w:pPr>
              <w:keepNext/>
            </w:pPr>
            <w:r>
              <w:rPr>
                <w:sz w:val="19"/>
              </w:rPr>
              <w:t>Cash, inflows, expense coverage, regularity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19"/>
              </w:rPr>
              <w:t>Exact figures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Investor</w:t>
            </w:r>
          </w:p>
        </w:tc>
        <w:tc>
          <w:tcPr>
            <w:tcW w:type="dxa" w:w="2721"/>
            <w:shd w:val="clear" w:fill="F1EDFF"/>
          </w:tcPr>
          <w:p>
            <w:pPr>
              <w:keepNext/>
            </w:pPr>
            <w:r>
              <w:rPr>
                <w:sz w:val="19"/>
              </w:rPr>
              <w:t>Trajectory: growth, controlled burn, runway</w:t>
            </w:r>
          </w:p>
        </w:tc>
        <w:tc>
          <w:tcPr>
            <w:tcW w:type="dxa" w:w="3288"/>
            <w:shd w:val="clear" w:fill="F1EDFF"/>
          </w:tcPr>
          <w:p>
            <w:pPr>
              <w:keepNext/>
            </w:pPr>
            <w:r>
              <w:rPr>
                <w:sz w:val="19"/>
              </w:rPr>
              <w:t>Highlights, M-1/YoY growth, burn &amp; runway, outlook</w:t>
            </w:r>
          </w:p>
        </w:tc>
        <w:tc>
          <w:tcPr>
            <w:tcW w:type="dxa" w:w="1701"/>
            <w:shd w:val="clear" w:fill="F1EDFF"/>
          </w:tcPr>
          <w:p>
            <w:pPr>
              <w:keepNext/>
            </w:pPr>
            <w:r>
              <w:rPr>
                <w:sz w:val="19"/>
              </w:rPr>
              <w:t>Exact or trends — user's call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/>
                <w:sz w:val="19"/>
              </w:rPr>
              <w:t>Internal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Everything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The full pack, unfiltered, detailed spend included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Everything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📊 Deck structure (5–6 slides, sober theme)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680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9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Slide</w:t>
            </w:r>
          </w:p>
        </w:tc>
        <w:tc>
          <w:tcPr>
            <w:tcW w:type="dxa" w:w="646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Content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Cover</w:t>
            </w:r>
          </w:p>
        </w:tc>
        <w:tc>
          <w:tcPr>
            <w:tcW w:type="dxa" w:w="6463"/>
          </w:tcPr>
          <w:p>
            <w:pPr>
              <w:keepNext/>
            </w:pPr>
            <w:r>
              <w:rPr>
                <w:sz w:val="19"/>
              </w:rPr>
              <w:t>Organization · month · audience</w:t>
            </w:r>
          </w:p>
        </w:tc>
      </w:tr>
      <w:tr>
        <w:trPr>
          <w:cantSplit/>
        </w:trPr>
        <w:tc>
          <w:tcPr>
            <w:tcW w:type="dxa" w:w="680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sz w:val="19"/>
              </w:rPr>
              <w:t>Highlights</w:t>
            </w:r>
          </w:p>
        </w:tc>
        <w:tc>
          <w:tcPr>
            <w:tcW w:type="dxa" w:w="6463"/>
            <w:shd w:val="clear" w:fill="F1EDFF"/>
          </w:tcPr>
          <w:p>
            <w:pPr>
              <w:keepNext/>
            </w:pPr>
            <w:r>
              <w:rPr>
                <w:sz w:val="19"/>
              </w:rPr>
              <w:t>2–4 detected facts, tied to transactions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Key figures</w:t>
            </w:r>
          </w:p>
        </w:tc>
        <w:tc>
          <w:tcPr>
            <w:tcW w:type="dxa" w:w="6463"/>
          </w:tcPr>
          <w:p>
            <w:pPr>
              <w:keepNext/>
            </w:pPr>
            <w:r>
              <w:rPr>
                <w:sz w:val="19"/>
              </w:rPr>
              <w:t>Cash in · spend · EoM cash · burn/runway, with M-1 deltas</w:t>
            </w:r>
          </w:p>
        </w:tc>
      </w:tr>
      <w:tr>
        <w:trPr>
          <w:cantSplit/>
        </w:trPr>
        <w:tc>
          <w:tcPr>
            <w:tcW w:type="dxa" w:w="680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sz w:val="19"/>
              </w:rPr>
              <w:t>Spend by category</w:t>
            </w:r>
          </w:p>
        </w:tc>
        <w:tc>
          <w:tcPr>
            <w:tcW w:type="dxa" w:w="6463"/>
            <w:shd w:val="clear" w:fill="F1EDFF"/>
          </w:tcPr>
          <w:p>
            <w:pPr>
              <w:keepNext/>
            </w:pPr>
            <w:r>
              <w:rPr>
                <w:sz w:val="19"/>
              </w:rPr>
              <w:t>Label breakdown, “untagged” share disclosed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Cash &amp; runway</w:t>
            </w:r>
          </w:p>
        </w:tc>
        <w:tc>
          <w:tcPr>
            <w:tcW w:type="dxa" w:w="6463"/>
          </w:tcPr>
          <w:p>
            <w:pPr>
              <w:keepNext/>
            </w:pPr>
            <w:r>
              <w:rPr>
                <w:sz w:val="19"/>
              </w:rPr>
              <w:t>Rolling 12-month curve, runway when burn &gt; 0</w:t>
            </w:r>
          </w:p>
        </w:tc>
      </w:tr>
      <w:tr>
        <w:trPr>
          <w:cantSplit/>
        </w:trPr>
        <w:tc>
          <w:tcPr>
            <w:tcW w:type="dxa" w:w="680"/>
            <w:shd w:val="clear" w:fill="F1EDFF"/>
          </w:tcPr>
          <w:p>
            <w:r>
              <w:rPr>
                <w:b/>
                <w:sz w:val="19"/>
              </w:rPr>
              <w:t>6</w:t>
            </w:r>
          </w:p>
        </w:tc>
        <w:tc>
          <w:tcPr>
            <w:tcW w:type="dxa" w:w="2494"/>
            <w:shd w:val="clear" w:fill="F1EDFF"/>
          </w:tcPr>
          <w:p>
            <w:r>
              <w:rPr>
                <w:sz w:val="19"/>
              </w:rPr>
              <w:t>Outlook</w:t>
            </w:r>
          </w:p>
        </w:tc>
        <w:tc>
          <w:tcPr>
            <w:tcW w:type="dxa" w:w="6463"/>
            <w:shd w:val="clear" w:fill="F1EDFF"/>
          </w:tcPr>
          <w:p>
            <w:r>
              <w:rPr>
                <w:sz w:val="19"/>
              </w:rPr>
              <w:t>The user-approved “outlook” paragraph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Self-contained deck: pure CSS, light/dark theme, zero external dependencies — it opens anywhere, forever.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 (figures + deltas, spend, highlights) + the 3-paragraph narrative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Self-contained HTML deck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5–6 slides, pure CSS, light/dark, zero dependencies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When the host renders files; fallback to tables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Canva export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Design generated through the Canva MCP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When the Canva MCP is present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Send email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Gmail draft (never sent) or paste-ready text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Gmail present → draft; otherwise text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update postponed for three days → one prompt → numbers, highlights, narrative → one adjective fixed live → deck and email draft ready before the coffee is finished. It runs live on a real production account.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Pack history: deltas against last month's pack (“what we told them last time”)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Session memory or local folder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User-declared business KPIs (MRR, active customers)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Merged into the key-figures slide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Calendar reminder “your monthly pack is ready to generate”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Calendar MCP detected dynamically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Bilingual packs (FR deck for the banker, EN for investors)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Same data, two narratives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Read-only on Qonto — no Qonto write tool is ever used</w:t>
      </w:r>
    </w:p>
    <w:p>
      <w:pPr>
        <w:pStyle w:val="ListBullet"/>
        <w:spacing w:after="60"/>
      </w:pPr>
      <w:r>
        <w:rPr>
          <w:sz w:val="21"/>
        </w:rPr>
        <w:t>Nothing is sent, ever: emails are drafts, decks are files — the user sends</w:t>
      </w:r>
    </w:p>
    <w:p>
      <w:pPr>
        <w:pStyle w:val="ListBullet"/>
        <w:spacing w:after="60"/>
      </w:pPr>
      <w:r>
        <w:rPr>
          <w:sz w:val="21"/>
        </w:rPr>
        <w:t>The narrative review is a hard stop before any formatting</w:t>
      </w:r>
    </w:p>
    <w:p>
      <w:pPr>
        <w:pStyle w:val="ListBullet"/>
        <w:spacing w:after="60"/>
      </w:pPr>
      <w:r>
        <w:rPr>
          <w:sz w:val="21"/>
        </w:rPr>
        <w:t>Audience confidentiality: exact figures never appear in a trends-level pack; the investor pack is never recycled for the banker without asking again</w:t>
      </w:r>
    </w:p>
    <w:p>
      <w:pPr>
        <w:pStyle w:val="ListBullet"/>
        <w:spacing w:after="60"/>
      </w:pPr>
      <w:r>
        <w:rPr>
          <w:sz w:val="21"/>
        </w:rPr>
        <w:t>Every number traceable to transactions · untagged shares disclosed · honest degradation on short history (&lt; 2 months: no comparisons; &lt; 12: no rolling year)</w:t>
      </w:r>
    </w:p>
    <w:p>
      <w:pPr>
        <w:pStyle w:val="ListBullet"/>
        <w:spacing w:after="60"/>
      </w:pPr>
      <w:r>
        <w:rPr>
          <w:sz w:val="21"/>
        </w:rPr>
        <w:t>IBANs masked (last 4 digits) · pagination ≤ 50 everywhere</w:t>
      </w:r>
    </w:p>
    <w:p>
      <w:pPr>
        <w:spacing w:before="360"/>
        <w:jc w:val="center"/>
      </w:pPr>
      <w:r>
        <w:rPr>
          <w:color w:val="5A5670"/>
          <w:sz w:val="17"/>
        </w:rPr>
        <w:t>qonto-board-pack · English documentation · Qonto × Anthropic MCP Hackathon · July 2026 · PR deliverable: SKILL.md · French version: doc-qonto-board-pack.fr.docx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