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enlo" w:hAnsi="Menlo"/>
          <w:b/>
          <w:color w:val="6B4EFF"/>
          <w:sz w:val="60"/>
        </w:rPr>
        <w:t>qonto-board-pack</w:t>
      </w:r>
    </w:p>
    <w:p>
      <w:pPr>
        <w:jc w:val="center"/>
      </w:pPr>
      <w:r>
        <w:rPr>
          <w:b/>
          <w:color w:val="1D1B29"/>
          <w:sz w:val="26"/>
        </w:rPr>
        <w:t>Le rapport mensuel investisseurs, prêt avant la fin de ton café — chiffres, faits marquants, narration, deck et email</w:t>
      </w:r>
    </w:p>
    <w:p>
      <w:pPr>
        <w:spacing w:after="280"/>
        <w:jc w:val="center"/>
      </w:pPr>
      <w:r>
        <w:rPr>
          <w:color w:val="5A5670"/>
          <w:sz w:val="19"/>
        </w:rPr>
        <w:t>Hackathon Qonto × Anthropic MCP  ·  Skill #18  ·  Lecture seule sur Qonto  ·  Rien ne part sans relecture</w:t>
      </w:r>
    </w:p>
    <w:p>
      <w:pPr>
        <w:pBdr>
          <w:bottom w:val="single" w:sz="24" w:color="6B4EFF"/>
        </w:pBdr>
        <w:spacing w:after="200"/>
      </w:pPr>
    </w:p>
    <w:p>
      <w:pPr>
        <w:keepNext/>
        <w:spacing w:before="320" w:after="120"/>
      </w:pPr>
      <w:r>
        <w:rPr>
          <w:b/>
          <w:color w:val="4A30D9"/>
          <w:sz w:val="32"/>
        </w:rPr>
        <w:t>🎯 Le pitch</w:t>
      </w:r>
    </w:p>
    <w:p>
      <w:r>
        <w:rPr>
          <w:b w:val="0"/>
          <w:i w:val="0"/>
          <w:sz w:val="21"/>
        </w:rPr>
        <w:t>Le rapport mensuel investisseurs/banquier, c'est la tâche que tout fondateur repousse au dernier soir. Un prompt → le pack complet, pendant que tu regardes :</w:t>
      </w:r>
    </w:p>
    <w:p>
      <w:pPr>
        <w:pStyle w:val="ListBullet"/>
        <w:spacing w:after="60"/>
      </w:pPr>
      <w:r>
        <w:rPr>
          <w:sz w:val="21"/>
        </w:rPr>
        <w:t>1. Chiffres du mois depuis Qonto — encaissements, dépenses par poste (labels), trésorerie fin de mois (relevé officiel quand il existe), burn net et runway</w:t>
      </w:r>
    </w:p>
    <w:p>
      <w:pPr>
        <w:pStyle w:val="ListBullet"/>
        <w:spacing w:after="60"/>
      </w:pPr>
      <w:r>
        <w:rPr>
          <w:sz w:val="21"/>
        </w:rPr>
        <w:t>2. Comparaisons M-1 et année glissante — deltas en € et %, saisonnalité signalée, encours clients en signal avancé — jamais de conclusion sur un seul mois</w:t>
      </w:r>
    </w:p>
    <w:p>
      <w:pPr>
        <w:pStyle w:val="ListBullet"/>
        <w:spacing w:after="60"/>
      </w:pPr>
      <w:r>
        <w:rPr>
          <w:sz w:val="21"/>
        </w:rPr>
        <w:t>3. Faits marquants détectés — gros contrat encaissé, nouvelle dépense significative, client habituel absent — chaque fait relié à ses transactions</w:t>
      </w:r>
    </w:p>
    <w:p>
      <w:pPr>
        <w:pStyle w:val="ListBullet"/>
        <w:spacing w:after="60"/>
      </w:pPr>
      <w:r>
        <w:rPr>
          <w:sz w:val="21"/>
        </w:rPr>
        <w:t>4. Narration exécutive (3 § : highlights, chiffres, perspectives) relue et corrigée AVANT toute mise en forme, puis deck HTML autoportant 5-6 slides (ou Canva) + email d'envoi (brouillon Gmail)</w:t>
      </w:r>
    </w:p>
    <w:p>
      <w:r>
        <w:rPr>
          <w:b/>
          <w:i w:val="0"/>
          <w:sz w:val="21"/>
        </w:rPr>
        <w:t>La confidentialité est une feature : banquier, investisseur et équipe interne ne reçoivent pas le même pack — l'utilisateur choisit l'audience et le niveau de détail (chiffres exacts vs tendances).</w:t>
      </w:r>
    </w:p>
    <w:p>
      <w:pPr>
        <w:keepNext/>
        <w:spacing w:before="320" w:after="120"/>
      </w:pPr>
      <w:r>
        <w:rPr>
          <w:b/>
          <w:color w:val="4A30D9"/>
          <w:sz w:val="32"/>
        </w:rPr>
        <w:t>📋 Prérequis</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381"/>
            <w:shd w:val="clear" w:fill="6B4EFF"/>
          </w:tcPr>
          <w:p>
            <w:pPr>
              <w:keepNext/>
            </w:pPr>
            <w:r>
              <w:rPr>
                <w:b/>
                <w:color w:val="FFFFFF"/>
                <w:sz w:val="19"/>
              </w:rPr>
              <w:t>Prérequis</w:t>
            </w:r>
          </w:p>
        </w:tc>
        <w:tc>
          <w:tcPr>
            <w:tcW w:type="dxa" w:w="5443"/>
            <w:shd w:val="clear" w:fill="6B4EFF"/>
          </w:tcPr>
          <w:p>
            <w:pPr>
              <w:keepNext/>
            </w:pPr>
            <w:r>
              <w:rPr>
                <w:b/>
                <w:color w:val="FFFFFF"/>
                <w:sz w:val="19"/>
              </w:rPr>
              <w:t>Détail</w:t>
            </w:r>
          </w:p>
        </w:tc>
        <w:tc>
          <w:tcPr>
            <w:tcW w:type="dxa" w:w="1814"/>
            <w:shd w:val="clear" w:fill="6B4EFF"/>
          </w:tcPr>
          <w:p>
            <w:pPr>
              <w:keepNext/>
            </w:pPr>
            <w:r>
              <w:rPr>
                <w:b/>
                <w:color w:val="FFFFFF"/>
                <w:sz w:val="19"/>
              </w:rPr>
              <w:t>Obligatoire</w:t>
            </w:r>
          </w:p>
        </w:tc>
      </w:tr>
      <w:tr>
        <w:trPr>
          <w:cantSplit/>
        </w:trPr>
        <w:tc>
          <w:tcPr>
            <w:tcW w:type="dxa" w:w="2381"/>
          </w:tcPr>
          <w:p>
            <w:pPr>
              <w:keepNext/>
            </w:pPr>
            <w:r>
              <w:rPr>
                <w:b/>
                <w:sz w:val="19"/>
              </w:rPr>
              <w:t>Compte Qonto production</w:t>
            </w:r>
          </w:p>
        </w:tc>
        <w:tc>
          <w:tcPr>
            <w:tcW w:type="dxa" w:w="5443"/>
          </w:tcPr>
          <w:p>
            <w:pPr>
              <w:keepNext/>
            </w:pPr>
            <w:r>
              <w:rPr>
                <w:sz w:val="19"/>
              </w:rPr>
              <w:t>Le skill s'adapte à toute organisation — get_organization d'abord, zéro donnée en dur</w:t>
            </w:r>
          </w:p>
        </w:tc>
        <w:tc>
          <w:tcPr>
            <w:tcW w:type="dxa" w:w="1814"/>
          </w:tcPr>
          <w:p>
            <w:pPr>
              <w:keepNext/>
            </w:pPr>
            <w:r>
              <w:rPr>
                <w:sz w:val="19"/>
              </w:rPr>
              <w:t>✅ Oui</w:t>
            </w:r>
          </w:p>
        </w:tc>
      </w:tr>
      <w:tr>
        <w:trPr>
          <w:cantSplit/>
        </w:trPr>
        <w:tc>
          <w:tcPr>
            <w:tcW w:type="dxa" w:w="2381"/>
            <w:shd w:val="clear" w:fill="F1EDFF"/>
          </w:tcPr>
          <w:p>
            <w:pPr>
              <w:keepNext/>
            </w:pPr>
            <w:r>
              <w:rPr>
                <w:b/>
                <w:sz w:val="19"/>
              </w:rPr>
              <w:t>Pays</w:t>
            </w:r>
          </w:p>
        </w:tc>
        <w:tc>
          <w:tcPr>
            <w:tcW w:type="dxa" w:w="5443"/>
            <w:shd w:val="clear" w:fill="F1EDFF"/>
          </w:tcPr>
          <w:p>
            <w:pPr>
              <w:keepNext/>
            </w:pPr>
            <w:r>
              <w:rPr>
                <w:sz w:val="19"/>
              </w:rPr>
              <w:t>Tous les pays Qonto (FR, DE, ES, IT, AT, NL, BE, PT) — les chiffres sont universels ; seuls devise et wording s'adaptent</w:t>
            </w:r>
          </w:p>
        </w:tc>
        <w:tc>
          <w:tcPr>
            <w:tcW w:type="dxa" w:w="1814"/>
            <w:shd w:val="clear" w:fill="F1EDFF"/>
          </w:tcPr>
          <w:p>
            <w:pPr>
              <w:keepNext/>
            </w:pPr>
            <w:r>
              <w:rPr>
                <w:sz w:val="19"/>
              </w:rPr>
              <w:t>ℹ️ Détecté</w:t>
            </w:r>
          </w:p>
        </w:tc>
      </w:tr>
      <w:tr>
        <w:trPr>
          <w:cantSplit/>
        </w:trPr>
        <w:tc>
          <w:tcPr>
            <w:tcW w:type="dxa" w:w="2381"/>
          </w:tcPr>
          <w:p>
            <w:pPr>
              <w:keepNext/>
            </w:pPr>
            <w:r>
              <w:rPr>
                <w:b/>
                <w:sz w:val="19"/>
              </w:rPr>
              <w:t>MCP Qonto connecté</w:t>
            </w:r>
          </w:p>
        </w:tc>
        <w:tc>
          <w:tcPr>
            <w:tcW w:type="dxa" w:w="5443"/>
          </w:tcPr>
          <w:p>
            <w:pPr>
              <w:keepNext/>
            </w:pPr>
            <w:r>
              <w:rPr>
                <w:sz w:val="19"/>
              </w:rPr>
              <w:t>Connecteur officiel (claude.ai / Claude Desktop), login OAuth</w:t>
            </w:r>
          </w:p>
        </w:tc>
        <w:tc>
          <w:tcPr>
            <w:tcW w:type="dxa" w:w="1814"/>
          </w:tcPr>
          <w:p>
            <w:pPr>
              <w:keepNext/>
            </w:pPr>
            <w:r>
              <w:rPr>
                <w:sz w:val="19"/>
              </w:rPr>
              <w:t>✅ Oui</w:t>
            </w:r>
          </w:p>
        </w:tc>
      </w:tr>
      <w:tr>
        <w:trPr>
          <w:cantSplit/>
        </w:trPr>
        <w:tc>
          <w:tcPr>
            <w:tcW w:type="dxa" w:w="2381"/>
            <w:shd w:val="clear" w:fill="F1EDFF"/>
          </w:tcPr>
          <w:p>
            <w:pPr>
              <w:keepNext/>
            </w:pPr>
            <w:r>
              <w:rPr>
                <w:b/>
                <w:sz w:val="19"/>
              </w:rPr>
              <w:t>Historique ≥ 2 mois</w:t>
            </w:r>
          </w:p>
        </w:tc>
        <w:tc>
          <w:tcPr>
            <w:tcW w:type="dxa" w:w="5443"/>
            <w:shd w:val="clear" w:fill="F1EDFF"/>
          </w:tcPr>
          <w:p>
            <w:pPr>
              <w:keepNext/>
            </w:pPr>
            <w:r>
              <w:rPr>
                <w:sz w:val="19"/>
              </w:rPr>
              <w:t>En dessous : chiffres du mois seuls, comparaisons sautées et annoncées (≥ 12 mois pour l'année glissante)</w:t>
            </w:r>
          </w:p>
        </w:tc>
        <w:tc>
          <w:tcPr>
            <w:tcW w:type="dxa" w:w="1814"/>
            <w:shd w:val="clear" w:fill="F1EDFF"/>
          </w:tcPr>
          <w:p>
            <w:pPr>
              <w:keepNext/>
            </w:pPr>
            <w:r>
              <w:rPr>
                <w:sz w:val="19"/>
              </w:rPr>
              <w:t>⭕ Optionnel</w:t>
            </w:r>
          </w:p>
        </w:tc>
      </w:tr>
      <w:tr>
        <w:trPr>
          <w:cantSplit/>
        </w:trPr>
        <w:tc>
          <w:tcPr>
            <w:tcW w:type="dxa" w:w="2381"/>
          </w:tcPr>
          <w:p>
            <w:pPr>
              <w:keepNext/>
            </w:pPr>
            <w:r>
              <w:rPr>
                <w:b/>
                <w:sz w:val="19"/>
              </w:rPr>
              <w:t>MCP Canva</w:t>
            </w:r>
          </w:p>
        </w:tc>
        <w:tc>
          <w:tcPr>
            <w:tcW w:type="dxa" w:w="5443"/>
          </w:tcPr>
          <w:p>
            <w:pPr>
              <w:keepNext/>
            </w:pPr>
            <w:r>
              <w:rPr>
                <w:sz w:val="19"/>
              </w:rPr>
              <w:t>Export du deck vers Canva — détecté dynamiquement, sinon deck HTML autoportant</w:t>
            </w:r>
          </w:p>
        </w:tc>
        <w:tc>
          <w:tcPr>
            <w:tcW w:type="dxa" w:w="1814"/>
          </w:tcPr>
          <w:p>
            <w:pPr>
              <w:keepNext/>
            </w:pPr>
            <w:r>
              <w:rPr>
                <w:sz w:val="19"/>
              </w:rPr>
              <w:t>⭕ Optionnel</w:t>
            </w:r>
          </w:p>
        </w:tc>
      </w:tr>
      <w:tr>
        <w:trPr>
          <w:cantSplit/>
        </w:trPr>
        <w:tc>
          <w:tcPr>
            <w:tcW w:type="dxa" w:w="2381"/>
            <w:shd w:val="clear" w:fill="F1EDFF"/>
          </w:tcPr>
          <w:p>
            <w:r>
              <w:rPr>
                <w:b/>
                <w:sz w:val="19"/>
              </w:rPr>
              <w:t>MCP Gmail</w:t>
            </w:r>
          </w:p>
        </w:tc>
        <w:tc>
          <w:tcPr>
            <w:tcW w:type="dxa" w:w="5443"/>
            <w:shd w:val="clear" w:fill="F1EDFF"/>
          </w:tcPr>
          <w:p>
            <w:r>
              <w:rPr>
                <w:sz w:val="19"/>
              </w:rPr>
              <w:t>Brouillon d'email dans la boîte — détecté dynamiquement, sinon texte prêt à coller</w:t>
            </w:r>
          </w:p>
        </w:tc>
        <w:tc>
          <w:tcPr>
            <w:tcW w:type="dxa" w:w="1814"/>
            <w:shd w:val="clear" w:fill="F1EDFF"/>
          </w:tcPr>
          <w:p>
            <w:r>
              <w:rPr>
                <w:sz w:val="19"/>
              </w:rPr>
              <w:t>⭕ Optionnel</w:t>
            </w:r>
          </w:p>
        </w:tc>
      </w:tr>
    </w:tbl>
    <w:p>
      <w:pPr>
        <w:spacing w:after="40"/>
      </w:pPr>
    </w:p>
    <w:p>
      <w:pPr>
        <w:keepNext/>
        <w:spacing w:before="320" w:after="120"/>
      </w:pPr>
      <w:r>
        <w:rPr>
          <w:b/>
          <w:color w:val="4A30D9"/>
          <w:sz w:val="32"/>
        </w:rPr>
        <w:t>⚙️ Fonctionnement global</w:t>
      </w:r>
    </w:p>
    <w:p>
      <w:pPr>
        <w:keepNext/>
        <w:jc w:val="center"/>
      </w:pPr>
      <w:r>
        <w:drawing>
          <wp:inline xmlns:a="http://schemas.openxmlformats.org/drawingml/2006/main" xmlns:pic="http://schemas.openxmlformats.org/drawingml/2006/picture">
            <wp:extent cx="6120000" cy="3271034"/>
            <wp:docPr id="1" name="Picture 1"/>
            <wp:cNvGraphicFramePr>
              <a:graphicFrameLocks noChangeAspect="1"/>
            </wp:cNvGraphicFramePr>
            <a:graphic>
              <a:graphicData uri="http://schemas.openxmlformats.org/drawingml/2006/picture">
                <pic:pic>
                  <pic:nvPicPr>
                    <pic:cNvPr id="0" name="flow.fr.png"/>
                    <pic:cNvPicPr/>
                  </pic:nvPicPr>
                  <pic:blipFill>
                    <a:blip r:embed="rId9"/>
                    <a:stretch>
                      <a:fillRect/>
                    </a:stretch>
                  </pic:blipFill>
                  <pic:spPr>
                    <a:xfrm>
                      <a:off x="0" y="0"/>
                      <a:ext cx="6120000" cy="3271034"/>
                    </a:xfrm>
                    <a:prstGeom prst="rect"/>
                  </pic:spPr>
                </pic:pic>
              </a:graphicData>
            </a:graphic>
          </wp:inline>
        </w:drawing>
      </w:r>
    </w:p>
    <w:p>
      <w:pPr>
        <w:spacing w:after="200"/>
        <w:jc w:val="center"/>
      </w:pPr>
      <w:r>
        <w:rPr>
          <w:i/>
          <w:color w:val="5A5670"/>
          <w:sz w:val="17"/>
        </w:rPr>
        <w:t>Schéma 1 — Fonctionnement global en 6 étapes (zéro écriture Qonto)</w:t>
      </w:r>
    </w:p>
    <w:p>
      <w:pPr>
        <w:keepNext/>
        <w:spacing w:before="200" w:after="120"/>
      </w:pPr>
      <w:r>
        <w:rPr>
          <w:b/>
          <w:color w:val="6B4EFF"/>
          <w:sz w:val="25"/>
        </w:rPr>
        <w:t>Robuste sur données sales</w:t>
      </w:r>
    </w:p>
    <w:p>
      <w:pPr>
        <w:pStyle w:val="ListBullet"/>
        <w:spacing w:after="60"/>
      </w:pPr>
      <w:r>
        <w:rPr>
          <w:sz w:val="21"/>
        </w:rPr>
        <w:t>Virements internes exclus du CA et du burn (débit/crédit appariés sur les IBAN de l'organisation) — la façon classique de doubler son « chiffre d'affaires » par accident</w:t>
      </w:r>
    </w:p>
    <w:p>
      <w:pPr>
        <w:pStyle w:val="ListBullet"/>
        <w:spacing w:after="60"/>
      </w:pPr>
      <w:r>
        <w:rPr>
          <w:sz w:val="21"/>
        </w:rPr>
        <w:t>Bords de mois gérés : les paiements carte se règlent avec 1-2 jours de décalage — fenêtre sur settled_at, recoupée par emitted_at</w:t>
      </w:r>
    </w:p>
    <w:p>
      <w:pPr>
        <w:pStyle w:val="ListBullet"/>
        <w:spacing w:after="60"/>
      </w:pPr>
      <w:r>
        <w:rPr>
          <w:sz w:val="21"/>
        </w:rPr>
        <w:t>Dépenses par labels (list_cash_flow_categories renvoie 403 sur le connecteur claude.ai) ; le non-taggé va dans « Autres », part annoncée</w:t>
      </w:r>
    </w:p>
    <w:p>
      <w:pPr>
        <w:pStyle w:val="ListBullet"/>
        <w:spacing w:after="60"/>
      </w:pPr>
      <w:r>
        <w:rPr>
          <w:sz w:val="21"/>
        </w:rPr>
        <w:t>Solde fin de mois : relevé officiel (list_statements) quand il existe, sinon calculé — la méthode est toujours annoncée</w:t>
      </w:r>
    </w:p>
    <w:p>
      <w:pPr>
        <w:pStyle w:val="ListBullet"/>
        <w:spacing w:after="60"/>
      </w:pPr>
      <w:r>
        <w:rPr>
          <w:sz w:val="21"/>
        </w:rPr>
        <w:t>Mois vide ou compte récent : chiffres seuls, comparaisons sautées et dites — jamais de tendance inventée ; runway seulement si burn &gt; 0</w:t>
      </w:r>
    </w:p>
    <w:p>
      <w:pPr>
        <w:pStyle w:val="ListBullet"/>
        <w:spacing w:after="60"/>
      </w:pPr>
      <w:r>
        <w:rPr>
          <w:sz w:val="21"/>
        </w:rPr>
        <w:t>Canva ou Gmail absents : annoncé une fois, puis repli deck HTML + texte d'email — le cœur marche en Qonto pur</w:t>
      </w:r>
    </w:p>
    <w:p>
      <w:r>
        <w:br w:type="page"/>
      </w:r>
    </w:p>
    <w:p>
      <w:pPr>
        <w:keepNext/>
        <w:spacing w:before="320" w:after="120"/>
      </w:pPr>
      <w:r>
        <w:rPr>
          <w:b/>
          <w:color w:val="4A30D9"/>
          <w:sz w:val="32"/>
        </w:rPr>
        <w:t>🏗 Schéma fonctionnel</w:t>
      </w:r>
    </w:p>
    <w:p>
      <w:pPr>
        <w:keepNext/>
        <w:jc w:val="center"/>
      </w:pPr>
      <w:r>
        <w:drawing>
          <wp:inline xmlns:a="http://schemas.openxmlformats.org/drawingml/2006/main" xmlns:pic="http://schemas.openxmlformats.org/drawingml/2006/picture">
            <wp:extent cx="6120000" cy="3376552"/>
            <wp:docPr id="2" name="Picture 2"/>
            <wp:cNvGraphicFramePr>
              <a:graphicFrameLocks noChangeAspect="1"/>
            </wp:cNvGraphicFramePr>
            <a:graphic>
              <a:graphicData uri="http://schemas.openxmlformats.org/drawingml/2006/picture">
                <pic:pic>
                  <pic:nvPicPr>
                    <pic:cNvPr id="0" name="functional.fr.png"/>
                    <pic:cNvPicPr/>
                  </pic:nvPicPr>
                  <pic:blipFill>
                    <a:blip r:embed="rId10"/>
                    <a:stretch>
                      <a:fillRect/>
                    </a:stretch>
                  </pic:blipFill>
                  <pic:spPr>
                    <a:xfrm>
                      <a:off x="0" y="0"/>
                      <a:ext cx="6120000" cy="3376552"/>
                    </a:xfrm>
                    <a:prstGeom prst="rect"/>
                  </pic:spPr>
                </pic:pic>
              </a:graphicData>
            </a:graphic>
          </wp:inline>
        </w:drawing>
      </w:r>
    </w:p>
    <w:p>
      <w:pPr>
        <w:spacing w:after="200"/>
        <w:jc w:val="center"/>
      </w:pPr>
      <w:r>
        <w:rPr>
          <w:i/>
          <w:color w:val="5A5670"/>
          <w:sz w:val="17"/>
        </w:rPr>
        <w:t>Schéma 2 — Acteurs et flux : lecture seule sur Qonto ; sorties = fichier local + brouillon</w:t>
      </w:r>
    </w:p>
    <w:p>
      <w:r>
        <w:rPr>
          <w:b/>
          <w:i w:val="0"/>
          <w:sz w:val="21"/>
        </w:rPr>
        <w:t>🔒 Rien ne part jamais tout seul : le skill est en lecture seule sur Qonto — aucune écriture, jamais. Les seules sorties sont un fichier local (deck HTML) et un brouillon (Gmail). La narration passe toujours par la relecture de l'utilisateur avant mise en forme, et c'est lui qui envoie. C'est le produit, pas une friction.</w:t>
      </w:r>
    </w:p>
    <w:p>
      <w:pPr>
        <w:keepNext/>
        <w:spacing w:before="320" w:after="120"/>
      </w:pPr>
      <w:r>
        <w:rPr>
          <w:b/>
          <w:color w:val="4A30D9"/>
          <w:sz w:val="32"/>
        </w:rPr>
        <w:t>👥 Les trois audiences (la confidentialité comme feature)</w:t>
      </w:r>
    </w:p>
    <w:tbl>
      <w:tblPr>
        <w:tblStyle w:val="TableGrid"/>
        <w:tblW w:type="auto" w:w="0"/>
        <w:tblLayout w:type="autofit"/>
        <w:tblLook w:firstColumn="1" w:firstRow="1" w:lastColumn="0" w:lastRow="0" w:noHBand="0" w:noVBand="1" w:val="04A0"/>
      </w:tblPr>
      <w:tblGrid>
        <w:gridCol w:w="2409"/>
        <w:gridCol w:w="2409"/>
        <w:gridCol w:w="2409"/>
        <w:gridCol w:w="2409"/>
      </w:tblGrid>
      <w:tr>
        <w:trPr>
          <w:cantSplit/>
        </w:trPr>
        <w:tc>
          <w:tcPr>
            <w:tcW w:type="dxa" w:w="1928"/>
            <w:shd w:val="clear" w:fill="6B4EFF"/>
          </w:tcPr>
          <w:p>
            <w:pPr>
              <w:keepNext/>
            </w:pPr>
            <w:r>
              <w:rPr>
                <w:b/>
                <w:color w:val="FFFFFF"/>
                <w:sz w:val="19"/>
              </w:rPr>
              <w:t>Audience</w:t>
            </w:r>
          </w:p>
        </w:tc>
        <w:tc>
          <w:tcPr>
            <w:tcW w:type="dxa" w:w="2721"/>
            <w:shd w:val="clear" w:fill="6B4EFF"/>
          </w:tcPr>
          <w:p>
            <w:pPr>
              <w:keepNext/>
            </w:pPr>
            <w:r>
              <w:rPr>
                <w:b/>
                <w:color w:val="FFFFFF"/>
                <w:sz w:val="19"/>
              </w:rPr>
              <w:t>Ce qu'elle attend</w:t>
            </w:r>
          </w:p>
        </w:tc>
        <w:tc>
          <w:tcPr>
            <w:tcW w:type="dxa" w:w="3288"/>
            <w:shd w:val="clear" w:fill="6B4EFF"/>
          </w:tcPr>
          <w:p>
            <w:pPr>
              <w:keepNext/>
            </w:pPr>
            <w:r>
              <w:rPr>
                <w:b/>
                <w:color w:val="FFFFFF"/>
                <w:sz w:val="19"/>
              </w:rPr>
              <w:t>Contenu du pack</w:t>
            </w:r>
          </w:p>
        </w:tc>
        <w:tc>
          <w:tcPr>
            <w:tcW w:type="dxa" w:w="1701"/>
            <w:shd w:val="clear" w:fill="6B4EFF"/>
          </w:tcPr>
          <w:p>
            <w:pPr>
              <w:keepNext/>
            </w:pPr>
            <w:r>
              <w:rPr>
                <w:b/>
                <w:color w:val="FFFFFF"/>
                <w:sz w:val="19"/>
              </w:rPr>
              <w:t>Niveau de détail</w:t>
            </w:r>
          </w:p>
        </w:tc>
      </w:tr>
      <w:tr>
        <w:trPr>
          <w:cantSplit/>
        </w:trPr>
        <w:tc>
          <w:tcPr>
            <w:tcW w:type="dxa" w:w="1928"/>
          </w:tcPr>
          <w:p>
            <w:pPr>
              <w:keepNext/>
            </w:pPr>
            <w:r>
              <w:rPr>
                <w:b/>
                <w:sz w:val="19"/>
              </w:rPr>
              <w:t>Banquier</w:t>
            </w:r>
          </w:p>
        </w:tc>
        <w:tc>
          <w:tcPr>
            <w:tcW w:type="dxa" w:w="2721"/>
          </w:tcPr>
          <w:p>
            <w:pPr>
              <w:keepNext/>
            </w:pPr>
            <w:r>
              <w:rPr>
                <w:sz w:val="19"/>
              </w:rPr>
              <w:t>De la stabilité : compte sain, échéances couvertes</w:t>
            </w:r>
          </w:p>
        </w:tc>
        <w:tc>
          <w:tcPr>
            <w:tcW w:type="dxa" w:w="3288"/>
          </w:tcPr>
          <w:p>
            <w:pPr>
              <w:keepNext/>
            </w:pPr>
            <w:r>
              <w:rPr>
                <w:sz w:val="19"/>
              </w:rPr>
              <w:t>Trésorerie, encaissements, couverture des charges, régularité</w:t>
            </w:r>
          </w:p>
        </w:tc>
        <w:tc>
          <w:tcPr>
            <w:tcW w:type="dxa" w:w="1701"/>
          </w:tcPr>
          <w:p>
            <w:pPr>
              <w:keepNext/>
            </w:pPr>
            <w:r>
              <w:rPr>
                <w:sz w:val="19"/>
              </w:rPr>
              <w:t>Chiffres exacts</w:t>
            </w:r>
          </w:p>
        </w:tc>
      </w:tr>
      <w:tr>
        <w:trPr>
          <w:cantSplit/>
        </w:trPr>
        <w:tc>
          <w:tcPr>
            <w:tcW w:type="dxa" w:w="1928"/>
            <w:shd w:val="clear" w:fill="F1EDFF"/>
          </w:tcPr>
          <w:p>
            <w:pPr>
              <w:keepNext/>
            </w:pPr>
            <w:r>
              <w:rPr>
                <w:b/>
                <w:sz w:val="19"/>
              </w:rPr>
              <w:t>Investisseur</w:t>
            </w:r>
          </w:p>
        </w:tc>
        <w:tc>
          <w:tcPr>
            <w:tcW w:type="dxa" w:w="2721"/>
            <w:shd w:val="clear" w:fill="F1EDFF"/>
          </w:tcPr>
          <w:p>
            <w:pPr>
              <w:keepNext/>
            </w:pPr>
            <w:r>
              <w:rPr>
                <w:sz w:val="19"/>
              </w:rPr>
              <w:t>De la trajectoire : croissance, burn maîtrisé, runway</w:t>
            </w:r>
          </w:p>
        </w:tc>
        <w:tc>
          <w:tcPr>
            <w:tcW w:type="dxa" w:w="3288"/>
            <w:shd w:val="clear" w:fill="F1EDFF"/>
          </w:tcPr>
          <w:p>
            <w:pPr>
              <w:keepNext/>
            </w:pPr>
            <w:r>
              <w:rPr>
                <w:sz w:val="19"/>
              </w:rPr>
              <w:t>Highlights, croissance M-1/YoY, burn &amp; runway, perspectives</w:t>
            </w:r>
          </w:p>
        </w:tc>
        <w:tc>
          <w:tcPr>
            <w:tcW w:type="dxa" w:w="1701"/>
            <w:shd w:val="clear" w:fill="F1EDFF"/>
          </w:tcPr>
          <w:p>
            <w:pPr>
              <w:keepNext/>
            </w:pPr>
            <w:r>
              <w:rPr>
                <w:sz w:val="19"/>
              </w:rPr>
              <w:t>Exacts ou tendances — au choix</w:t>
            </w:r>
          </w:p>
        </w:tc>
      </w:tr>
      <w:tr>
        <w:trPr>
          <w:cantSplit/>
        </w:trPr>
        <w:tc>
          <w:tcPr>
            <w:tcW w:type="dxa" w:w="1928"/>
          </w:tcPr>
          <w:p>
            <w:r>
              <w:rPr>
                <w:b/>
                <w:sz w:val="19"/>
              </w:rPr>
              <w:t>Interne</w:t>
            </w:r>
          </w:p>
        </w:tc>
        <w:tc>
          <w:tcPr>
            <w:tcW w:type="dxa" w:w="2721"/>
          </w:tcPr>
          <w:p>
            <w:r>
              <w:rPr>
                <w:sz w:val="19"/>
              </w:rPr>
              <w:t>Tout</w:t>
            </w:r>
          </w:p>
        </w:tc>
        <w:tc>
          <w:tcPr>
            <w:tcW w:type="dxa" w:w="3288"/>
          </w:tcPr>
          <w:p>
            <w:r>
              <w:rPr>
                <w:sz w:val="19"/>
              </w:rPr>
              <w:t>Le pack complet, non filtré, postes de dépenses détaillés</w:t>
            </w:r>
          </w:p>
        </w:tc>
        <w:tc>
          <w:tcPr>
            <w:tcW w:type="dxa" w:w="1701"/>
          </w:tcPr>
          <w:p>
            <w:r>
              <w:rPr>
                <w:sz w:val="19"/>
              </w:rPr>
              <w:t>Tout</w:t>
            </w:r>
          </w:p>
        </w:tc>
      </w:tr>
    </w:tbl>
    <w:p>
      <w:pPr>
        <w:spacing w:after="40"/>
      </w:pPr>
    </w:p>
    <w:p>
      <w:pPr>
        <w:keepNext/>
        <w:spacing w:before="320" w:after="120"/>
      </w:pPr>
      <w:r>
        <w:rPr>
          <w:b/>
          <w:color w:val="4A30D9"/>
          <w:sz w:val="32"/>
        </w:rPr>
        <w:t>📊 Structure du deck (5-6 slides, charte sobre)</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680"/>
            <w:shd w:val="clear" w:fill="6B4EFF"/>
          </w:tcPr>
          <w:p>
            <w:pPr>
              <w:keepNext/>
            </w:pPr>
            <w:r>
              <w:rPr>
                <w:b/>
                <w:color w:val="FFFFFF"/>
                <w:sz w:val="19"/>
              </w:rPr>
              <w:t>#</w:t>
            </w:r>
          </w:p>
        </w:tc>
        <w:tc>
          <w:tcPr>
            <w:tcW w:type="dxa" w:w="2494"/>
            <w:shd w:val="clear" w:fill="6B4EFF"/>
          </w:tcPr>
          <w:p>
            <w:pPr>
              <w:keepNext/>
            </w:pPr>
            <w:r>
              <w:rPr>
                <w:b/>
                <w:color w:val="FFFFFF"/>
                <w:sz w:val="19"/>
              </w:rPr>
              <w:t>Slide</w:t>
            </w:r>
          </w:p>
        </w:tc>
        <w:tc>
          <w:tcPr>
            <w:tcW w:type="dxa" w:w="6463"/>
            <w:shd w:val="clear" w:fill="6B4EFF"/>
          </w:tcPr>
          <w:p>
            <w:pPr>
              <w:keepNext/>
            </w:pPr>
            <w:r>
              <w:rPr>
                <w:b/>
                <w:color w:val="FFFFFF"/>
                <w:sz w:val="19"/>
              </w:rPr>
              <w:t>Contenu</w:t>
            </w:r>
          </w:p>
        </w:tc>
      </w:tr>
      <w:tr>
        <w:trPr>
          <w:cantSplit/>
        </w:trPr>
        <w:tc>
          <w:tcPr>
            <w:tcW w:type="dxa" w:w="680"/>
          </w:tcPr>
          <w:p>
            <w:pPr>
              <w:keepNext/>
            </w:pPr>
            <w:r>
              <w:rPr>
                <w:b/>
                <w:sz w:val="19"/>
              </w:rPr>
              <w:t>1</w:t>
            </w:r>
          </w:p>
        </w:tc>
        <w:tc>
          <w:tcPr>
            <w:tcW w:type="dxa" w:w="2494"/>
          </w:tcPr>
          <w:p>
            <w:pPr>
              <w:keepNext/>
            </w:pPr>
            <w:r>
              <w:rPr>
                <w:sz w:val="19"/>
              </w:rPr>
              <w:t>Couverture</w:t>
            </w:r>
          </w:p>
        </w:tc>
        <w:tc>
          <w:tcPr>
            <w:tcW w:type="dxa" w:w="6463"/>
          </w:tcPr>
          <w:p>
            <w:pPr>
              <w:keepNext/>
            </w:pPr>
            <w:r>
              <w:rPr>
                <w:sz w:val="19"/>
              </w:rPr>
              <w:t>Organisation · mois · audience</w:t>
            </w:r>
          </w:p>
        </w:tc>
      </w:tr>
      <w:tr>
        <w:trPr>
          <w:cantSplit/>
        </w:trPr>
        <w:tc>
          <w:tcPr>
            <w:tcW w:type="dxa" w:w="680"/>
            <w:shd w:val="clear" w:fill="F1EDFF"/>
          </w:tcPr>
          <w:p>
            <w:pPr>
              <w:keepNext/>
            </w:pPr>
            <w:r>
              <w:rPr>
                <w:b/>
                <w:sz w:val="19"/>
              </w:rPr>
              <w:t>2</w:t>
            </w:r>
          </w:p>
        </w:tc>
        <w:tc>
          <w:tcPr>
            <w:tcW w:type="dxa" w:w="2494"/>
            <w:shd w:val="clear" w:fill="F1EDFF"/>
          </w:tcPr>
          <w:p>
            <w:pPr>
              <w:keepNext/>
            </w:pPr>
            <w:r>
              <w:rPr>
                <w:sz w:val="19"/>
              </w:rPr>
              <w:t>Faits marquants</w:t>
            </w:r>
          </w:p>
        </w:tc>
        <w:tc>
          <w:tcPr>
            <w:tcW w:type="dxa" w:w="6463"/>
            <w:shd w:val="clear" w:fill="F1EDFF"/>
          </w:tcPr>
          <w:p>
            <w:pPr>
              <w:keepNext/>
            </w:pPr>
            <w:r>
              <w:rPr>
                <w:sz w:val="19"/>
              </w:rPr>
              <w:t>2-4 faits détectés, reliés aux transactions</w:t>
            </w:r>
          </w:p>
        </w:tc>
      </w:tr>
      <w:tr>
        <w:trPr>
          <w:cantSplit/>
        </w:trPr>
        <w:tc>
          <w:tcPr>
            <w:tcW w:type="dxa" w:w="680"/>
          </w:tcPr>
          <w:p>
            <w:pPr>
              <w:keepNext/>
            </w:pPr>
            <w:r>
              <w:rPr>
                <w:b/>
                <w:sz w:val="19"/>
              </w:rPr>
              <w:t>3</w:t>
            </w:r>
          </w:p>
        </w:tc>
        <w:tc>
          <w:tcPr>
            <w:tcW w:type="dxa" w:w="2494"/>
          </w:tcPr>
          <w:p>
            <w:pPr>
              <w:keepNext/>
            </w:pPr>
            <w:r>
              <w:rPr>
                <w:sz w:val="19"/>
              </w:rPr>
              <w:t>Chiffres clés</w:t>
            </w:r>
          </w:p>
        </w:tc>
        <w:tc>
          <w:tcPr>
            <w:tcW w:type="dxa" w:w="6463"/>
          </w:tcPr>
          <w:p>
            <w:pPr>
              <w:keepNext/>
            </w:pPr>
            <w:r>
              <w:rPr>
                <w:sz w:val="19"/>
              </w:rPr>
              <w:t>Encaissements · dépenses · tréso fin de mois · burn/runway, avec deltas M-1</w:t>
            </w:r>
          </w:p>
        </w:tc>
      </w:tr>
      <w:tr>
        <w:trPr>
          <w:cantSplit/>
        </w:trPr>
        <w:tc>
          <w:tcPr>
            <w:tcW w:type="dxa" w:w="680"/>
            <w:shd w:val="clear" w:fill="F1EDFF"/>
          </w:tcPr>
          <w:p>
            <w:pPr>
              <w:keepNext/>
            </w:pPr>
            <w:r>
              <w:rPr>
                <w:b/>
                <w:sz w:val="19"/>
              </w:rPr>
              <w:t>4</w:t>
            </w:r>
          </w:p>
        </w:tc>
        <w:tc>
          <w:tcPr>
            <w:tcW w:type="dxa" w:w="2494"/>
            <w:shd w:val="clear" w:fill="F1EDFF"/>
          </w:tcPr>
          <w:p>
            <w:pPr>
              <w:keepNext/>
            </w:pPr>
            <w:r>
              <w:rPr>
                <w:sz w:val="19"/>
              </w:rPr>
              <w:t>Dépenses par poste</w:t>
            </w:r>
          </w:p>
        </w:tc>
        <w:tc>
          <w:tcPr>
            <w:tcW w:type="dxa" w:w="6463"/>
            <w:shd w:val="clear" w:fill="F1EDFF"/>
          </w:tcPr>
          <w:p>
            <w:pPr>
              <w:keepNext/>
            </w:pPr>
            <w:r>
              <w:rPr>
                <w:sz w:val="19"/>
              </w:rPr>
              <w:t>Répartition par labels, part « non taggé » annoncée</w:t>
            </w:r>
          </w:p>
        </w:tc>
      </w:tr>
      <w:tr>
        <w:trPr>
          <w:cantSplit/>
        </w:trPr>
        <w:tc>
          <w:tcPr>
            <w:tcW w:type="dxa" w:w="680"/>
          </w:tcPr>
          <w:p>
            <w:pPr>
              <w:keepNext/>
            </w:pPr>
            <w:r>
              <w:rPr>
                <w:b/>
                <w:sz w:val="19"/>
              </w:rPr>
              <w:t>5</w:t>
            </w:r>
          </w:p>
        </w:tc>
        <w:tc>
          <w:tcPr>
            <w:tcW w:type="dxa" w:w="2494"/>
          </w:tcPr>
          <w:p>
            <w:pPr>
              <w:keepNext/>
            </w:pPr>
            <w:r>
              <w:rPr>
                <w:sz w:val="19"/>
              </w:rPr>
              <w:t>Trésorerie &amp; runway</w:t>
            </w:r>
          </w:p>
        </w:tc>
        <w:tc>
          <w:tcPr>
            <w:tcW w:type="dxa" w:w="6463"/>
          </w:tcPr>
          <w:p>
            <w:pPr>
              <w:keepNext/>
            </w:pPr>
            <w:r>
              <w:rPr>
                <w:sz w:val="19"/>
              </w:rPr>
              <w:t>Courbe 12 mois glissants, runway si burn &gt; 0</w:t>
            </w:r>
          </w:p>
        </w:tc>
      </w:tr>
      <w:tr>
        <w:trPr>
          <w:cantSplit/>
        </w:trPr>
        <w:tc>
          <w:tcPr>
            <w:tcW w:type="dxa" w:w="680"/>
            <w:shd w:val="clear" w:fill="F1EDFF"/>
          </w:tcPr>
          <w:p>
            <w:r>
              <w:rPr>
                <w:b/>
                <w:sz w:val="19"/>
              </w:rPr>
              <w:t>6</w:t>
            </w:r>
          </w:p>
        </w:tc>
        <w:tc>
          <w:tcPr>
            <w:tcW w:type="dxa" w:w="2494"/>
            <w:shd w:val="clear" w:fill="F1EDFF"/>
          </w:tcPr>
          <w:p>
            <w:r>
              <w:rPr>
                <w:sz w:val="19"/>
              </w:rPr>
              <w:t>Perspectives</w:t>
            </w:r>
          </w:p>
        </w:tc>
        <w:tc>
          <w:tcPr>
            <w:tcW w:type="dxa" w:w="6463"/>
            <w:shd w:val="clear" w:fill="F1EDFF"/>
          </w:tcPr>
          <w:p>
            <w:r>
              <w:rPr>
                <w:sz w:val="19"/>
              </w:rPr>
              <w:t>Le paragraphe « outlook » validé par l'utilisateur</w:t>
            </w:r>
          </w:p>
        </w:tc>
      </w:tr>
    </w:tbl>
    <w:p>
      <w:pPr>
        <w:spacing w:after="40"/>
      </w:pPr>
    </w:p>
    <w:p>
      <w:r>
        <w:rPr>
          <w:b w:val="0"/>
          <w:i w:val="0"/>
          <w:sz w:val="21"/>
        </w:rPr>
        <w:t>Deck autoportant : CSS pur, thème clair/sombre, zéro dépendance externe — il s'ouvre partout, pour toujours.</w:t>
      </w:r>
    </w:p>
    <w:p>
      <w:pPr>
        <w:keepNext/>
        <w:spacing w:before="320" w:after="120"/>
      </w:pPr>
      <w:r>
        <w:rPr>
          <w:b/>
          <w:color w:val="4A30D9"/>
          <w:sz w:val="32"/>
        </w:rPr>
        <w:t>📤 Formats de sortie</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608"/>
            <w:shd w:val="clear" w:fill="6B4EFF"/>
          </w:tcPr>
          <w:p>
            <w:pPr>
              <w:keepNext/>
            </w:pPr>
            <w:r>
              <w:rPr>
                <w:b/>
                <w:color w:val="FFFFFF"/>
                <w:sz w:val="19"/>
              </w:rPr>
              <w:t>Sortie</w:t>
            </w:r>
          </w:p>
        </w:tc>
        <w:tc>
          <w:tcPr>
            <w:tcW w:type="dxa" w:w="3969"/>
            <w:shd w:val="clear" w:fill="6B4EFF"/>
          </w:tcPr>
          <w:p>
            <w:pPr>
              <w:keepNext/>
            </w:pPr>
            <w:r>
              <w:rPr>
                <w:b/>
                <w:color w:val="FFFFFF"/>
                <w:sz w:val="19"/>
              </w:rPr>
              <w:t>Format</w:t>
            </w:r>
          </w:p>
        </w:tc>
        <w:tc>
          <w:tcPr>
            <w:tcW w:type="dxa" w:w="3061"/>
            <w:shd w:val="clear" w:fill="6B4EFF"/>
          </w:tcPr>
          <w:p>
            <w:pPr>
              <w:keepNext/>
            </w:pPr>
            <w:r>
              <w:rPr>
                <w:b/>
                <w:color w:val="FFFFFF"/>
                <w:sz w:val="19"/>
              </w:rPr>
              <w:t>Quand</w:t>
            </w:r>
          </w:p>
        </w:tc>
      </w:tr>
      <w:tr>
        <w:trPr>
          <w:cantSplit/>
        </w:trPr>
        <w:tc>
          <w:tcPr>
            <w:tcW w:type="dxa" w:w="2608"/>
          </w:tcPr>
          <w:p>
            <w:pPr>
              <w:keepNext/>
            </w:pPr>
            <w:r>
              <w:rPr>
                <w:b/>
                <w:sz w:val="19"/>
              </w:rPr>
              <w:t>Réponse dans la conversation</w:t>
            </w:r>
          </w:p>
        </w:tc>
        <w:tc>
          <w:tcPr>
            <w:tcW w:type="dxa" w:w="3969"/>
          </w:tcPr>
          <w:p>
            <w:pPr>
              <w:keepNext/>
            </w:pPr>
            <w:r>
              <w:rPr>
                <w:sz w:val="19"/>
              </w:rPr>
              <w:t>Tableaux markdown (chiffres + deltas, postes, faits marquants) + narration 3 §</w:t>
            </w:r>
          </w:p>
        </w:tc>
        <w:tc>
          <w:tcPr>
            <w:tcW w:type="dxa" w:w="3061"/>
          </w:tcPr>
          <w:p>
            <w:pPr>
              <w:keepNext/>
            </w:pPr>
            <w:r>
              <w:rPr>
                <w:sz w:val="19"/>
              </w:rPr>
              <w:t>Toujours — c'est la base</w:t>
            </w:r>
          </w:p>
        </w:tc>
      </w:tr>
      <w:tr>
        <w:trPr>
          <w:cantSplit/>
        </w:trPr>
        <w:tc>
          <w:tcPr>
            <w:tcW w:type="dxa" w:w="2608"/>
            <w:shd w:val="clear" w:fill="F1EDFF"/>
          </w:tcPr>
          <w:p>
            <w:pPr>
              <w:keepNext/>
            </w:pPr>
            <w:r>
              <w:rPr>
                <w:b/>
                <w:sz w:val="19"/>
              </w:rPr>
              <w:t>Deck HTML autoportant</w:t>
            </w:r>
          </w:p>
        </w:tc>
        <w:tc>
          <w:tcPr>
            <w:tcW w:type="dxa" w:w="3969"/>
            <w:shd w:val="clear" w:fill="F1EDFF"/>
          </w:tcPr>
          <w:p>
            <w:pPr>
              <w:keepNext/>
            </w:pPr>
            <w:r>
              <w:rPr>
                <w:sz w:val="19"/>
              </w:rPr>
              <w:t>5-6 slides, CSS pur, clair/sombre, zéro dépendance</w:t>
            </w:r>
          </w:p>
        </w:tc>
        <w:tc>
          <w:tcPr>
            <w:tcW w:type="dxa" w:w="3061"/>
            <w:shd w:val="clear" w:fill="F1EDFF"/>
          </w:tcPr>
          <w:p>
            <w:pPr>
              <w:keepNext/>
            </w:pPr>
            <w:r>
              <w:rPr>
                <w:sz w:val="19"/>
              </w:rPr>
              <w:t>Si l'hôte affiche les fichiers ; repli sur tableaux sinon</w:t>
            </w:r>
          </w:p>
        </w:tc>
      </w:tr>
      <w:tr>
        <w:trPr>
          <w:cantSplit/>
        </w:trPr>
        <w:tc>
          <w:tcPr>
            <w:tcW w:type="dxa" w:w="2608"/>
          </w:tcPr>
          <w:p>
            <w:pPr>
              <w:keepNext/>
            </w:pPr>
            <w:r>
              <w:rPr>
                <w:b/>
                <w:sz w:val="19"/>
              </w:rPr>
              <w:t>Export Canva</w:t>
            </w:r>
          </w:p>
        </w:tc>
        <w:tc>
          <w:tcPr>
            <w:tcW w:type="dxa" w:w="3969"/>
          </w:tcPr>
          <w:p>
            <w:pPr>
              <w:keepNext/>
            </w:pPr>
            <w:r>
              <w:rPr>
                <w:sz w:val="19"/>
              </w:rPr>
              <w:t>Design généré via le MCP Canva</w:t>
            </w:r>
          </w:p>
        </w:tc>
        <w:tc>
          <w:tcPr>
            <w:tcW w:type="dxa" w:w="3061"/>
          </w:tcPr>
          <w:p>
            <w:pPr>
              <w:keepNext/>
            </w:pPr>
            <w:r>
              <w:rPr>
                <w:sz w:val="19"/>
              </w:rPr>
              <w:t>Si le MCP Canva est présent</w:t>
            </w:r>
          </w:p>
        </w:tc>
      </w:tr>
      <w:tr>
        <w:trPr>
          <w:cantSplit/>
        </w:trPr>
        <w:tc>
          <w:tcPr>
            <w:tcW w:type="dxa" w:w="2608"/>
            <w:shd w:val="clear" w:fill="F1EDFF"/>
          </w:tcPr>
          <w:p>
            <w:r>
              <w:rPr>
                <w:b/>
                <w:sz w:val="19"/>
              </w:rPr>
              <w:t>Email d'envoi</w:t>
            </w:r>
          </w:p>
        </w:tc>
        <w:tc>
          <w:tcPr>
            <w:tcW w:type="dxa" w:w="3969"/>
            <w:shd w:val="clear" w:fill="F1EDFF"/>
          </w:tcPr>
          <w:p>
            <w:r>
              <w:rPr>
                <w:sz w:val="19"/>
              </w:rPr>
              <w:t>Brouillon Gmail (jamais envoyé) ou texte prêt à coller</w:t>
            </w:r>
          </w:p>
        </w:tc>
        <w:tc>
          <w:tcPr>
            <w:tcW w:type="dxa" w:w="3061"/>
            <w:shd w:val="clear" w:fill="F1EDFF"/>
          </w:tcPr>
          <w:p>
            <w:r>
              <w:rPr>
                <w:sz w:val="19"/>
              </w:rPr>
              <w:t>Gmail présent → brouillon ; sinon texte</w:t>
            </w:r>
          </w:p>
        </w:tc>
      </w:tr>
    </w:tbl>
    <w:p>
      <w:pPr>
        <w:spacing w:after="40"/>
      </w:pPr>
    </w:p>
    <w:p>
      <w:r>
        <w:br w:type="page"/>
      </w:r>
    </w:p>
    <w:p>
      <w:pPr>
        <w:keepNext/>
        <w:spacing w:before="320" w:after="120"/>
      </w:pPr>
      <w:r>
        <w:rPr>
          <w:b/>
          <w:color w:val="4A30D9"/>
          <w:sz w:val="32"/>
        </w:rPr>
        <w:t>🎬 Vidéo de démo</w:t>
      </w:r>
    </w:p>
    <w:p>
      <w:r>
        <w:rPr>
          <w:b w:val="0"/>
          <w:i w:val="0"/>
          <w:sz w:val="21"/>
        </w:rPr>
        <w:t>La démo ≤ 3 min jointe à la PR suit le storyboard : le rapport repoussé depuis 3 jours → un prompt → chiffres, faits marquants, narration → correction d'un adjectif en live → deck + brouillon d'email prêts avant la fin du café. Tournée en live sur un compte de production réel. (script de tournage interne, hors dépôt)</w:t>
      </w:r>
    </w:p>
    <w:p>
      <w:pPr>
        <w:keepNext/>
        <w:spacing w:before="320" w:after="120"/>
      </w:pPr>
      <w:r>
        <w:rPr>
          <w:b/>
          <w:color w:val="4A30D9"/>
          <w:sz w:val="32"/>
        </w:rPr>
        <w:t>💡 Améliorations possibles (dans les clous du hackathon)</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4762"/>
            <w:shd w:val="clear" w:fill="6B4EFF"/>
          </w:tcPr>
          <w:p>
            <w:pPr>
              <w:keepNext/>
            </w:pPr>
            <w:r>
              <w:rPr>
                <w:b/>
                <w:color w:val="FFFFFF"/>
                <w:sz w:val="19"/>
              </w:rPr>
              <w:t>Idée</w:t>
            </w:r>
          </w:p>
        </w:tc>
        <w:tc>
          <w:tcPr>
            <w:tcW w:type="dxa" w:w="1474"/>
            <w:shd w:val="clear" w:fill="6B4EFF"/>
          </w:tcPr>
          <w:p>
            <w:pPr>
              <w:keepNext/>
            </w:pPr>
            <w:r>
              <w:rPr>
                <w:b/>
                <w:color w:val="FFFFFF"/>
                <w:sz w:val="19"/>
              </w:rPr>
              <w:t>Effort</w:t>
            </w:r>
          </w:p>
        </w:tc>
        <w:tc>
          <w:tcPr>
            <w:tcW w:type="dxa" w:w="3402"/>
            <w:shd w:val="clear" w:fill="6B4EFF"/>
          </w:tcPr>
          <w:p>
            <w:pPr>
              <w:keepNext/>
            </w:pPr>
            <w:r>
              <w:rPr>
                <w:b/>
                <w:color w:val="FFFFFF"/>
                <w:sz w:val="19"/>
              </w:rPr>
              <w:t>Note</w:t>
            </w:r>
          </w:p>
        </w:tc>
      </w:tr>
      <w:tr>
        <w:trPr>
          <w:cantSplit/>
        </w:trPr>
        <w:tc>
          <w:tcPr>
            <w:tcW w:type="dxa" w:w="4762"/>
          </w:tcPr>
          <w:p>
            <w:pPr>
              <w:keepNext/>
            </w:pPr>
            <w:r>
              <w:rPr>
                <w:b/>
                <w:sz w:val="19"/>
              </w:rPr>
              <w:t>Historique des packs : deltas vs le pack de M-1 (« ce qu'on leur a dit le mois dernier »)</w:t>
            </w:r>
          </w:p>
        </w:tc>
        <w:tc>
          <w:tcPr>
            <w:tcW w:type="dxa" w:w="1474"/>
          </w:tcPr>
          <w:p>
            <w:pPr>
              <w:keepNext/>
            </w:pPr>
            <w:r>
              <w:rPr>
                <w:sz w:val="19"/>
              </w:rPr>
              <w:t>Moyen</w:t>
            </w:r>
          </w:p>
        </w:tc>
        <w:tc>
          <w:tcPr>
            <w:tcW w:type="dxa" w:w="3402"/>
          </w:tcPr>
          <w:p>
            <w:pPr>
              <w:keepNext/>
            </w:pPr>
            <w:r>
              <w:rPr>
                <w:sz w:val="19"/>
              </w:rPr>
              <w:t>Mémoire de session ou dossier local</w:t>
            </w:r>
          </w:p>
        </w:tc>
      </w:tr>
      <w:tr>
        <w:trPr>
          <w:cantSplit/>
        </w:trPr>
        <w:tc>
          <w:tcPr>
            <w:tcW w:type="dxa" w:w="4762"/>
            <w:shd w:val="clear" w:fill="F1EDFF"/>
          </w:tcPr>
          <w:p>
            <w:pPr>
              <w:keepNext/>
            </w:pPr>
            <w:r>
              <w:rPr>
                <w:b/>
                <w:sz w:val="19"/>
              </w:rPr>
              <w:t>KPI métier optionnels (MRR, clients actifs) déclarés par l'utilisateur</w:t>
            </w:r>
          </w:p>
        </w:tc>
        <w:tc>
          <w:tcPr>
            <w:tcW w:type="dxa" w:w="1474"/>
            <w:shd w:val="clear" w:fill="F1EDFF"/>
          </w:tcPr>
          <w:p>
            <w:pPr>
              <w:keepNext/>
            </w:pPr>
            <w:r>
              <w:rPr>
                <w:sz w:val="19"/>
              </w:rPr>
              <w:t>Faible</w:t>
            </w:r>
          </w:p>
        </w:tc>
        <w:tc>
          <w:tcPr>
            <w:tcW w:type="dxa" w:w="3402"/>
            <w:shd w:val="clear" w:fill="F1EDFF"/>
          </w:tcPr>
          <w:p>
            <w:pPr>
              <w:keepNext/>
            </w:pPr>
            <w:r>
              <w:rPr>
                <w:sz w:val="19"/>
              </w:rPr>
              <w:t>Fusionnés dans la slide chiffres clés</w:t>
            </w:r>
          </w:p>
        </w:tc>
      </w:tr>
      <w:tr>
        <w:trPr>
          <w:cantSplit/>
        </w:trPr>
        <w:tc>
          <w:tcPr>
            <w:tcW w:type="dxa" w:w="4762"/>
          </w:tcPr>
          <w:p>
            <w:pPr>
              <w:keepNext/>
            </w:pPr>
            <w:r>
              <w:rPr>
                <w:b/>
                <w:sz w:val="19"/>
              </w:rPr>
              <w:t>Rappel calendrier « ton pack du mois est prêt à générer »</w:t>
            </w:r>
          </w:p>
        </w:tc>
        <w:tc>
          <w:tcPr>
            <w:tcW w:type="dxa" w:w="1474"/>
          </w:tcPr>
          <w:p>
            <w:pPr>
              <w:keepNext/>
            </w:pPr>
            <w:r>
              <w:rPr>
                <w:sz w:val="19"/>
              </w:rPr>
              <w:t>Faible</w:t>
            </w:r>
          </w:p>
        </w:tc>
        <w:tc>
          <w:tcPr>
            <w:tcW w:type="dxa" w:w="3402"/>
          </w:tcPr>
          <w:p>
            <w:pPr>
              <w:keepNext/>
            </w:pPr>
            <w:r>
              <w:rPr>
                <w:sz w:val="19"/>
              </w:rPr>
              <w:t>MCP calendrier détecté dynamiquement</w:t>
            </w:r>
          </w:p>
        </w:tc>
      </w:tr>
      <w:tr>
        <w:trPr>
          <w:cantSplit/>
        </w:trPr>
        <w:tc>
          <w:tcPr>
            <w:tcW w:type="dxa" w:w="4762"/>
            <w:shd w:val="clear" w:fill="F1EDFF"/>
          </w:tcPr>
          <w:p>
            <w:r>
              <w:rPr>
                <w:b/>
                <w:sz w:val="19"/>
              </w:rPr>
              <w:t>Multi-langue du pack (deck FR banquier, EN investisseurs)</w:t>
            </w:r>
          </w:p>
        </w:tc>
        <w:tc>
          <w:tcPr>
            <w:tcW w:type="dxa" w:w="1474"/>
            <w:shd w:val="clear" w:fill="F1EDFF"/>
          </w:tcPr>
          <w:p>
            <w:r>
              <w:rPr>
                <w:sz w:val="19"/>
              </w:rPr>
              <w:t>Faible</w:t>
            </w:r>
          </w:p>
        </w:tc>
        <w:tc>
          <w:tcPr>
            <w:tcW w:type="dxa" w:w="3402"/>
            <w:shd w:val="clear" w:fill="F1EDFF"/>
          </w:tcPr>
          <w:p>
            <w:r>
              <w:rPr>
                <w:sz w:val="19"/>
              </w:rPr>
              <w:t>Mêmes données, deux narrations</w:t>
            </w:r>
          </w:p>
        </w:tc>
      </w:tr>
    </w:tbl>
    <w:p>
      <w:pPr>
        <w:spacing w:after="40"/>
      </w:pPr>
    </w:p>
    <w:p>
      <w:pPr>
        <w:keepNext/>
        <w:spacing w:before="320" w:after="120"/>
      </w:pPr>
      <w:r>
        <w:rPr>
          <w:b/>
          <w:color w:val="4A30D9"/>
          <w:sz w:val="32"/>
        </w:rPr>
        <w:t>🛡 Garde-fous</w:t>
      </w:r>
    </w:p>
    <w:p>
      <w:pPr>
        <w:pStyle w:val="ListBullet"/>
        <w:spacing w:after="60"/>
      </w:pPr>
      <w:r>
        <w:rPr>
          <w:sz w:val="21"/>
        </w:rPr>
        <w:t>Lecture seule sur Qonto — aucun outil d'écriture Qonto utilisé, jamais</w:t>
      </w:r>
    </w:p>
    <w:p>
      <w:pPr>
        <w:pStyle w:val="ListBullet"/>
        <w:spacing w:after="60"/>
      </w:pPr>
      <w:r>
        <w:rPr>
          <w:sz w:val="21"/>
        </w:rPr>
        <w:t>Rien ne part : emails = brouillons, decks = fichiers ; l'utilisateur relit et envoie</w:t>
      </w:r>
    </w:p>
    <w:p>
      <w:pPr>
        <w:pStyle w:val="ListBullet"/>
        <w:spacing w:after="60"/>
      </w:pPr>
      <w:r>
        <w:rPr>
          <w:sz w:val="21"/>
        </w:rPr>
        <w:t>La relecture de la narration est un arrêt obligatoire avant toute mise en forme</w:t>
      </w:r>
    </w:p>
    <w:p>
      <w:pPr>
        <w:pStyle w:val="ListBullet"/>
        <w:spacing w:after="60"/>
      </w:pPr>
      <w:r>
        <w:rPr>
          <w:sz w:val="21"/>
        </w:rPr>
        <w:t>Confidentialité d'audience : jamais de chiffres exacts dans un pack « en tendances » ; jamais le pack investisseur recyclé pour le banquier sans re-demander</w:t>
      </w:r>
    </w:p>
    <w:p>
      <w:pPr>
        <w:pStyle w:val="ListBullet"/>
        <w:spacing w:after="60"/>
      </w:pPr>
      <w:r>
        <w:rPr>
          <w:sz w:val="21"/>
        </w:rPr>
        <w:t>Chaque chiffre traçable à ses transactions · parts non taggées annoncées · dégradation honnête (&lt; 2 mois : pas de comparaison ; &lt; 12 : pas d'année glissante)</w:t>
      </w:r>
    </w:p>
    <w:p>
      <w:pPr>
        <w:pStyle w:val="ListBullet"/>
        <w:spacing w:after="60"/>
      </w:pPr>
      <w:r>
        <w:rPr>
          <w:sz w:val="21"/>
        </w:rPr>
        <w:t>IBAN masqués (4 derniers chiffres) · pagination ≤ 50 partout</w:t>
      </w:r>
    </w:p>
    <w:p>
      <w:pPr>
        <w:spacing w:before="360"/>
        <w:jc w:val="center"/>
      </w:pPr>
      <w:r>
        <w:rPr>
          <w:color w:val="5A5670"/>
          <w:sz w:val="17"/>
        </w:rPr>
        <w:t>qonto-board-pack · Documentation FR (pilotage) · Hackathon Qonto × Anthropic MCP · juillet 2026 · Livrable PR : SKILL.md · Version jury : doc-qonto-board-pack.en.docx</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Helvetica Neue" w:hAnsi="Helvetica Neue"/>
      <w:color w:val="1D1B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