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26827" w14:textId="0D997D30" w:rsidR="00E7788D" w:rsidRPr="004E0530" w:rsidRDefault="009B0063" w:rsidP="009B0063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proofErr w:type="spellStart"/>
      <w:r w:rsidRPr="004E0530">
        <w:rPr>
          <w:rFonts w:ascii="Arial" w:hAnsi="Arial" w:cs="Arial"/>
          <w:sz w:val="24"/>
          <w:szCs w:val="24"/>
        </w:rPr>
        <w:t>Tipe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Grafis</w:t>
      </w:r>
      <w:proofErr w:type="spellEnd"/>
      <w:r w:rsidRPr="004E053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Terbaik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3C02" w:rsidRPr="004E0530">
        <w:rPr>
          <w:rFonts w:ascii="Arial" w:hAnsi="Arial" w:cs="Arial"/>
          <w:sz w:val="24"/>
          <w:szCs w:val="24"/>
        </w:rPr>
        <w:t>u</w:t>
      </w:r>
      <w:r w:rsidRPr="004E0530">
        <w:rPr>
          <w:rFonts w:ascii="Arial" w:hAnsi="Arial" w:cs="Arial"/>
          <w:sz w:val="24"/>
          <w:szCs w:val="24"/>
        </w:rPr>
        <w:t>ntuk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r w:rsidRPr="004E0530">
        <w:rPr>
          <w:rFonts w:ascii="Arial" w:hAnsi="Arial" w:cs="Arial"/>
          <w:i/>
          <w:iCs/>
          <w:sz w:val="24"/>
          <w:szCs w:val="24"/>
        </w:rPr>
        <w:t>Mining Cryptocurrency</w:t>
      </w:r>
      <w:r w:rsidR="00824E6A" w:rsidRPr="004E053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824E6A" w:rsidRPr="004E0530">
        <w:rPr>
          <w:rFonts w:ascii="Arial" w:hAnsi="Arial" w:cs="Arial"/>
          <w:sz w:val="24"/>
          <w:szCs w:val="24"/>
        </w:rPr>
        <w:t>Berdasarkan</w:t>
      </w:r>
      <w:proofErr w:type="spellEnd"/>
      <w:r w:rsidR="00824E6A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4E6A" w:rsidRPr="004E0530">
        <w:rPr>
          <w:rFonts w:ascii="Arial" w:hAnsi="Arial" w:cs="Arial"/>
          <w:sz w:val="24"/>
          <w:szCs w:val="24"/>
        </w:rPr>
        <w:t>Rasio</w:t>
      </w:r>
      <w:proofErr w:type="spellEnd"/>
      <w:r w:rsidR="00824E6A" w:rsidRPr="004E0530">
        <w:rPr>
          <w:rFonts w:ascii="Arial" w:hAnsi="Arial" w:cs="Arial"/>
          <w:sz w:val="24"/>
          <w:szCs w:val="24"/>
        </w:rPr>
        <w:t xml:space="preserve"> Harga denga</w:t>
      </w:r>
      <w:r w:rsidR="00824E6A" w:rsidRPr="004E0530">
        <w:rPr>
          <w:rFonts w:ascii="Arial" w:hAnsi="Arial" w:cs="Arial"/>
          <w:sz w:val="24"/>
          <w:szCs w:val="24"/>
        </w:rPr>
        <w:t xml:space="preserve">n </w:t>
      </w:r>
      <w:proofErr w:type="spellStart"/>
      <w:r w:rsidR="00824E6A" w:rsidRPr="004E0530">
        <w:rPr>
          <w:rFonts w:ascii="Arial" w:hAnsi="Arial" w:cs="Arial"/>
          <w:sz w:val="24"/>
          <w:szCs w:val="24"/>
        </w:rPr>
        <w:t>Peformanya</w:t>
      </w:r>
      <w:proofErr w:type="spellEnd"/>
    </w:p>
    <w:p w14:paraId="32D1A9B8" w14:textId="77777777" w:rsidR="00020B73" w:rsidRPr="004E0530" w:rsidRDefault="00333C02" w:rsidP="00020B7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E0530">
        <w:rPr>
          <w:rFonts w:ascii="Arial" w:hAnsi="Arial" w:cs="Arial"/>
          <w:i/>
          <w:iCs/>
          <w:sz w:val="24"/>
          <w:szCs w:val="24"/>
        </w:rPr>
        <w:t xml:space="preserve">Cryptocurrency </w:t>
      </w:r>
      <w:proofErr w:type="spellStart"/>
      <w:r w:rsidRPr="004E0530">
        <w:rPr>
          <w:rFonts w:ascii="Arial" w:hAnsi="Arial" w:cs="Arial"/>
          <w:sz w:val="24"/>
          <w:szCs w:val="24"/>
        </w:rPr>
        <w:t>merupakan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topik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E0530">
        <w:rPr>
          <w:rFonts w:ascii="Arial" w:hAnsi="Arial" w:cs="Arial"/>
          <w:sz w:val="24"/>
          <w:szCs w:val="24"/>
        </w:rPr>
        <w:t>sedang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1E4" w:rsidRPr="004E0530">
        <w:rPr>
          <w:rFonts w:ascii="Arial" w:hAnsi="Arial" w:cs="Arial"/>
          <w:sz w:val="24"/>
          <w:szCs w:val="24"/>
        </w:rPr>
        <w:t>populer</w:t>
      </w:r>
      <w:proofErr w:type="spellEnd"/>
      <w:r w:rsidR="003C41E4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1E4" w:rsidRPr="004E0530">
        <w:rPr>
          <w:rFonts w:ascii="Arial" w:hAnsi="Arial" w:cs="Arial"/>
          <w:sz w:val="24"/>
          <w:szCs w:val="24"/>
        </w:rPr>
        <w:t>baik</w:t>
      </w:r>
      <w:proofErr w:type="spellEnd"/>
      <w:r w:rsidR="003C41E4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1E4" w:rsidRPr="004E0530">
        <w:rPr>
          <w:rFonts w:ascii="Arial" w:hAnsi="Arial" w:cs="Arial"/>
          <w:sz w:val="24"/>
          <w:szCs w:val="24"/>
        </w:rPr>
        <w:t>dari</w:t>
      </w:r>
      <w:proofErr w:type="spellEnd"/>
      <w:r w:rsidR="003C41E4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1E4" w:rsidRPr="004E0530">
        <w:rPr>
          <w:rFonts w:ascii="Arial" w:hAnsi="Arial" w:cs="Arial"/>
          <w:sz w:val="24"/>
          <w:szCs w:val="24"/>
        </w:rPr>
        <w:t>kalangan</w:t>
      </w:r>
      <w:proofErr w:type="spellEnd"/>
      <w:r w:rsidR="003C41E4" w:rsidRPr="004E0530">
        <w:rPr>
          <w:rFonts w:ascii="Arial" w:hAnsi="Arial" w:cs="Arial"/>
          <w:sz w:val="24"/>
          <w:szCs w:val="24"/>
        </w:rPr>
        <w:t xml:space="preserve"> </w:t>
      </w:r>
      <w:r w:rsidR="003C41E4" w:rsidRPr="004E0530">
        <w:rPr>
          <w:rFonts w:ascii="Arial" w:hAnsi="Arial" w:cs="Arial"/>
          <w:i/>
          <w:iCs/>
          <w:sz w:val="24"/>
          <w:szCs w:val="24"/>
        </w:rPr>
        <w:t xml:space="preserve">trader </w:t>
      </w:r>
      <w:r w:rsidR="003C41E4" w:rsidRPr="004E0530">
        <w:rPr>
          <w:rFonts w:ascii="Arial" w:hAnsi="Arial" w:cs="Arial"/>
          <w:sz w:val="24"/>
          <w:szCs w:val="24"/>
        </w:rPr>
        <w:t xml:space="preserve">(orang yang </w:t>
      </w:r>
      <w:proofErr w:type="spellStart"/>
      <w:r w:rsidR="003C41E4" w:rsidRPr="004E0530">
        <w:rPr>
          <w:rFonts w:ascii="Arial" w:hAnsi="Arial" w:cs="Arial"/>
          <w:sz w:val="24"/>
          <w:szCs w:val="24"/>
        </w:rPr>
        <w:t>melakukan</w:t>
      </w:r>
      <w:proofErr w:type="spellEnd"/>
      <w:r w:rsidR="003C41E4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1E4" w:rsidRPr="004E0530">
        <w:rPr>
          <w:rFonts w:ascii="Arial" w:hAnsi="Arial" w:cs="Arial"/>
          <w:sz w:val="24"/>
          <w:szCs w:val="24"/>
        </w:rPr>
        <w:t>jual</w:t>
      </w:r>
      <w:proofErr w:type="spellEnd"/>
      <w:r w:rsidR="003C41E4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1E4" w:rsidRPr="004E0530">
        <w:rPr>
          <w:rFonts w:ascii="Arial" w:hAnsi="Arial" w:cs="Arial"/>
          <w:sz w:val="24"/>
          <w:szCs w:val="24"/>
        </w:rPr>
        <w:t>beli</w:t>
      </w:r>
      <w:proofErr w:type="spellEnd"/>
      <w:r w:rsidR="003C41E4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1E4" w:rsidRPr="004E0530">
        <w:rPr>
          <w:rFonts w:ascii="Arial" w:hAnsi="Arial" w:cs="Arial"/>
          <w:sz w:val="24"/>
          <w:szCs w:val="24"/>
        </w:rPr>
        <w:t>saham</w:t>
      </w:r>
      <w:proofErr w:type="spellEnd"/>
      <w:r w:rsidR="003C41E4" w:rsidRPr="004E0530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3C41E4" w:rsidRPr="004E0530">
        <w:rPr>
          <w:rFonts w:ascii="Arial" w:hAnsi="Arial" w:cs="Arial"/>
          <w:sz w:val="24"/>
          <w:szCs w:val="24"/>
        </w:rPr>
        <w:t>maupun</w:t>
      </w:r>
      <w:proofErr w:type="spellEnd"/>
      <w:r w:rsidR="003C41E4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1E4" w:rsidRPr="004E0530">
        <w:rPr>
          <w:rFonts w:ascii="Arial" w:hAnsi="Arial" w:cs="Arial"/>
          <w:sz w:val="24"/>
          <w:szCs w:val="24"/>
        </w:rPr>
        <w:t>kalangan</w:t>
      </w:r>
      <w:proofErr w:type="spellEnd"/>
      <w:r w:rsidR="003C41E4" w:rsidRPr="004E0530">
        <w:rPr>
          <w:rFonts w:ascii="Arial" w:hAnsi="Arial" w:cs="Arial"/>
          <w:sz w:val="24"/>
          <w:szCs w:val="24"/>
        </w:rPr>
        <w:t xml:space="preserve"> </w:t>
      </w:r>
      <w:r w:rsidR="002A60D6" w:rsidRPr="004E0530">
        <w:rPr>
          <w:rFonts w:ascii="Arial" w:hAnsi="Arial" w:cs="Arial"/>
          <w:sz w:val="24"/>
          <w:szCs w:val="24"/>
        </w:rPr>
        <w:t xml:space="preserve">investor.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Bahkan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tidak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dipungkiri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bahwa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masyarakat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umum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merasakan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efek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dari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r w:rsidR="002A60D6" w:rsidRPr="004E0530">
        <w:rPr>
          <w:rFonts w:ascii="Arial" w:hAnsi="Arial" w:cs="Arial"/>
          <w:i/>
          <w:iCs/>
          <w:sz w:val="24"/>
          <w:szCs w:val="24"/>
        </w:rPr>
        <w:t xml:space="preserve">cryptocurrency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ini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Apa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itu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sebenarnya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r w:rsidR="002A60D6" w:rsidRPr="004E0530">
        <w:rPr>
          <w:rFonts w:ascii="Arial" w:hAnsi="Arial" w:cs="Arial"/>
          <w:i/>
          <w:iCs/>
          <w:sz w:val="24"/>
          <w:szCs w:val="24"/>
        </w:rPr>
        <w:t>cryptocurrency</w:t>
      </w:r>
      <w:r w:rsidR="002A60D6" w:rsidRPr="004E0530">
        <w:rPr>
          <w:rFonts w:ascii="Arial" w:hAnsi="Arial" w:cs="Arial"/>
          <w:sz w:val="24"/>
          <w:szCs w:val="24"/>
        </w:rPr>
        <w:t xml:space="preserve">? </w:t>
      </w:r>
      <w:r w:rsidR="002A60D6" w:rsidRPr="004E0530">
        <w:rPr>
          <w:rFonts w:ascii="Arial" w:hAnsi="Arial" w:cs="Arial"/>
          <w:i/>
          <w:iCs/>
          <w:sz w:val="24"/>
          <w:szCs w:val="24"/>
        </w:rPr>
        <w:t>Cryptocurrency</w:t>
      </w:r>
      <w:r w:rsidR="007D0EDA" w:rsidRPr="004E053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menurut</w:t>
      </w:r>
      <w:proofErr w:type="spellEnd"/>
      <w:r w:rsidR="00F859F3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59F3" w:rsidRPr="004E0530">
        <w:rPr>
          <w:rFonts w:ascii="Arial" w:hAnsi="Arial" w:cs="Arial"/>
          <w:sz w:val="24"/>
          <w:szCs w:val="24"/>
        </w:rPr>
        <w:t>OxfordLanguages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merupakan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mata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uang digital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dimana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semua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transaksi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dilakukan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diverifikasi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catatan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verifikasi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tersebut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dikelola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="008B7649" w:rsidRPr="004E0530">
        <w:rPr>
          <w:rFonts w:ascii="Arial" w:hAnsi="Arial" w:cs="Arial"/>
          <w:sz w:val="24"/>
          <w:szCs w:val="24"/>
        </w:rPr>
        <w:t>sistem</w:t>
      </w:r>
      <w:proofErr w:type="spellEnd"/>
      <w:r w:rsidR="008B7649" w:rsidRPr="004E0530">
        <w:rPr>
          <w:rFonts w:ascii="Arial" w:hAnsi="Arial" w:cs="Arial"/>
          <w:sz w:val="24"/>
          <w:szCs w:val="24"/>
        </w:rPr>
        <w:t xml:space="preserve"> yang </w:t>
      </w:r>
      <w:r w:rsidR="008B7649" w:rsidRPr="004E0530">
        <w:rPr>
          <w:rFonts w:ascii="Arial" w:hAnsi="Arial" w:cs="Arial"/>
          <w:i/>
          <w:iCs/>
          <w:sz w:val="24"/>
          <w:szCs w:val="24"/>
        </w:rPr>
        <w:t xml:space="preserve">decentralized </w:t>
      </w:r>
      <w:r w:rsidR="008B7649" w:rsidRPr="004E0530">
        <w:rPr>
          <w:rFonts w:ascii="Arial" w:hAnsi="Arial" w:cs="Arial"/>
          <w:sz w:val="24"/>
          <w:szCs w:val="24"/>
        </w:rPr>
        <w:t>(</w:t>
      </w:r>
      <w:proofErr w:type="spellStart"/>
      <w:r w:rsidR="008B7649" w:rsidRPr="004E0530">
        <w:rPr>
          <w:rFonts w:ascii="Arial" w:hAnsi="Arial" w:cs="Arial"/>
          <w:sz w:val="24"/>
          <w:szCs w:val="24"/>
        </w:rPr>
        <w:t>tidak</w:t>
      </w:r>
      <w:proofErr w:type="spellEnd"/>
      <w:r w:rsidR="008B7649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649" w:rsidRPr="004E0530">
        <w:rPr>
          <w:rFonts w:ascii="Arial" w:hAnsi="Arial" w:cs="Arial"/>
          <w:sz w:val="24"/>
          <w:szCs w:val="24"/>
        </w:rPr>
        <w:t>terpusat</w:t>
      </w:r>
      <w:proofErr w:type="spellEnd"/>
      <w:r w:rsidR="008B7649" w:rsidRPr="004E0530">
        <w:rPr>
          <w:rFonts w:ascii="Arial" w:hAnsi="Arial" w:cs="Arial"/>
          <w:sz w:val="24"/>
          <w:szCs w:val="24"/>
        </w:rPr>
        <w:t xml:space="preserve">) dengan </w:t>
      </w:r>
      <w:proofErr w:type="spellStart"/>
      <w:r w:rsidR="008B7649" w:rsidRPr="004E0530">
        <w:rPr>
          <w:rFonts w:ascii="Arial" w:hAnsi="Arial" w:cs="Arial"/>
          <w:sz w:val="24"/>
          <w:szCs w:val="24"/>
        </w:rPr>
        <w:t>menggunakan</w:t>
      </w:r>
      <w:proofErr w:type="spellEnd"/>
      <w:r w:rsidR="008B7649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649" w:rsidRPr="004E0530">
        <w:rPr>
          <w:rFonts w:ascii="Arial" w:hAnsi="Arial" w:cs="Arial"/>
          <w:i/>
          <w:iCs/>
          <w:sz w:val="24"/>
          <w:szCs w:val="24"/>
        </w:rPr>
        <w:t>crytography</w:t>
      </w:r>
      <w:proofErr w:type="spellEnd"/>
      <w:r w:rsidR="008B7649" w:rsidRPr="004E0530">
        <w:rPr>
          <w:rFonts w:ascii="Arial" w:hAnsi="Arial" w:cs="Arial"/>
          <w:i/>
          <w:iCs/>
          <w:sz w:val="24"/>
          <w:szCs w:val="24"/>
        </w:rPr>
        <w:t xml:space="preserve"> </w:t>
      </w:r>
      <w:r w:rsidR="008B7649" w:rsidRPr="004E0530">
        <w:rPr>
          <w:rFonts w:ascii="Arial" w:hAnsi="Arial" w:cs="Arial"/>
          <w:sz w:val="24"/>
          <w:szCs w:val="24"/>
        </w:rPr>
        <w:t>(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sebuah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cara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menyandikan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tulisan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atau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data agar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tidak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bisa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dibaca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pihak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sehingga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tulisan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atau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tersebut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menjadi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aman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>).</w:t>
      </w:r>
    </w:p>
    <w:p w14:paraId="0AA04DA5" w14:textId="4C164DED" w:rsidR="00333C02" w:rsidRPr="004E0530" w:rsidRDefault="0081386C" w:rsidP="00020B7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E0530">
        <w:rPr>
          <w:rFonts w:ascii="Arial" w:hAnsi="Arial" w:cs="Arial"/>
          <w:sz w:val="24"/>
          <w:szCs w:val="24"/>
        </w:rPr>
        <w:t>Untuk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melakukan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transaksi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melalui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mata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uang, </w:t>
      </w:r>
      <w:proofErr w:type="spellStart"/>
      <w:r w:rsidRPr="004E0530">
        <w:rPr>
          <w:rFonts w:ascii="Arial" w:hAnsi="Arial" w:cs="Arial"/>
          <w:sz w:val="24"/>
          <w:szCs w:val="24"/>
        </w:rPr>
        <w:t>diperlukan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sebuah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bank </w:t>
      </w:r>
      <w:proofErr w:type="spellStart"/>
      <w:r w:rsidRPr="004E0530">
        <w:rPr>
          <w:rFonts w:ascii="Arial" w:hAnsi="Arial" w:cs="Arial"/>
          <w:sz w:val="24"/>
          <w:szCs w:val="24"/>
        </w:rPr>
        <w:t>untuk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memverifikasi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transaksi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tersebut</w:t>
      </w:r>
      <w:proofErr w:type="spellEnd"/>
      <w:r w:rsidR="00C3131E" w:rsidRPr="004E053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3131E" w:rsidRPr="004E0530">
        <w:rPr>
          <w:rFonts w:ascii="Arial" w:hAnsi="Arial" w:cs="Arial"/>
          <w:sz w:val="24"/>
          <w:szCs w:val="24"/>
        </w:rPr>
        <w:t>Dalam</w:t>
      </w:r>
      <w:proofErr w:type="spellEnd"/>
      <w:r w:rsidR="00C3131E" w:rsidRPr="004E0530">
        <w:rPr>
          <w:rFonts w:ascii="Arial" w:hAnsi="Arial" w:cs="Arial"/>
          <w:sz w:val="24"/>
          <w:szCs w:val="24"/>
        </w:rPr>
        <w:t xml:space="preserve"> </w:t>
      </w:r>
      <w:r w:rsidR="00C3131E" w:rsidRPr="004E0530">
        <w:rPr>
          <w:rFonts w:ascii="Arial" w:hAnsi="Arial" w:cs="Arial"/>
          <w:i/>
          <w:iCs/>
          <w:sz w:val="24"/>
          <w:szCs w:val="24"/>
        </w:rPr>
        <w:t>cryptocurrency</w:t>
      </w:r>
      <w:r w:rsidR="00C3131E" w:rsidRPr="004E053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3131E" w:rsidRPr="004E0530">
        <w:rPr>
          <w:rFonts w:ascii="Arial" w:hAnsi="Arial" w:cs="Arial"/>
          <w:sz w:val="24"/>
          <w:szCs w:val="24"/>
        </w:rPr>
        <w:t>fungsi</w:t>
      </w:r>
      <w:proofErr w:type="spellEnd"/>
      <w:r w:rsidR="00C3131E" w:rsidRPr="004E0530">
        <w:rPr>
          <w:rFonts w:ascii="Arial" w:hAnsi="Arial" w:cs="Arial"/>
          <w:sz w:val="24"/>
          <w:szCs w:val="24"/>
        </w:rPr>
        <w:t xml:space="preserve"> bank </w:t>
      </w:r>
      <w:proofErr w:type="spellStart"/>
      <w:r w:rsidR="00C3131E" w:rsidRPr="004E0530">
        <w:rPr>
          <w:rFonts w:ascii="Arial" w:hAnsi="Arial" w:cs="Arial"/>
          <w:sz w:val="24"/>
          <w:szCs w:val="24"/>
        </w:rPr>
        <w:t>digantikan</w:t>
      </w:r>
      <w:proofErr w:type="spellEnd"/>
      <w:r w:rsidR="00C3131E" w:rsidRPr="004E0530">
        <w:rPr>
          <w:rFonts w:ascii="Arial" w:hAnsi="Arial" w:cs="Arial"/>
          <w:sz w:val="24"/>
          <w:szCs w:val="24"/>
        </w:rPr>
        <w:t xml:space="preserve"> oleh para </w:t>
      </w:r>
      <w:r w:rsidR="00C3131E" w:rsidRPr="004E0530">
        <w:rPr>
          <w:rFonts w:ascii="Arial" w:hAnsi="Arial" w:cs="Arial"/>
          <w:i/>
          <w:iCs/>
          <w:sz w:val="24"/>
          <w:szCs w:val="24"/>
        </w:rPr>
        <w:t>miner.</w:t>
      </w:r>
      <w:r w:rsidR="00C82A46" w:rsidRPr="004E0530">
        <w:rPr>
          <w:rFonts w:ascii="Arial" w:hAnsi="Arial" w:cs="Arial"/>
          <w:sz w:val="24"/>
          <w:szCs w:val="24"/>
        </w:rPr>
        <w:t xml:space="preserve"> </w:t>
      </w:r>
      <w:r w:rsidR="00C82A46" w:rsidRPr="004E0530">
        <w:rPr>
          <w:rFonts w:ascii="Arial" w:hAnsi="Arial" w:cs="Arial"/>
          <w:i/>
          <w:iCs/>
          <w:sz w:val="24"/>
          <w:szCs w:val="24"/>
        </w:rPr>
        <w:t>Miner</w:t>
      </w:r>
      <w:r w:rsidR="00C82A4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2A46" w:rsidRPr="004E0530">
        <w:rPr>
          <w:rFonts w:ascii="Arial" w:hAnsi="Arial" w:cs="Arial"/>
          <w:sz w:val="24"/>
          <w:szCs w:val="24"/>
        </w:rPr>
        <w:t>bertugas</w:t>
      </w:r>
      <w:proofErr w:type="spellEnd"/>
      <w:r w:rsidR="00C82A4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2A46" w:rsidRPr="004E0530">
        <w:rPr>
          <w:rFonts w:ascii="Arial" w:hAnsi="Arial" w:cs="Arial"/>
          <w:sz w:val="24"/>
          <w:szCs w:val="24"/>
        </w:rPr>
        <w:t>melakukan</w:t>
      </w:r>
      <w:proofErr w:type="spellEnd"/>
      <w:r w:rsidR="00C82A46" w:rsidRPr="004E0530">
        <w:rPr>
          <w:rFonts w:ascii="Arial" w:hAnsi="Arial" w:cs="Arial"/>
          <w:sz w:val="24"/>
          <w:szCs w:val="24"/>
        </w:rPr>
        <w:t xml:space="preserve"> </w:t>
      </w:r>
      <w:r w:rsidR="00E11E10" w:rsidRPr="004E0530">
        <w:rPr>
          <w:rFonts w:ascii="Arial" w:hAnsi="Arial" w:cs="Arial"/>
          <w:i/>
          <w:iCs/>
          <w:sz w:val="24"/>
          <w:szCs w:val="24"/>
        </w:rPr>
        <w:t>crypto mining. Crypto mining</w:t>
      </w:r>
      <w:r w:rsidR="00E11E1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E10" w:rsidRPr="004E0530">
        <w:rPr>
          <w:rFonts w:ascii="Arial" w:hAnsi="Arial" w:cs="Arial"/>
          <w:sz w:val="24"/>
          <w:szCs w:val="24"/>
        </w:rPr>
        <w:t>merupakan</w:t>
      </w:r>
      <w:proofErr w:type="spellEnd"/>
      <w:r w:rsidR="00E11E1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5E90" w:rsidRPr="004E0530">
        <w:rPr>
          <w:rFonts w:ascii="Arial" w:hAnsi="Arial" w:cs="Arial"/>
          <w:sz w:val="24"/>
          <w:szCs w:val="24"/>
        </w:rPr>
        <w:t>kegiatan</w:t>
      </w:r>
      <w:proofErr w:type="spellEnd"/>
      <w:r w:rsidR="002C5E9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5E90" w:rsidRPr="004E0530">
        <w:rPr>
          <w:rFonts w:ascii="Arial" w:hAnsi="Arial" w:cs="Arial"/>
          <w:sz w:val="24"/>
          <w:szCs w:val="24"/>
        </w:rPr>
        <w:t>menghasilkan</w:t>
      </w:r>
      <w:proofErr w:type="spellEnd"/>
      <w:r w:rsidR="002C5E90" w:rsidRPr="004E0530">
        <w:rPr>
          <w:rFonts w:ascii="Arial" w:hAnsi="Arial" w:cs="Arial"/>
          <w:sz w:val="24"/>
          <w:szCs w:val="24"/>
        </w:rPr>
        <w:t xml:space="preserve"> </w:t>
      </w:r>
      <w:r w:rsidR="002C5E90" w:rsidRPr="004E0530">
        <w:rPr>
          <w:rFonts w:ascii="Arial" w:hAnsi="Arial" w:cs="Arial"/>
          <w:i/>
          <w:iCs/>
          <w:sz w:val="24"/>
          <w:szCs w:val="24"/>
        </w:rPr>
        <w:t>cryptocurrency</w:t>
      </w:r>
      <w:r w:rsidR="002C5E90" w:rsidRPr="004E0530">
        <w:rPr>
          <w:rFonts w:ascii="Arial" w:hAnsi="Arial" w:cs="Arial"/>
          <w:i/>
          <w:iCs/>
          <w:sz w:val="24"/>
          <w:szCs w:val="24"/>
        </w:rPr>
        <w:t xml:space="preserve"> </w:t>
      </w:r>
      <w:r w:rsidR="002C5E90" w:rsidRPr="004E0530">
        <w:rPr>
          <w:rFonts w:ascii="Arial" w:hAnsi="Arial" w:cs="Arial"/>
          <w:sz w:val="24"/>
          <w:szCs w:val="24"/>
        </w:rPr>
        <w:t xml:space="preserve">dengan </w:t>
      </w:r>
      <w:proofErr w:type="spellStart"/>
      <w:r w:rsidR="002C5E90" w:rsidRPr="004E0530">
        <w:rPr>
          <w:rFonts w:ascii="Arial" w:hAnsi="Arial" w:cs="Arial"/>
          <w:sz w:val="24"/>
          <w:szCs w:val="24"/>
        </w:rPr>
        <w:t>menyelesaikan</w:t>
      </w:r>
      <w:proofErr w:type="spellEnd"/>
      <w:r w:rsidR="002C5E9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5E90" w:rsidRPr="004E0530">
        <w:rPr>
          <w:rFonts w:ascii="Arial" w:hAnsi="Arial" w:cs="Arial"/>
          <w:sz w:val="24"/>
          <w:szCs w:val="24"/>
        </w:rPr>
        <w:t>persamaan</w:t>
      </w:r>
      <w:proofErr w:type="spellEnd"/>
      <w:r w:rsidR="002C5E90" w:rsidRPr="004E0530">
        <w:rPr>
          <w:rFonts w:ascii="Arial" w:hAnsi="Arial" w:cs="Arial"/>
          <w:sz w:val="24"/>
          <w:szCs w:val="24"/>
        </w:rPr>
        <w:t xml:space="preserve"> </w:t>
      </w:r>
      <w:r w:rsidR="002C5E90" w:rsidRPr="004E0530">
        <w:rPr>
          <w:rFonts w:ascii="Arial" w:hAnsi="Arial" w:cs="Arial"/>
          <w:i/>
          <w:iCs/>
          <w:sz w:val="24"/>
          <w:szCs w:val="24"/>
        </w:rPr>
        <w:t>cryptographic</w:t>
      </w:r>
      <w:r w:rsidR="005B0096" w:rsidRPr="004E053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menggunakan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perangkat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keras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komputer</w:t>
      </w:r>
      <w:proofErr w:type="spellEnd"/>
      <w:r w:rsidR="002C5E90" w:rsidRPr="004E0530">
        <w:rPr>
          <w:rFonts w:ascii="Arial" w:hAnsi="Arial" w:cs="Arial"/>
          <w:i/>
          <w:iCs/>
          <w:sz w:val="24"/>
          <w:szCs w:val="24"/>
        </w:rPr>
        <w:t>.</w:t>
      </w:r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Perangkat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keras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digunakan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untuk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r w:rsidR="006159B6" w:rsidRPr="004E0530">
        <w:rPr>
          <w:rFonts w:ascii="Arial" w:hAnsi="Arial" w:cs="Arial"/>
          <w:i/>
          <w:iCs/>
          <w:sz w:val="24"/>
          <w:szCs w:val="24"/>
        </w:rPr>
        <w:t xml:space="preserve">mining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adalah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r w:rsidR="006159B6" w:rsidRPr="004E0530">
        <w:rPr>
          <w:rFonts w:ascii="Arial" w:hAnsi="Arial" w:cs="Arial"/>
          <w:i/>
          <w:iCs/>
          <w:sz w:val="24"/>
          <w:szCs w:val="24"/>
        </w:rPr>
        <w:t>graphic card</w:t>
      </w:r>
      <w:r w:rsidR="006159B6" w:rsidRPr="004E053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atau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6159B6" w:rsidRPr="004E0530">
        <w:rPr>
          <w:rFonts w:ascii="Arial" w:hAnsi="Arial" w:cs="Arial"/>
          <w:i/>
          <w:iCs/>
          <w:sz w:val="24"/>
          <w:szCs w:val="24"/>
        </w:rPr>
        <w:t xml:space="preserve">.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adalah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perangkat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digunakan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untuk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memproses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keluaran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dari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gambar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dihasilkan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komputer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Cepatnya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pemrosesan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data oleh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ini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membuat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perangkat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lunak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tersebut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menjadi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pilihan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utama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bagi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para </w:t>
      </w:r>
      <w:r w:rsidR="006159B6" w:rsidRPr="004E0530">
        <w:rPr>
          <w:rFonts w:ascii="Arial" w:hAnsi="Arial" w:cs="Arial"/>
          <w:i/>
          <w:iCs/>
          <w:sz w:val="24"/>
          <w:szCs w:val="24"/>
        </w:rPr>
        <w:t xml:space="preserve">miner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untuk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menghitung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persamaan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r w:rsidR="006159B6" w:rsidRPr="004E0530">
        <w:rPr>
          <w:rFonts w:ascii="Arial" w:hAnsi="Arial" w:cs="Arial"/>
          <w:i/>
          <w:iCs/>
          <w:sz w:val="24"/>
          <w:szCs w:val="24"/>
        </w:rPr>
        <w:t>cryptographic</w:t>
      </w:r>
      <w:r w:rsidR="006159B6" w:rsidRPr="004E053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Semakin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bertenaga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komputer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tersebut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akan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dapat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menyelesaikan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persamaan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r w:rsidR="005B0096" w:rsidRPr="004E0530">
        <w:rPr>
          <w:rFonts w:ascii="Arial" w:hAnsi="Arial" w:cs="Arial"/>
          <w:i/>
          <w:iCs/>
          <w:sz w:val="24"/>
          <w:szCs w:val="24"/>
        </w:rPr>
        <w:t xml:space="preserve">cryptographic </w:t>
      </w:r>
      <w:r w:rsidR="005B0096" w:rsidRPr="004E0530">
        <w:rPr>
          <w:rFonts w:ascii="Arial" w:hAnsi="Arial" w:cs="Arial"/>
          <w:sz w:val="24"/>
          <w:szCs w:val="24"/>
        </w:rPr>
        <w:t xml:space="preserve">dengan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lebih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cepat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sehingga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dapat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menghasilkan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r w:rsidR="005B0096" w:rsidRPr="004E0530">
        <w:rPr>
          <w:rFonts w:ascii="Arial" w:hAnsi="Arial" w:cs="Arial"/>
          <w:i/>
          <w:iCs/>
          <w:sz w:val="24"/>
          <w:szCs w:val="24"/>
        </w:rPr>
        <w:t>cryptocurrency</w:t>
      </w:r>
      <w:r w:rsidR="005B0096"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lebih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banyak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juga. </w:t>
      </w:r>
      <w:r w:rsidR="006159B6" w:rsidRPr="004E0530">
        <w:rPr>
          <w:rFonts w:ascii="Arial" w:hAnsi="Arial" w:cs="Arial"/>
          <w:sz w:val="24"/>
          <w:szCs w:val="24"/>
        </w:rPr>
        <w:t xml:space="preserve">Di sisi lain,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penggunaan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bertenaga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tinggi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dapat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memakan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energi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besar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juga.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Memilih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6159B6" w:rsidRPr="004E0530">
        <w:rPr>
          <w:rFonts w:ascii="Arial" w:hAnsi="Arial" w:cs="Arial"/>
          <w:sz w:val="24"/>
          <w:szCs w:val="24"/>
        </w:rPr>
        <w:t>sesuai</w:t>
      </w:r>
      <w:proofErr w:type="spellEnd"/>
      <w:r w:rsidR="00AB5675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5675" w:rsidRPr="004E0530">
        <w:rPr>
          <w:rFonts w:ascii="Arial" w:hAnsi="Arial" w:cs="Arial"/>
          <w:sz w:val="24"/>
          <w:szCs w:val="24"/>
        </w:rPr>
        <w:t>merupakan</w:t>
      </w:r>
      <w:proofErr w:type="spellEnd"/>
      <w:r w:rsidR="00AB5675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5675" w:rsidRPr="004E0530">
        <w:rPr>
          <w:rFonts w:ascii="Arial" w:hAnsi="Arial" w:cs="Arial"/>
          <w:sz w:val="24"/>
          <w:szCs w:val="24"/>
        </w:rPr>
        <w:t>langkah</w:t>
      </w:r>
      <w:proofErr w:type="spellEnd"/>
      <w:r w:rsidR="00AB5675"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AB5675" w:rsidRPr="004E0530">
        <w:rPr>
          <w:rFonts w:ascii="Arial" w:hAnsi="Arial" w:cs="Arial"/>
          <w:sz w:val="24"/>
          <w:szCs w:val="24"/>
        </w:rPr>
        <w:t>krusial</w:t>
      </w:r>
      <w:proofErr w:type="spellEnd"/>
      <w:r w:rsidR="006159B6" w:rsidRPr="004E0530">
        <w:rPr>
          <w:rFonts w:ascii="Arial" w:hAnsi="Arial" w:cs="Arial"/>
          <w:sz w:val="24"/>
          <w:szCs w:val="24"/>
        </w:rPr>
        <w:t xml:space="preserve"> </w:t>
      </w:r>
      <w:r w:rsidR="00AB5675" w:rsidRPr="004E0530">
        <w:rPr>
          <w:rFonts w:ascii="Arial" w:hAnsi="Arial" w:cs="Arial"/>
          <w:sz w:val="24"/>
          <w:szCs w:val="24"/>
        </w:rPr>
        <w:t xml:space="preserve">agar </w:t>
      </w:r>
      <w:r w:rsidR="00AB5675" w:rsidRPr="004E0530">
        <w:rPr>
          <w:rFonts w:ascii="Arial" w:hAnsi="Arial" w:cs="Arial"/>
          <w:i/>
          <w:iCs/>
          <w:sz w:val="24"/>
          <w:szCs w:val="24"/>
        </w:rPr>
        <w:t>miner</w:t>
      </w:r>
      <w:r w:rsidR="00AB5675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5675" w:rsidRPr="004E0530">
        <w:rPr>
          <w:rFonts w:ascii="Arial" w:hAnsi="Arial" w:cs="Arial"/>
          <w:sz w:val="24"/>
          <w:szCs w:val="24"/>
        </w:rPr>
        <w:t>dapat</w:t>
      </w:r>
      <w:proofErr w:type="spellEnd"/>
      <w:r w:rsidR="00AB5675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5675" w:rsidRPr="004E0530">
        <w:rPr>
          <w:rFonts w:ascii="Arial" w:hAnsi="Arial" w:cs="Arial"/>
          <w:sz w:val="24"/>
          <w:szCs w:val="24"/>
        </w:rPr>
        <w:t>menghasilkan</w:t>
      </w:r>
      <w:proofErr w:type="spellEnd"/>
      <w:r w:rsidR="00AB5675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5675" w:rsidRPr="004E0530">
        <w:rPr>
          <w:rFonts w:ascii="Arial" w:hAnsi="Arial" w:cs="Arial"/>
          <w:sz w:val="24"/>
          <w:szCs w:val="24"/>
        </w:rPr>
        <w:t>keuntungan</w:t>
      </w:r>
      <w:proofErr w:type="spellEnd"/>
      <w:r w:rsidR="00AB5675"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AB5675" w:rsidRPr="004E0530">
        <w:rPr>
          <w:rFonts w:ascii="Arial" w:hAnsi="Arial" w:cs="Arial"/>
          <w:sz w:val="24"/>
          <w:szCs w:val="24"/>
        </w:rPr>
        <w:t>maksimal</w:t>
      </w:r>
      <w:proofErr w:type="spellEnd"/>
      <w:r w:rsidR="00AB5675" w:rsidRPr="004E0530">
        <w:rPr>
          <w:rFonts w:ascii="Arial" w:hAnsi="Arial" w:cs="Arial"/>
          <w:sz w:val="24"/>
          <w:szCs w:val="24"/>
        </w:rPr>
        <w:t>.</w:t>
      </w:r>
    </w:p>
    <w:p w14:paraId="10767670" w14:textId="679ECBE6" w:rsidR="00954F8B" w:rsidRPr="004E0530" w:rsidRDefault="00020B73" w:rsidP="00040D88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4E0530">
        <w:rPr>
          <w:rFonts w:ascii="Arial" w:hAnsi="Arial" w:cs="Arial"/>
          <w:sz w:val="24"/>
          <w:szCs w:val="24"/>
        </w:rPr>
        <w:t>Berikut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merupakan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Pr="004E0530">
        <w:rPr>
          <w:rFonts w:ascii="Arial" w:hAnsi="Arial" w:cs="Arial"/>
          <w:sz w:val="24"/>
          <w:szCs w:val="24"/>
        </w:rPr>
        <w:t>kartu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grafis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bertenaga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tinggi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E0530">
        <w:rPr>
          <w:rFonts w:ascii="Arial" w:hAnsi="Arial" w:cs="Arial"/>
          <w:sz w:val="24"/>
          <w:szCs w:val="24"/>
        </w:rPr>
        <w:t>sering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dijadikan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para </w:t>
      </w:r>
      <w:r w:rsidRPr="004E0530">
        <w:rPr>
          <w:rFonts w:ascii="Arial" w:hAnsi="Arial" w:cs="Arial"/>
          <w:i/>
          <w:iCs/>
          <w:sz w:val="24"/>
          <w:szCs w:val="24"/>
        </w:rPr>
        <w:t>miner</w:t>
      </w:r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dalam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melakukan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r w:rsidRPr="004E0530">
        <w:rPr>
          <w:rFonts w:ascii="Arial" w:hAnsi="Arial" w:cs="Arial"/>
          <w:i/>
          <w:iCs/>
          <w:sz w:val="24"/>
          <w:szCs w:val="24"/>
        </w:rPr>
        <w:t>crypto mining</w:t>
      </w:r>
      <w:r w:rsidRPr="004E0530">
        <w:rPr>
          <w:rFonts w:ascii="Arial" w:hAnsi="Arial" w:cs="Arial"/>
          <w:i/>
          <w:iCs/>
          <w:sz w:val="24"/>
          <w:szCs w:val="24"/>
        </w:rPr>
        <w:t>.</w:t>
      </w:r>
      <w:r w:rsidRPr="004E0530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Pr="004E0530">
        <w:rPr>
          <w:rFonts w:ascii="Arial" w:hAnsi="Arial" w:cs="Arial"/>
          <w:sz w:val="24"/>
          <w:szCs w:val="24"/>
        </w:rPr>
        <w:t>kartu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lastRenderedPageBreak/>
        <w:t>grafis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tersebut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diambil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dari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situs</w:t>
      </w:r>
      <w:r w:rsidR="00954F8B" w:rsidRPr="004E0530">
        <w:rPr>
          <w:rFonts w:ascii="Arial" w:hAnsi="Arial" w:cs="Arial"/>
          <w:sz w:val="24"/>
          <w:szCs w:val="24"/>
        </w:rPr>
        <w:t xml:space="preserve"> </w:t>
      </w:r>
      <w:r w:rsidR="00954F8B" w:rsidRPr="004E0530">
        <w:rPr>
          <w:rFonts w:ascii="Arial" w:hAnsi="Arial" w:cs="Arial"/>
          <w:i/>
          <w:iCs/>
          <w:sz w:val="24"/>
          <w:szCs w:val="24"/>
        </w:rPr>
        <w:t xml:space="preserve">tomshardware.com </w:t>
      </w:r>
      <w:r w:rsidR="00954F8B" w:rsidRPr="004E0530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954F8B" w:rsidRPr="004E0530">
        <w:rPr>
          <w:rFonts w:ascii="Arial" w:hAnsi="Arial" w:cs="Arial"/>
          <w:sz w:val="24"/>
          <w:szCs w:val="24"/>
        </w:rPr>
        <w:t>mengambil</w:t>
      </w:r>
      <w:proofErr w:type="spellEnd"/>
      <w:r w:rsidR="00954F8B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4F8B" w:rsidRPr="004E0530">
        <w:rPr>
          <w:rFonts w:ascii="Arial" w:hAnsi="Arial" w:cs="Arial"/>
          <w:sz w:val="24"/>
          <w:szCs w:val="24"/>
        </w:rPr>
        <w:t>sebanyak</w:t>
      </w:r>
      <w:proofErr w:type="spellEnd"/>
      <w:r w:rsidR="00954F8B" w:rsidRPr="004E0530">
        <w:rPr>
          <w:rFonts w:ascii="Arial" w:hAnsi="Arial" w:cs="Arial"/>
          <w:sz w:val="24"/>
          <w:szCs w:val="24"/>
        </w:rPr>
        <w:t xml:space="preserve"> 10 data </w:t>
      </w:r>
      <w:proofErr w:type="spellStart"/>
      <w:r w:rsidR="00954F8B" w:rsidRPr="004E0530">
        <w:rPr>
          <w:rFonts w:ascii="Arial" w:hAnsi="Arial" w:cs="Arial"/>
          <w:sz w:val="24"/>
          <w:szCs w:val="24"/>
        </w:rPr>
        <w:t>teratas</w:t>
      </w:r>
      <w:proofErr w:type="spellEnd"/>
      <w:r w:rsidR="00954F8B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4F8B" w:rsidRPr="004E0530">
        <w:rPr>
          <w:rFonts w:ascii="Arial" w:hAnsi="Arial" w:cs="Arial"/>
          <w:sz w:val="24"/>
          <w:szCs w:val="24"/>
        </w:rPr>
        <w:t>penggunaan</w:t>
      </w:r>
      <w:proofErr w:type="spellEnd"/>
      <w:r w:rsidR="00954F8B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4F8B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954F8B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4F8B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954F8B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4F8B" w:rsidRPr="004E0530">
        <w:rPr>
          <w:rFonts w:ascii="Arial" w:hAnsi="Arial" w:cs="Arial"/>
          <w:sz w:val="24"/>
          <w:szCs w:val="24"/>
        </w:rPr>
        <w:t>untuk</w:t>
      </w:r>
      <w:proofErr w:type="spellEnd"/>
      <w:r w:rsidR="00954F8B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4F8B" w:rsidRPr="004E0530">
        <w:rPr>
          <w:rFonts w:ascii="Arial" w:hAnsi="Arial" w:cs="Arial"/>
          <w:sz w:val="24"/>
          <w:szCs w:val="24"/>
        </w:rPr>
        <w:t>kegiatan</w:t>
      </w:r>
      <w:proofErr w:type="spellEnd"/>
      <w:r w:rsidR="00954F8B" w:rsidRPr="004E0530">
        <w:rPr>
          <w:rFonts w:ascii="Arial" w:hAnsi="Arial" w:cs="Arial"/>
          <w:sz w:val="24"/>
          <w:szCs w:val="24"/>
        </w:rPr>
        <w:t xml:space="preserve"> </w:t>
      </w:r>
      <w:r w:rsidR="00954F8B" w:rsidRPr="004E0530">
        <w:rPr>
          <w:rFonts w:ascii="Arial" w:hAnsi="Arial" w:cs="Arial"/>
          <w:i/>
          <w:iCs/>
          <w:sz w:val="24"/>
          <w:szCs w:val="24"/>
        </w:rPr>
        <w:t>crypto mining</w:t>
      </w:r>
      <w:r w:rsidR="00953DE9">
        <w:rPr>
          <w:rFonts w:ascii="Arial" w:hAnsi="Arial" w:cs="Arial"/>
          <w:i/>
          <w:iCs/>
          <w:sz w:val="24"/>
          <w:szCs w:val="24"/>
        </w:rPr>
        <w:t xml:space="preserve"> </w:t>
      </w:r>
      <w:r w:rsidR="00953DE9">
        <w:rPr>
          <w:rFonts w:ascii="Arial" w:hAnsi="Arial" w:cs="Arial"/>
          <w:sz w:val="24"/>
          <w:szCs w:val="24"/>
        </w:rPr>
        <w:t>pada 2021</w:t>
      </w:r>
      <w:r w:rsidR="00954F8B" w:rsidRPr="004E0530">
        <w:rPr>
          <w:rFonts w:ascii="Arial" w:hAnsi="Arial" w:cs="Arial"/>
          <w:i/>
          <w:iCs/>
          <w:sz w:val="24"/>
          <w:szCs w:val="24"/>
        </w:rPr>
        <w:t xml:space="preserve">. </w:t>
      </w:r>
    </w:p>
    <w:tbl>
      <w:tblPr>
        <w:tblW w:w="7817" w:type="dxa"/>
        <w:tblLook w:val="04A0" w:firstRow="1" w:lastRow="0" w:firstColumn="1" w:lastColumn="0" w:noHBand="0" w:noVBand="1"/>
      </w:tblPr>
      <w:tblGrid>
        <w:gridCol w:w="1277"/>
        <w:gridCol w:w="1266"/>
        <w:gridCol w:w="1493"/>
        <w:gridCol w:w="1268"/>
        <w:gridCol w:w="1255"/>
        <w:gridCol w:w="1258"/>
      </w:tblGrid>
      <w:tr w:rsidR="00F5556D" w:rsidRPr="004E0530" w14:paraId="6656DDE0" w14:textId="77777777" w:rsidTr="00F5556D">
        <w:trPr>
          <w:trHeight w:val="716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333333"/>
            <w:vAlign w:val="center"/>
            <w:hideMark/>
          </w:tcPr>
          <w:p w14:paraId="3FD90D7F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  <w:t>GPU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vAlign w:val="center"/>
            <w:hideMark/>
          </w:tcPr>
          <w:p w14:paraId="04E796A2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  <w:t>Avg. eBay Price (Sept 2021)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vAlign w:val="center"/>
            <w:hideMark/>
          </w:tcPr>
          <w:p w14:paraId="438A81FE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  <w:t>Mining Performance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vAlign w:val="center"/>
            <w:hideMark/>
          </w:tcPr>
          <w:p w14:paraId="33A9CF81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  <w:t>Mining Power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vAlign w:val="center"/>
            <w:hideMark/>
          </w:tcPr>
          <w:p w14:paraId="148A66BA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  <w:t>Daily Profit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vAlign w:val="center"/>
            <w:hideMark/>
          </w:tcPr>
          <w:p w14:paraId="1C939F66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  <w:t>Days to Break Even</w:t>
            </w:r>
          </w:p>
        </w:tc>
      </w:tr>
      <w:tr w:rsidR="00F5556D" w:rsidRPr="004E0530" w14:paraId="248B65ED" w14:textId="77777777" w:rsidTr="00F5556D">
        <w:trPr>
          <w:trHeight w:val="477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4DF9A46E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GeForce RTX 3070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25E201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$1,204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5C3C98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61.3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8D735A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123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8F1F42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$4.57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AEFF78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263</w:t>
            </w:r>
          </w:p>
        </w:tc>
      </w:tr>
      <w:tr w:rsidR="00F5556D" w:rsidRPr="004E0530" w14:paraId="75EB7780" w14:textId="77777777" w:rsidTr="00F5556D">
        <w:trPr>
          <w:trHeight w:val="716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EDEDED"/>
            <w:vAlign w:val="center"/>
            <w:hideMark/>
          </w:tcPr>
          <w:p w14:paraId="12D20BF1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GeForce RTX 2080 Super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1F20E409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$839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4BD8EBAF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43.9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5BD67E2D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124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4EB369E0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$3.19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53F194EF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263</w:t>
            </w:r>
          </w:p>
        </w:tc>
      </w:tr>
      <w:tr w:rsidR="00F5556D" w:rsidRPr="004E0530" w14:paraId="5C390CAE" w14:textId="77777777" w:rsidTr="00F5556D">
        <w:trPr>
          <w:trHeight w:val="477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6554722B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Radeon RX 6800 XT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ACC172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$1,280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862CD9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64.6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73532E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186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4AD717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$4.68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2A5CDC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273</w:t>
            </w:r>
          </w:p>
        </w:tc>
      </w:tr>
      <w:tr w:rsidR="00F5556D" w:rsidRPr="004E0530" w14:paraId="2415FAC5" w14:textId="77777777" w:rsidTr="00F5556D">
        <w:trPr>
          <w:trHeight w:val="716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EDEDED"/>
            <w:vAlign w:val="center"/>
            <w:hideMark/>
          </w:tcPr>
          <w:p w14:paraId="13A86839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GeForce RTX 3060 LHR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3EB31398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$707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77039398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34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5F422534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110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079A26D1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$2.44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3FCFDB1F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290</w:t>
            </w:r>
          </w:p>
        </w:tc>
      </w:tr>
      <w:tr w:rsidR="00F5556D" w:rsidRPr="004E0530" w14:paraId="35EDECBF" w14:textId="77777777" w:rsidTr="00F5556D">
        <w:trPr>
          <w:trHeight w:val="716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7A422E7B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GeForce RTX 3060 </w:t>
            </w:r>
            <w:proofErr w:type="spellStart"/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Ti</w:t>
            </w:r>
            <w:proofErr w:type="spellEnd"/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 LHR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FE197F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$916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24FDDE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42.4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2C1A99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114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05171B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$3.09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543124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296</w:t>
            </w:r>
          </w:p>
        </w:tc>
      </w:tr>
      <w:tr w:rsidR="00F5556D" w:rsidRPr="004E0530" w14:paraId="5B2BACAC" w14:textId="77777777" w:rsidTr="00F5556D">
        <w:trPr>
          <w:trHeight w:val="477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EDEDED"/>
            <w:vAlign w:val="center"/>
            <w:hideMark/>
          </w:tcPr>
          <w:p w14:paraId="03A03DD9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GeForce RTX 3090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357154DF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$2,620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57D1BAD7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115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23F99D0E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285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3A0AD87C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$8.45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4D1FE1F1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310</w:t>
            </w:r>
          </w:p>
        </w:tc>
      </w:tr>
      <w:tr w:rsidR="00F5556D" w:rsidRPr="004E0530" w14:paraId="53E24287" w14:textId="77777777" w:rsidTr="00F5556D">
        <w:trPr>
          <w:trHeight w:val="716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358C1F52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GeForce RTX 3070 </w:t>
            </w:r>
            <w:proofErr w:type="spellStart"/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Ti</w:t>
            </w:r>
            <w:proofErr w:type="spellEnd"/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 LHR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9A68A6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$1,167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AD9CAB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51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602956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155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1E7A38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$3.68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439619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317</w:t>
            </w:r>
          </w:p>
        </w:tc>
      </w:tr>
      <w:tr w:rsidR="00F5556D" w:rsidRPr="004E0530" w14:paraId="3FD397F3" w14:textId="77777777" w:rsidTr="00F5556D">
        <w:trPr>
          <w:trHeight w:val="716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EDEDED"/>
            <w:vAlign w:val="center"/>
            <w:hideMark/>
          </w:tcPr>
          <w:p w14:paraId="2A1F2237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GeForce RTX 3080 </w:t>
            </w:r>
            <w:proofErr w:type="spellStart"/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Ti</w:t>
            </w:r>
            <w:proofErr w:type="spellEnd"/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 LHR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07706469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$1,880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7DC8CE1B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77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1B97EA55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220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2E05708F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$5.59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21BBE1D6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336</w:t>
            </w:r>
          </w:p>
        </w:tc>
      </w:tr>
      <w:tr w:rsidR="00F5556D" w:rsidRPr="004E0530" w14:paraId="773B07B2" w14:textId="77777777" w:rsidTr="00F5556D">
        <w:trPr>
          <w:trHeight w:val="477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33790A83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Radeon RX 6900 XT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951723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$1,620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A56180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64.6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9A1F6C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183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B46DB8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$4.69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E1EC81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345</w:t>
            </w:r>
          </w:p>
        </w:tc>
      </w:tr>
      <w:tr w:rsidR="00F5556D" w:rsidRPr="004E0530" w14:paraId="23BB9085" w14:textId="77777777" w:rsidTr="00F5556D">
        <w:trPr>
          <w:trHeight w:val="716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EDEDED"/>
            <w:vAlign w:val="center"/>
            <w:hideMark/>
          </w:tcPr>
          <w:p w14:paraId="2EA33B2A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GeForce RTX 3080 LHR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47218BB4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$1,666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6CF9633C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65.8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3660F5C0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215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40C09174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$4.71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3698ECA7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354</w:t>
            </w:r>
          </w:p>
        </w:tc>
      </w:tr>
      <w:tr w:rsidR="00F5556D" w:rsidRPr="004E0530" w14:paraId="5D74E5BE" w14:textId="77777777" w:rsidTr="00F5556D">
        <w:trPr>
          <w:trHeight w:val="716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6DA40D97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GeForce RTX 3070 LHR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AA3A70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$1,204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90B9C6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42.9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33A7AA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120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B3EA37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$3.12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2D286F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386</w:t>
            </w:r>
          </w:p>
        </w:tc>
      </w:tr>
    </w:tbl>
    <w:p w14:paraId="7CA0DE8B" w14:textId="008C61B8" w:rsidR="00954F8B" w:rsidRPr="004E0530" w:rsidRDefault="00954F8B" w:rsidP="00954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90E29F" w14:textId="40090172" w:rsidR="00B05B28" w:rsidRPr="004E0530" w:rsidRDefault="000C62A3" w:rsidP="00954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0530">
        <w:rPr>
          <w:rFonts w:ascii="Arial" w:hAnsi="Arial" w:cs="Arial"/>
          <w:sz w:val="24"/>
          <w:szCs w:val="24"/>
        </w:rPr>
        <w:t>Tabel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di</w:t>
      </w:r>
      <w:r w:rsidR="00FC061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atas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menunjukan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data rata-rata </w:t>
      </w:r>
      <w:proofErr w:type="spellStart"/>
      <w:r w:rsidRPr="004E0530">
        <w:rPr>
          <w:rFonts w:ascii="Arial" w:hAnsi="Arial" w:cs="Arial"/>
          <w:sz w:val="24"/>
          <w:szCs w:val="24"/>
        </w:rPr>
        <w:t>harga</w:t>
      </w:r>
      <w:proofErr w:type="spellEnd"/>
      <w:r w:rsidR="00387A20" w:rsidRPr="004E053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87A20" w:rsidRPr="004E0530">
        <w:rPr>
          <w:rFonts w:ascii="Arial" w:hAnsi="Arial" w:cs="Arial"/>
          <w:sz w:val="24"/>
          <w:szCs w:val="24"/>
        </w:rPr>
        <w:t>peforma</w:t>
      </w:r>
      <w:proofErr w:type="spellEnd"/>
      <w:r w:rsidR="00387A2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7A20" w:rsidRPr="004E0530">
        <w:rPr>
          <w:rFonts w:ascii="Arial" w:hAnsi="Arial" w:cs="Arial"/>
          <w:sz w:val="24"/>
          <w:szCs w:val="24"/>
        </w:rPr>
        <w:t>untuk</w:t>
      </w:r>
      <w:proofErr w:type="spellEnd"/>
      <w:r w:rsidR="00387A20" w:rsidRPr="004E0530">
        <w:rPr>
          <w:rFonts w:ascii="Arial" w:hAnsi="Arial" w:cs="Arial"/>
          <w:sz w:val="24"/>
          <w:szCs w:val="24"/>
        </w:rPr>
        <w:t xml:space="preserve"> </w:t>
      </w:r>
      <w:r w:rsidR="004C67E1" w:rsidRPr="004C67E1">
        <w:rPr>
          <w:rFonts w:ascii="Arial" w:hAnsi="Arial" w:cs="Arial"/>
          <w:i/>
          <w:iCs/>
          <w:sz w:val="24"/>
          <w:szCs w:val="24"/>
        </w:rPr>
        <w:t>crypto</w:t>
      </w:r>
      <w:r w:rsidR="004C67E1">
        <w:rPr>
          <w:rFonts w:ascii="Arial" w:hAnsi="Arial" w:cs="Arial"/>
          <w:i/>
          <w:iCs/>
          <w:sz w:val="24"/>
          <w:szCs w:val="24"/>
        </w:rPr>
        <w:t xml:space="preserve"> </w:t>
      </w:r>
      <w:r w:rsidR="004C67E1" w:rsidRPr="004E0530">
        <w:rPr>
          <w:rFonts w:ascii="Arial" w:hAnsi="Arial" w:cs="Arial"/>
          <w:i/>
          <w:iCs/>
          <w:sz w:val="24"/>
          <w:szCs w:val="24"/>
        </w:rPr>
        <w:t>mining</w:t>
      </w:r>
      <w:r w:rsidR="00387A20" w:rsidRPr="004E053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87A20" w:rsidRPr="004E0530">
        <w:rPr>
          <w:rFonts w:ascii="Arial" w:hAnsi="Arial" w:cs="Arial"/>
          <w:sz w:val="24"/>
          <w:szCs w:val="24"/>
        </w:rPr>
        <w:t>tenaga</w:t>
      </w:r>
      <w:proofErr w:type="spellEnd"/>
      <w:r w:rsidR="00387A20"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387A20" w:rsidRPr="004E0530">
        <w:rPr>
          <w:rFonts w:ascii="Arial" w:hAnsi="Arial" w:cs="Arial"/>
          <w:sz w:val="24"/>
          <w:szCs w:val="24"/>
        </w:rPr>
        <w:t>dihasilkan</w:t>
      </w:r>
      <w:proofErr w:type="spellEnd"/>
      <w:r w:rsidR="00387A2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7A20" w:rsidRPr="004E0530">
        <w:rPr>
          <w:rFonts w:ascii="Arial" w:hAnsi="Arial" w:cs="Arial"/>
          <w:sz w:val="24"/>
          <w:szCs w:val="24"/>
        </w:rPr>
        <w:t>dari</w:t>
      </w:r>
      <w:proofErr w:type="spellEnd"/>
      <w:r w:rsidR="00387A20" w:rsidRPr="004E0530">
        <w:rPr>
          <w:rFonts w:ascii="Arial" w:hAnsi="Arial" w:cs="Arial"/>
          <w:sz w:val="24"/>
          <w:szCs w:val="24"/>
        </w:rPr>
        <w:t xml:space="preserve"> </w:t>
      </w:r>
      <w:r w:rsidR="004C67E1" w:rsidRPr="004C67E1">
        <w:rPr>
          <w:rFonts w:ascii="Arial" w:hAnsi="Arial" w:cs="Arial"/>
          <w:i/>
          <w:iCs/>
          <w:sz w:val="24"/>
          <w:szCs w:val="24"/>
        </w:rPr>
        <w:t>crypto</w:t>
      </w:r>
      <w:r w:rsidR="004C67E1">
        <w:rPr>
          <w:rFonts w:ascii="Arial" w:hAnsi="Arial" w:cs="Arial"/>
          <w:i/>
          <w:iCs/>
          <w:sz w:val="24"/>
          <w:szCs w:val="24"/>
        </w:rPr>
        <w:t xml:space="preserve"> </w:t>
      </w:r>
      <w:r w:rsidR="00387A20" w:rsidRPr="004E0530">
        <w:rPr>
          <w:rFonts w:ascii="Arial" w:hAnsi="Arial" w:cs="Arial"/>
          <w:i/>
          <w:iCs/>
          <w:sz w:val="24"/>
          <w:szCs w:val="24"/>
        </w:rPr>
        <w:t>mining</w:t>
      </w:r>
      <w:r w:rsidR="00B05B28" w:rsidRPr="004E0530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keuntungan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harian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, dan </w:t>
      </w:r>
      <w:r w:rsidR="00B05B28" w:rsidRPr="004E0530">
        <w:rPr>
          <w:rFonts w:ascii="Arial" w:hAnsi="Arial" w:cs="Arial"/>
          <w:i/>
          <w:iCs/>
          <w:sz w:val="24"/>
          <w:szCs w:val="24"/>
        </w:rPr>
        <w:t>break even.</w:t>
      </w:r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Untuk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mengetahui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peforma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yang </w:t>
      </w:r>
      <w:r w:rsidR="004E0530">
        <w:rPr>
          <w:rFonts w:ascii="Arial" w:hAnsi="Arial" w:cs="Arial"/>
          <w:sz w:val="24"/>
          <w:szCs w:val="24"/>
        </w:rPr>
        <w:t xml:space="preserve">paling </w:t>
      </w:r>
      <w:proofErr w:type="spellStart"/>
      <w:r w:rsidR="004E0530">
        <w:rPr>
          <w:rFonts w:ascii="Arial" w:hAnsi="Arial" w:cs="Arial"/>
          <w:sz w:val="24"/>
          <w:szCs w:val="24"/>
        </w:rPr>
        <w:t>efisien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>
        <w:rPr>
          <w:rFonts w:ascii="Arial" w:hAnsi="Arial" w:cs="Arial"/>
          <w:sz w:val="24"/>
          <w:szCs w:val="24"/>
        </w:rPr>
        <w:t>dari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tentu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kita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perlu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membandingkan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rasio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dari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harga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nilai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peforma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Semakin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rendah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rasio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dari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harga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nilai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peforma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. </w:t>
      </w:r>
      <w:r w:rsidR="00B05B28" w:rsidRPr="004E0530">
        <w:rPr>
          <w:rFonts w:ascii="Arial" w:hAnsi="Arial" w:cs="Arial"/>
          <w:sz w:val="24"/>
          <w:szCs w:val="24"/>
        </w:rPr>
        <w:t xml:space="preserve">Dari data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tersebut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kita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dapat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membuat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tabel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CD3" w:rsidRPr="004E0530">
        <w:rPr>
          <w:rFonts w:ascii="Arial" w:hAnsi="Arial" w:cs="Arial"/>
          <w:sz w:val="24"/>
          <w:szCs w:val="24"/>
        </w:rPr>
        <w:t>seperti</w:t>
      </w:r>
      <w:proofErr w:type="spellEnd"/>
      <w:r w:rsidR="00BB7CD3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CD3" w:rsidRPr="004E0530">
        <w:rPr>
          <w:rFonts w:ascii="Arial" w:hAnsi="Arial" w:cs="Arial"/>
          <w:sz w:val="24"/>
          <w:szCs w:val="24"/>
        </w:rPr>
        <w:t>berikut</w:t>
      </w:r>
      <w:proofErr w:type="spellEnd"/>
      <w:r w:rsidR="00BB7CD3" w:rsidRPr="004E0530">
        <w:rPr>
          <w:rFonts w:ascii="Arial" w:hAnsi="Arial" w:cs="Arial"/>
          <w:sz w:val="24"/>
          <w:szCs w:val="24"/>
        </w:rPr>
        <w:t xml:space="preserve">. </w:t>
      </w:r>
    </w:p>
    <w:p w14:paraId="431EA35C" w14:textId="34CDA5FC" w:rsidR="00BB7CD3" w:rsidRPr="004E0530" w:rsidRDefault="00BB7CD3" w:rsidP="00954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530">
        <w:rPr>
          <w:noProof/>
        </w:rPr>
        <w:lastRenderedPageBreak/>
        <w:drawing>
          <wp:inline distT="0" distB="0" distL="0" distR="0" wp14:anchorId="147BDB17" wp14:editId="6F78B2E5">
            <wp:extent cx="4905375" cy="299085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A26F4E-9E01-49A3-8A52-5F30387C77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0658641" w14:textId="4F33DE9C" w:rsidR="00FC061F" w:rsidRDefault="00953DE9" w:rsidP="002A4CD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data </w:t>
      </w:r>
      <w:proofErr w:type="spellStart"/>
      <w:r w:rsidR="002A4CDE" w:rsidRPr="002A4CDE">
        <w:rPr>
          <w:rFonts w:ascii="Arial" w:hAnsi="Arial" w:cs="Arial"/>
          <w:sz w:val="24"/>
          <w:szCs w:val="24"/>
        </w:rPr>
        <w:t>Grafik</w:t>
      </w:r>
      <w:proofErr w:type="spellEnd"/>
      <w:r w:rsidR="002A4CDE" w:rsidRP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 w:rsidRPr="002A4CDE">
        <w:rPr>
          <w:rFonts w:ascii="Arial" w:hAnsi="Arial" w:cs="Arial"/>
          <w:sz w:val="24"/>
          <w:szCs w:val="24"/>
        </w:rPr>
        <w:t>Rasio</w:t>
      </w:r>
      <w:proofErr w:type="spellEnd"/>
      <w:r w:rsidR="002A4CDE" w:rsidRPr="002A4CDE">
        <w:rPr>
          <w:rFonts w:ascii="Arial" w:hAnsi="Arial" w:cs="Arial"/>
          <w:sz w:val="24"/>
          <w:szCs w:val="24"/>
        </w:rPr>
        <w:t xml:space="preserve"> Harga dengan Nilai </w:t>
      </w:r>
      <w:proofErr w:type="spellStart"/>
      <w:r w:rsidR="002A4CDE" w:rsidRPr="002A4CDE">
        <w:rPr>
          <w:rFonts w:ascii="Arial" w:hAnsi="Arial" w:cs="Arial"/>
          <w:sz w:val="24"/>
          <w:szCs w:val="24"/>
        </w:rPr>
        <w:t>Peforma</w:t>
      </w:r>
      <w:proofErr w:type="spellEnd"/>
      <w:r w:rsid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 w:rsidRPr="002A4CDE">
        <w:rPr>
          <w:rFonts w:ascii="Arial" w:hAnsi="Arial" w:cs="Arial"/>
          <w:sz w:val="24"/>
          <w:szCs w:val="24"/>
        </w:rPr>
        <w:t>dari</w:t>
      </w:r>
      <w:proofErr w:type="spellEnd"/>
      <w:r w:rsidR="002A4CDE" w:rsidRP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 w:rsidRPr="002A4CDE">
        <w:rPr>
          <w:rFonts w:ascii="Arial" w:hAnsi="Arial" w:cs="Arial"/>
          <w:sz w:val="24"/>
          <w:szCs w:val="24"/>
        </w:rPr>
        <w:t>Kartu</w:t>
      </w:r>
      <w:proofErr w:type="spellEnd"/>
      <w:r w:rsidR="002A4CDE" w:rsidRP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 w:rsidRPr="002A4CDE">
        <w:rPr>
          <w:rFonts w:ascii="Arial" w:hAnsi="Arial" w:cs="Arial"/>
          <w:sz w:val="24"/>
          <w:szCs w:val="24"/>
        </w:rPr>
        <w:t>Grafis</w:t>
      </w:r>
      <w:proofErr w:type="spellEnd"/>
      <w:r w:rsidR="002A4CDE" w:rsidRP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 w:rsidRPr="002A4CDE">
        <w:rPr>
          <w:rFonts w:ascii="Arial" w:hAnsi="Arial" w:cs="Arial"/>
          <w:sz w:val="24"/>
          <w:szCs w:val="24"/>
        </w:rPr>
        <w:t>dalam</w:t>
      </w:r>
      <w:proofErr w:type="spellEnd"/>
      <w:r w:rsidR="002A4CDE" w:rsidRPr="002A4CDE">
        <w:rPr>
          <w:rFonts w:ascii="Arial" w:hAnsi="Arial" w:cs="Arial"/>
          <w:sz w:val="24"/>
          <w:szCs w:val="24"/>
        </w:rPr>
        <w:t xml:space="preserve"> Dollar AS </w:t>
      </w:r>
      <w:r w:rsidR="002A4CDE">
        <w:rPr>
          <w:rFonts w:ascii="Arial" w:hAnsi="Arial" w:cs="Arial"/>
          <w:sz w:val="24"/>
          <w:szCs w:val="24"/>
        </w:rPr>
        <w:t>pada</w:t>
      </w:r>
      <w:r w:rsidR="002A4CDE" w:rsidRPr="002A4CDE">
        <w:rPr>
          <w:rFonts w:ascii="Arial" w:hAnsi="Arial" w:cs="Arial"/>
          <w:sz w:val="24"/>
          <w:szCs w:val="24"/>
        </w:rPr>
        <w:t xml:space="preserve"> 2021</w:t>
      </w:r>
      <w:r w:rsid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>
        <w:rPr>
          <w:rFonts w:ascii="Arial" w:hAnsi="Arial" w:cs="Arial"/>
          <w:sz w:val="24"/>
          <w:szCs w:val="24"/>
        </w:rPr>
        <w:t>menunjukkan</w:t>
      </w:r>
      <w:proofErr w:type="spellEnd"/>
      <w:r w:rsid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>
        <w:rPr>
          <w:rFonts w:ascii="Arial" w:hAnsi="Arial" w:cs="Arial"/>
          <w:sz w:val="24"/>
          <w:szCs w:val="24"/>
        </w:rPr>
        <w:t>bahwa</w:t>
      </w:r>
      <w:proofErr w:type="spellEnd"/>
      <w:r w:rsidR="00FC061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>
        <w:rPr>
          <w:rFonts w:ascii="Arial" w:hAnsi="Arial" w:cs="Arial"/>
          <w:sz w:val="24"/>
          <w:szCs w:val="24"/>
        </w:rPr>
        <w:t>k</w:t>
      </w:r>
      <w:r w:rsidR="00973AA7" w:rsidRPr="004E0530">
        <w:rPr>
          <w:rFonts w:ascii="Arial" w:hAnsi="Arial" w:cs="Arial"/>
          <w:sz w:val="24"/>
          <w:szCs w:val="24"/>
        </w:rPr>
        <w:t>artu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rasio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paling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tinggi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adalah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Geforce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RTX 3070 LHR dengan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nilai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28,07 dollar/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peforma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Untuk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rasio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paling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rendah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adalah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r w:rsidR="00973AA7" w:rsidRPr="004E0530">
        <w:rPr>
          <w:rFonts w:ascii="Arial" w:hAnsi="Arial" w:cs="Arial"/>
          <w:sz w:val="24"/>
          <w:szCs w:val="24"/>
        </w:rPr>
        <w:t>GeForce RTX 2080 Super</w:t>
      </w:r>
      <w:r w:rsidR="00973AA7" w:rsidRPr="004E0530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nilai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19.11 dollar/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peforma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. Angka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dari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perbandingan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tersebut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jelas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membuktikan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bahwa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r w:rsidR="008E455F" w:rsidRPr="004E0530">
        <w:rPr>
          <w:rFonts w:ascii="Arial" w:hAnsi="Arial" w:cs="Arial"/>
          <w:sz w:val="24"/>
          <w:szCs w:val="24"/>
        </w:rPr>
        <w:t xml:space="preserve">GeForce RTX 2080 Super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merupakan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pilihan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tepat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bagi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para </w:t>
      </w:r>
      <w:r w:rsidR="00973AA7" w:rsidRPr="004E0530">
        <w:rPr>
          <w:rFonts w:ascii="Arial" w:hAnsi="Arial" w:cs="Arial"/>
          <w:i/>
          <w:iCs/>
          <w:sz w:val="24"/>
          <w:szCs w:val="24"/>
        </w:rPr>
        <w:t>miner</w:t>
      </w:r>
      <w:r w:rsidR="008E455F" w:rsidRPr="004E053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karena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untuk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setiap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peforma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diberikan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membutuhkan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lebih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sedikit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biaya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dibandingkan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r w:rsidR="008E455F" w:rsidRPr="004E0530">
        <w:rPr>
          <w:rFonts w:ascii="Arial" w:hAnsi="Arial" w:cs="Arial"/>
          <w:sz w:val="24"/>
          <w:szCs w:val="24"/>
        </w:rPr>
        <w:t>RTX 3070 LHR</w:t>
      </w:r>
      <w:r w:rsidR="00973AA7" w:rsidRPr="004E0530">
        <w:rPr>
          <w:rFonts w:ascii="Arial" w:hAnsi="Arial" w:cs="Arial"/>
          <w:i/>
          <w:iCs/>
          <w:sz w:val="24"/>
          <w:szCs w:val="24"/>
        </w:rPr>
        <w:t>.</w:t>
      </w:r>
      <w:r w:rsidR="00973AA7" w:rsidRPr="004E0530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Namun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perlu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diperhatikan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pengeluaran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energi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dari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masing-masing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akan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digunakan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sehingga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ditemukannya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efisien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dalam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peng</w:t>
      </w:r>
      <w:r w:rsidR="00CD164D">
        <w:rPr>
          <w:rFonts w:ascii="Arial" w:hAnsi="Arial" w:cs="Arial"/>
          <w:sz w:val="24"/>
          <w:szCs w:val="24"/>
        </w:rPr>
        <w:t>gunaan</w:t>
      </w:r>
      <w:proofErr w:type="spellEnd"/>
      <w:r w:rsidR="00CD164D">
        <w:rPr>
          <w:rFonts w:ascii="Arial" w:hAnsi="Arial" w:cs="Arial"/>
          <w:sz w:val="24"/>
          <w:szCs w:val="24"/>
        </w:rPr>
        <w:t xml:space="preserve"> </w:t>
      </w:r>
      <w:r w:rsidR="00CD164D">
        <w:rPr>
          <w:rFonts w:ascii="Arial" w:hAnsi="Arial" w:cs="Arial"/>
          <w:i/>
          <w:iCs/>
          <w:sz w:val="24"/>
          <w:szCs w:val="24"/>
        </w:rPr>
        <w:t>mining.</w:t>
      </w:r>
      <w:r w:rsidR="00CD164D">
        <w:rPr>
          <w:rFonts w:ascii="Arial" w:hAnsi="Arial" w:cs="Arial"/>
          <w:sz w:val="24"/>
          <w:szCs w:val="24"/>
        </w:rPr>
        <w:t xml:space="preserve"> </w:t>
      </w:r>
    </w:p>
    <w:p w14:paraId="14848CD4" w14:textId="6825A2DF" w:rsidR="00CD164D" w:rsidRDefault="002A4CDE" w:rsidP="00954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E646A4" wp14:editId="0473DB8E">
            <wp:extent cx="4972050" cy="334327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AA26F4E-9E01-49A3-8A52-5F30387C77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128E491" w14:textId="313B1024" w:rsidR="00CD164D" w:rsidRDefault="00CD164D" w:rsidP="00954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7A0686" w14:textId="3458F721" w:rsidR="00964164" w:rsidRDefault="00964164" w:rsidP="00954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D8C85" w14:textId="7A3C9467" w:rsidR="00964164" w:rsidRDefault="002A4CDE" w:rsidP="002A4CD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data </w:t>
      </w:r>
      <w:proofErr w:type="spellStart"/>
      <w:r w:rsidRPr="002A4CDE">
        <w:rPr>
          <w:rFonts w:ascii="Arial" w:hAnsi="Arial" w:cs="Arial"/>
          <w:sz w:val="24"/>
          <w:szCs w:val="24"/>
        </w:rPr>
        <w:t>Grafik</w:t>
      </w:r>
      <w:proofErr w:type="spellEnd"/>
      <w:r w:rsidRP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CDE">
        <w:rPr>
          <w:rFonts w:ascii="Arial" w:hAnsi="Arial" w:cs="Arial"/>
          <w:sz w:val="24"/>
          <w:szCs w:val="24"/>
        </w:rPr>
        <w:t>Rasio</w:t>
      </w:r>
      <w:proofErr w:type="spellEnd"/>
      <w:r w:rsidRPr="002A4CDE">
        <w:rPr>
          <w:rFonts w:ascii="Arial" w:hAnsi="Arial" w:cs="Arial"/>
          <w:sz w:val="24"/>
          <w:szCs w:val="24"/>
        </w:rPr>
        <w:t xml:space="preserve"> Harga dengan </w:t>
      </w:r>
      <w:proofErr w:type="spellStart"/>
      <w:r w:rsidRPr="002A4CDE">
        <w:rPr>
          <w:rFonts w:ascii="Arial" w:hAnsi="Arial" w:cs="Arial"/>
          <w:sz w:val="24"/>
          <w:szCs w:val="24"/>
        </w:rPr>
        <w:t>Konsumsi</w:t>
      </w:r>
      <w:proofErr w:type="spellEnd"/>
      <w:r w:rsidRP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CDE">
        <w:rPr>
          <w:rFonts w:ascii="Arial" w:hAnsi="Arial" w:cs="Arial"/>
          <w:sz w:val="24"/>
          <w:szCs w:val="24"/>
        </w:rPr>
        <w:t>Energi</w:t>
      </w:r>
      <w:proofErr w:type="spellEnd"/>
      <w:r w:rsidRP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CDE">
        <w:rPr>
          <w:rFonts w:ascii="Arial" w:hAnsi="Arial" w:cs="Arial"/>
          <w:sz w:val="24"/>
          <w:szCs w:val="24"/>
        </w:rPr>
        <w:t>dari</w:t>
      </w:r>
      <w:proofErr w:type="spellEnd"/>
      <w:r w:rsidRP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CDE">
        <w:rPr>
          <w:rFonts w:ascii="Arial" w:hAnsi="Arial" w:cs="Arial"/>
          <w:sz w:val="24"/>
          <w:szCs w:val="24"/>
        </w:rPr>
        <w:t>Kartu</w:t>
      </w:r>
      <w:proofErr w:type="spellEnd"/>
      <w:r w:rsidRP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CDE">
        <w:rPr>
          <w:rFonts w:ascii="Arial" w:hAnsi="Arial" w:cs="Arial"/>
          <w:sz w:val="24"/>
          <w:szCs w:val="24"/>
        </w:rPr>
        <w:t>Grafis</w:t>
      </w:r>
      <w:proofErr w:type="spellEnd"/>
      <w:r w:rsidRP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CDE">
        <w:rPr>
          <w:rFonts w:ascii="Arial" w:hAnsi="Arial" w:cs="Arial"/>
          <w:sz w:val="24"/>
          <w:szCs w:val="24"/>
        </w:rPr>
        <w:t>dalam</w:t>
      </w:r>
      <w:proofErr w:type="spellEnd"/>
      <w:r w:rsidRPr="002A4CDE">
        <w:rPr>
          <w:rFonts w:ascii="Arial" w:hAnsi="Arial" w:cs="Arial"/>
          <w:sz w:val="24"/>
          <w:szCs w:val="24"/>
        </w:rPr>
        <w:t xml:space="preserve"> Dollar AS pada 2021 </w:t>
      </w:r>
      <w:proofErr w:type="spellStart"/>
      <w:r>
        <w:rPr>
          <w:rFonts w:ascii="Arial" w:hAnsi="Arial" w:cs="Arial"/>
          <w:sz w:val="24"/>
          <w:szCs w:val="24"/>
        </w:rPr>
        <w:t>menunjukkan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</w:t>
      </w:r>
      <w:r w:rsidRPr="004E0530">
        <w:rPr>
          <w:rFonts w:ascii="Arial" w:hAnsi="Arial" w:cs="Arial"/>
          <w:sz w:val="24"/>
          <w:szCs w:val="24"/>
        </w:rPr>
        <w:t>artu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grafis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Pr="004E0530">
        <w:rPr>
          <w:rFonts w:ascii="Arial" w:hAnsi="Arial" w:cs="Arial"/>
          <w:sz w:val="24"/>
          <w:szCs w:val="24"/>
        </w:rPr>
        <w:t>rasio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paling </w:t>
      </w:r>
      <w:proofErr w:type="spellStart"/>
      <w:r w:rsidRPr="004E0530">
        <w:rPr>
          <w:rFonts w:ascii="Arial" w:hAnsi="Arial" w:cs="Arial"/>
          <w:sz w:val="24"/>
          <w:szCs w:val="24"/>
        </w:rPr>
        <w:t>tinggi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adalah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Geforce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RTX 3070 LHR dengan </w:t>
      </w:r>
      <w:proofErr w:type="spellStart"/>
      <w:r w:rsidRPr="004E0530">
        <w:rPr>
          <w:rFonts w:ascii="Arial" w:hAnsi="Arial" w:cs="Arial"/>
          <w:sz w:val="24"/>
          <w:szCs w:val="24"/>
        </w:rPr>
        <w:t>nilai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10,03 </w:t>
      </w:r>
      <w:r w:rsidRPr="004E0530">
        <w:rPr>
          <w:rFonts w:ascii="Arial" w:hAnsi="Arial" w:cs="Arial"/>
          <w:sz w:val="24"/>
          <w:szCs w:val="24"/>
        </w:rPr>
        <w:t>dollar/</w:t>
      </w:r>
      <w:proofErr w:type="spellStart"/>
      <w:r w:rsidR="00F30DC1">
        <w:rPr>
          <w:rFonts w:ascii="Arial" w:hAnsi="Arial" w:cs="Arial"/>
          <w:sz w:val="24"/>
          <w:szCs w:val="24"/>
        </w:rPr>
        <w:t>energi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grafis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dengan </w:t>
      </w:r>
      <w:proofErr w:type="spellStart"/>
      <w:r>
        <w:rPr>
          <w:rFonts w:ascii="Arial" w:hAnsi="Arial" w:cs="Arial"/>
          <w:sz w:val="24"/>
          <w:szCs w:val="24"/>
        </w:rPr>
        <w:t>pengeluaran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energi</w:t>
      </w:r>
      <w:proofErr w:type="spellEnd"/>
      <w:r>
        <w:rPr>
          <w:rFonts w:ascii="Arial" w:hAnsi="Arial" w:cs="Arial"/>
          <w:sz w:val="24"/>
          <w:szCs w:val="24"/>
        </w:rPr>
        <w:t xml:space="preserve"> paling </w:t>
      </w:r>
      <w:proofErr w:type="spellStart"/>
      <w:r>
        <w:rPr>
          <w:rFonts w:ascii="Arial" w:hAnsi="Arial" w:cs="Arial"/>
          <w:sz w:val="24"/>
          <w:szCs w:val="24"/>
        </w:rPr>
        <w:t>sedikit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, </w:t>
      </w:r>
      <w:r w:rsidR="00F30DC1" w:rsidRPr="00F30DC1">
        <w:rPr>
          <w:rFonts w:ascii="Arial" w:hAnsi="Arial" w:cs="Arial"/>
          <w:sz w:val="24"/>
          <w:szCs w:val="24"/>
        </w:rPr>
        <w:t>GeForce RTX 3060 LHR</w:t>
      </w:r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menunjukkan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angka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30DC1">
        <w:rPr>
          <w:rFonts w:ascii="Arial" w:hAnsi="Arial" w:cs="Arial"/>
          <w:sz w:val="24"/>
          <w:szCs w:val="24"/>
        </w:rPr>
        <w:t>fantastis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yakni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sebesar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6,43 dollar/</w:t>
      </w:r>
      <w:proofErr w:type="spellStart"/>
      <w:r w:rsidR="00F30DC1">
        <w:rPr>
          <w:rFonts w:ascii="Arial" w:hAnsi="Arial" w:cs="Arial"/>
          <w:sz w:val="24"/>
          <w:szCs w:val="24"/>
        </w:rPr>
        <w:t>energi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30DC1">
        <w:rPr>
          <w:rFonts w:ascii="Arial" w:hAnsi="Arial" w:cs="Arial"/>
          <w:sz w:val="24"/>
          <w:szCs w:val="24"/>
        </w:rPr>
        <w:t>Kedua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tabel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30DC1">
        <w:rPr>
          <w:rFonts w:ascii="Arial" w:hAnsi="Arial" w:cs="Arial"/>
          <w:sz w:val="24"/>
          <w:szCs w:val="24"/>
        </w:rPr>
        <w:t>telah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dipaparkan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menunjukkan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sifat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hasil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30DC1">
        <w:rPr>
          <w:rFonts w:ascii="Arial" w:hAnsi="Arial" w:cs="Arial"/>
          <w:sz w:val="24"/>
          <w:szCs w:val="24"/>
        </w:rPr>
        <w:t>berbeda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30DC1">
        <w:rPr>
          <w:rFonts w:ascii="Arial" w:hAnsi="Arial" w:cs="Arial"/>
          <w:sz w:val="24"/>
          <w:szCs w:val="24"/>
        </w:rPr>
        <w:t>Untuk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untuk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menghasilkan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peforma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30DC1">
        <w:rPr>
          <w:rFonts w:ascii="Arial" w:hAnsi="Arial" w:cs="Arial"/>
          <w:sz w:val="24"/>
          <w:szCs w:val="24"/>
        </w:rPr>
        <w:t>baik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F30DC1">
        <w:rPr>
          <w:rFonts w:ascii="Arial" w:hAnsi="Arial" w:cs="Arial"/>
          <w:sz w:val="24"/>
          <w:szCs w:val="24"/>
        </w:rPr>
        <w:t>biaya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30DC1">
        <w:rPr>
          <w:rFonts w:ascii="Arial" w:hAnsi="Arial" w:cs="Arial"/>
          <w:sz w:val="24"/>
          <w:szCs w:val="24"/>
        </w:rPr>
        <w:t>murah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30DC1">
        <w:rPr>
          <w:rFonts w:ascii="Arial" w:hAnsi="Arial" w:cs="Arial"/>
          <w:sz w:val="24"/>
          <w:szCs w:val="24"/>
        </w:rPr>
        <w:t>pilihan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kartu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grafis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jatuh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pada </w:t>
      </w:r>
      <w:r w:rsidR="00F30DC1" w:rsidRPr="004E0530">
        <w:rPr>
          <w:rFonts w:ascii="Arial" w:hAnsi="Arial" w:cs="Arial"/>
          <w:sz w:val="24"/>
          <w:szCs w:val="24"/>
        </w:rPr>
        <w:t>GeForce RTX 2080 Super</w:t>
      </w:r>
      <w:r w:rsidR="00F30DC1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F30DC1">
        <w:rPr>
          <w:rFonts w:ascii="Arial" w:hAnsi="Arial" w:cs="Arial"/>
          <w:sz w:val="24"/>
          <w:szCs w:val="24"/>
        </w:rPr>
        <w:t>nilai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r w:rsidR="00F30DC1" w:rsidRPr="004E0530">
        <w:rPr>
          <w:rFonts w:ascii="Arial" w:hAnsi="Arial" w:cs="Arial"/>
          <w:sz w:val="24"/>
          <w:szCs w:val="24"/>
        </w:rPr>
        <w:t>19.11 dollar/</w:t>
      </w:r>
      <w:proofErr w:type="spellStart"/>
      <w:r w:rsidR="00F30DC1" w:rsidRPr="004E0530">
        <w:rPr>
          <w:rFonts w:ascii="Arial" w:hAnsi="Arial" w:cs="Arial"/>
          <w:sz w:val="24"/>
          <w:szCs w:val="24"/>
        </w:rPr>
        <w:t>peforma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sedangkan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untuk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kartu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grafis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F30DC1">
        <w:rPr>
          <w:rFonts w:ascii="Arial" w:hAnsi="Arial" w:cs="Arial"/>
          <w:sz w:val="24"/>
          <w:szCs w:val="24"/>
        </w:rPr>
        <w:t>pengeluaran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biaya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untuk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energi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="00F30DC1">
        <w:rPr>
          <w:rFonts w:ascii="Arial" w:hAnsi="Arial" w:cs="Arial"/>
          <w:sz w:val="24"/>
          <w:szCs w:val="24"/>
        </w:rPr>
        <w:t>sedikit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jatuh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pada </w:t>
      </w:r>
      <w:r w:rsidR="00F30DC1" w:rsidRPr="00F30DC1">
        <w:rPr>
          <w:rFonts w:ascii="Arial" w:hAnsi="Arial" w:cs="Arial"/>
          <w:sz w:val="24"/>
          <w:szCs w:val="24"/>
        </w:rPr>
        <w:t>GeForce RTX 3060 LHR</w:t>
      </w:r>
      <w:r w:rsidR="00F30DC1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F30DC1">
        <w:rPr>
          <w:rFonts w:ascii="Arial" w:hAnsi="Arial" w:cs="Arial"/>
          <w:sz w:val="24"/>
          <w:szCs w:val="24"/>
        </w:rPr>
        <w:t>nilai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r w:rsidR="00F30DC1">
        <w:rPr>
          <w:rFonts w:ascii="Arial" w:hAnsi="Arial" w:cs="Arial"/>
          <w:sz w:val="24"/>
          <w:szCs w:val="24"/>
        </w:rPr>
        <w:t>6,43 dollar/</w:t>
      </w:r>
      <w:proofErr w:type="spellStart"/>
      <w:r w:rsidR="00F30DC1">
        <w:rPr>
          <w:rFonts w:ascii="Arial" w:hAnsi="Arial" w:cs="Arial"/>
          <w:sz w:val="24"/>
          <w:szCs w:val="24"/>
        </w:rPr>
        <w:t>energi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30DC1">
        <w:rPr>
          <w:rFonts w:ascii="Arial" w:hAnsi="Arial" w:cs="Arial"/>
          <w:sz w:val="24"/>
          <w:szCs w:val="24"/>
        </w:rPr>
        <w:t>Kedua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kartu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grafis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tersebut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dapat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dipilih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sesuai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kebutuhan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F30DC1">
        <w:rPr>
          <w:rFonts w:ascii="Arial" w:hAnsi="Arial" w:cs="Arial"/>
          <w:sz w:val="24"/>
          <w:szCs w:val="24"/>
        </w:rPr>
        <w:t>kondisi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ekonomi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dari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para </w:t>
      </w:r>
      <w:r w:rsidR="00F30DC1">
        <w:rPr>
          <w:rFonts w:ascii="Arial" w:hAnsi="Arial" w:cs="Arial"/>
          <w:i/>
          <w:iCs/>
          <w:sz w:val="24"/>
          <w:szCs w:val="24"/>
        </w:rPr>
        <w:t>miner</w:t>
      </w:r>
      <w:r w:rsidR="00F30DC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30DC1">
        <w:rPr>
          <w:rFonts w:ascii="Arial" w:hAnsi="Arial" w:cs="Arial"/>
          <w:sz w:val="24"/>
          <w:szCs w:val="24"/>
        </w:rPr>
        <w:t>Namun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30DC1">
        <w:rPr>
          <w:rFonts w:ascii="Arial" w:hAnsi="Arial" w:cs="Arial"/>
          <w:sz w:val="24"/>
          <w:szCs w:val="24"/>
        </w:rPr>
        <w:t>tujuan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dari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artikel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ini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adalah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mencari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kartu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grafis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yang </w:t>
      </w:r>
      <w:r w:rsidR="004C67E1">
        <w:rPr>
          <w:rFonts w:ascii="Arial" w:hAnsi="Arial" w:cs="Arial"/>
          <w:sz w:val="24"/>
          <w:szCs w:val="24"/>
        </w:rPr>
        <w:t xml:space="preserve">paling </w:t>
      </w:r>
      <w:proofErr w:type="spellStart"/>
      <w:r w:rsidR="004C67E1">
        <w:rPr>
          <w:rFonts w:ascii="Arial" w:hAnsi="Arial" w:cs="Arial"/>
          <w:sz w:val="24"/>
          <w:szCs w:val="24"/>
        </w:rPr>
        <w:t>efisien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baik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dari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sisi </w:t>
      </w:r>
      <w:proofErr w:type="spellStart"/>
      <w:r w:rsidR="00F30DC1">
        <w:rPr>
          <w:rFonts w:ascii="Arial" w:hAnsi="Arial" w:cs="Arial"/>
          <w:sz w:val="24"/>
          <w:szCs w:val="24"/>
        </w:rPr>
        <w:t>rasio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harga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E609CD">
        <w:rPr>
          <w:rFonts w:ascii="Arial" w:hAnsi="Arial" w:cs="Arial"/>
          <w:sz w:val="24"/>
          <w:szCs w:val="24"/>
        </w:rPr>
        <w:t>peforma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maupun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dari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sisi </w:t>
      </w:r>
      <w:proofErr w:type="spellStart"/>
      <w:r w:rsidR="00E609CD">
        <w:rPr>
          <w:rFonts w:ascii="Arial" w:hAnsi="Arial" w:cs="Arial"/>
          <w:sz w:val="24"/>
          <w:szCs w:val="24"/>
        </w:rPr>
        <w:t>rasio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harga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E609CD">
        <w:rPr>
          <w:rFonts w:ascii="Arial" w:hAnsi="Arial" w:cs="Arial"/>
          <w:sz w:val="24"/>
          <w:szCs w:val="24"/>
        </w:rPr>
        <w:t>konsumsi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energi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E609CD">
        <w:rPr>
          <w:rFonts w:ascii="Arial" w:hAnsi="Arial" w:cs="Arial"/>
          <w:sz w:val="24"/>
          <w:szCs w:val="24"/>
        </w:rPr>
        <w:t>kartu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grafis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. Dengan </w:t>
      </w:r>
      <w:proofErr w:type="spellStart"/>
      <w:r w:rsidR="00E609CD">
        <w:rPr>
          <w:rFonts w:ascii="Arial" w:hAnsi="Arial" w:cs="Arial"/>
          <w:sz w:val="24"/>
          <w:szCs w:val="24"/>
        </w:rPr>
        <w:t>menggunakan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609CD">
        <w:rPr>
          <w:rFonts w:ascii="Arial" w:hAnsi="Arial" w:cs="Arial"/>
          <w:sz w:val="24"/>
          <w:szCs w:val="24"/>
        </w:rPr>
        <w:lastRenderedPageBreak/>
        <w:t>pendekatan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E609CD">
        <w:rPr>
          <w:rFonts w:ascii="Arial" w:hAnsi="Arial" w:cs="Arial"/>
          <w:sz w:val="24"/>
          <w:szCs w:val="24"/>
        </w:rPr>
        <w:t>Teori</w:t>
      </w:r>
      <w:proofErr w:type="spellEnd"/>
      <w:proofErr w:type="gramEnd"/>
      <w:r w:rsidR="00E609CD">
        <w:rPr>
          <w:rFonts w:ascii="Arial" w:hAnsi="Arial" w:cs="Arial"/>
          <w:sz w:val="24"/>
          <w:szCs w:val="24"/>
        </w:rPr>
        <w:t xml:space="preserve"> </w:t>
      </w:r>
      <w:r w:rsidR="00E609CD" w:rsidRPr="00E609CD">
        <w:rPr>
          <w:rFonts w:ascii="Arial" w:hAnsi="Arial" w:cs="Arial"/>
          <w:sz w:val="24"/>
          <w:szCs w:val="24"/>
        </w:rPr>
        <w:t>Pythagoras</w:t>
      </w:r>
      <w:r w:rsidR="00E609C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609CD">
        <w:rPr>
          <w:rFonts w:ascii="Arial" w:hAnsi="Arial" w:cs="Arial"/>
          <w:sz w:val="24"/>
          <w:szCs w:val="24"/>
        </w:rPr>
        <w:t>resultan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dari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hubungan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antara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rasio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harga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E609CD">
        <w:rPr>
          <w:rFonts w:ascii="Arial" w:hAnsi="Arial" w:cs="Arial"/>
          <w:sz w:val="24"/>
          <w:szCs w:val="24"/>
        </w:rPr>
        <w:t>peforma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r w:rsidR="00E609CD">
        <w:rPr>
          <w:rFonts w:ascii="Arial" w:hAnsi="Arial" w:cs="Arial"/>
          <w:sz w:val="24"/>
          <w:szCs w:val="24"/>
        </w:rPr>
        <w:t>dan</w:t>
      </w:r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rasio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harga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E609CD">
        <w:rPr>
          <w:rFonts w:ascii="Arial" w:hAnsi="Arial" w:cs="Arial"/>
          <w:sz w:val="24"/>
          <w:szCs w:val="24"/>
        </w:rPr>
        <w:t>konsumsi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energi</w:t>
      </w:r>
      <w:proofErr w:type="spellEnd"/>
      <w:r w:rsidR="009B3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3883">
        <w:rPr>
          <w:rFonts w:ascii="Arial" w:hAnsi="Arial" w:cs="Arial"/>
          <w:sz w:val="24"/>
          <w:szCs w:val="24"/>
        </w:rPr>
        <w:t>dapat</w:t>
      </w:r>
      <w:proofErr w:type="spellEnd"/>
      <w:r w:rsidR="009B3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3883">
        <w:rPr>
          <w:rFonts w:ascii="Arial" w:hAnsi="Arial" w:cs="Arial"/>
          <w:sz w:val="24"/>
          <w:szCs w:val="24"/>
        </w:rPr>
        <w:t>ditemukan</w:t>
      </w:r>
      <w:proofErr w:type="spellEnd"/>
      <w:r w:rsidR="009B3883">
        <w:rPr>
          <w:rFonts w:ascii="Arial" w:hAnsi="Arial" w:cs="Arial"/>
          <w:sz w:val="24"/>
          <w:szCs w:val="24"/>
        </w:rPr>
        <w:t xml:space="preserve">. </w:t>
      </w:r>
    </w:p>
    <w:p w14:paraId="2CA78FCA" w14:textId="1BB4F9DC" w:rsidR="00221D85" w:rsidRDefault="004C67E1" w:rsidP="00221D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F56466" wp14:editId="50E4AFCB">
            <wp:extent cx="5010150" cy="302895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AA26F4E-9E01-49A3-8A52-5F30387C77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t xml:space="preserve"> </w:t>
      </w:r>
    </w:p>
    <w:p w14:paraId="688D74F8" w14:textId="3E8D2784" w:rsidR="00221D85" w:rsidRPr="004C67E1" w:rsidRDefault="00221D85" w:rsidP="00E9323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 xml:space="preserve">ika </w:t>
      </w:r>
      <w:proofErr w:type="spellStart"/>
      <w:r>
        <w:rPr>
          <w:rFonts w:ascii="Arial" w:hAnsi="Arial" w:cs="Arial"/>
          <w:sz w:val="24"/>
          <w:szCs w:val="24"/>
        </w:rPr>
        <w:t>semakin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kecil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kartu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grafis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dikatakan</w:t>
      </w:r>
      <w:proofErr w:type="spellEnd"/>
      <w:r>
        <w:rPr>
          <w:rFonts w:ascii="Arial" w:hAnsi="Arial" w:cs="Arial"/>
          <w:sz w:val="24"/>
          <w:szCs w:val="24"/>
        </w:rPr>
        <w:t xml:space="preserve"> paling </w:t>
      </w:r>
      <w:proofErr w:type="spellStart"/>
      <w:r>
        <w:rPr>
          <w:rFonts w:ascii="Arial" w:hAnsi="Arial" w:cs="Arial"/>
          <w:sz w:val="24"/>
          <w:szCs w:val="24"/>
        </w:rPr>
        <w:t>efisien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penggunaan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r w:rsidR="004C67E1" w:rsidRPr="004C67E1">
        <w:rPr>
          <w:rFonts w:ascii="Arial" w:hAnsi="Arial" w:cs="Arial"/>
          <w:i/>
          <w:iCs/>
          <w:sz w:val="24"/>
          <w:szCs w:val="24"/>
        </w:rPr>
        <w:t>crypto</w:t>
      </w:r>
      <w:r w:rsidR="004C67E1">
        <w:rPr>
          <w:rFonts w:ascii="Arial" w:hAnsi="Arial" w:cs="Arial"/>
          <w:i/>
          <w:iCs/>
          <w:sz w:val="24"/>
          <w:szCs w:val="24"/>
        </w:rPr>
        <w:t xml:space="preserve"> </w:t>
      </w:r>
      <w:r w:rsidR="004C67E1" w:rsidRPr="004E0530">
        <w:rPr>
          <w:rFonts w:ascii="Arial" w:hAnsi="Arial" w:cs="Arial"/>
          <w:i/>
          <w:iCs/>
          <w:sz w:val="24"/>
          <w:szCs w:val="24"/>
        </w:rPr>
        <w:t>mining</w:t>
      </w:r>
      <w:r w:rsidR="004C67E1">
        <w:rPr>
          <w:rFonts w:ascii="Arial" w:hAnsi="Arial" w:cs="Arial"/>
          <w:i/>
          <w:iCs/>
          <w:sz w:val="24"/>
          <w:szCs w:val="24"/>
        </w:rPr>
        <w:t xml:space="preserve">. </w:t>
      </w:r>
      <w:proofErr w:type="spellStart"/>
      <w:r w:rsidR="004C67E1">
        <w:rPr>
          <w:rFonts w:ascii="Arial" w:hAnsi="Arial" w:cs="Arial"/>
          <w:sz w:val="24"/>
          <w:szCs w:val="24"/>
        </w:rPr>
        <w:t>Kartu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grafis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4C67E1">
        <w:rPr>
          <w:rFonts w:ascii="Arial" w:hAnsi="Arial" w:cs="Arial"/>
          <w:sz w:val="24"/>
          <w:szCs w:val="24"/>
        </w:rPr>
        <w:t>nilai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resultan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tertinggi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adalah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r w:rsidR="004C67E1" w:rsidRPr="004C67E1">
        <w:rPr>
          <w:rFonts w:ascii="Arial" w:hAnsi="Arial" w:cs="Arial"/>
          <w:sz w:val="24"/>
          <w:szCs w:val="24"/>
        </w:rPr>
        <w:t>GeForce RTX 3070 LHR</w:t>
      </w:r>
      <w:r w:rsidR="004C67E1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4C67E1">
        <w:rPr>
          <w:rFonts w:ascii="Arial" w:hAnsi="Arial" w:cs="Arial"/>
          <w:sz w:val="24"/>
          <w:szCs w:val="24"/>
        </w:rPr>
        <w:t>nilai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resultan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sebesar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29.80. </w:t>
      </w:r>
      <w:proofErr w:type="spellStart"/>
      <w:r w:rsidR="004C67E1">
        <w:rPr>
          <w:rFonts w:ascii="Arial" w:hAnsi="Arial" w:cs="Arial"/>
          <w:sz w:val="24"/>
          <w:szCs w:val="24"/>
        </w:rPr>
        <w:t>Kartu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grafis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4C67E1">
        <w:rPr>
          <w:rFonts w:ascii="Arial" w:hAnsi="Arial" w:cs="Arial"/>
          <w:sz w:val="24"/>
          <w:szCs w:val="24"/>
        </w:rPr>
        <w:t>nilai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resultan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terendah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adalah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r w:rsidR="004C67E1" w:rsidRPr="004C67E1">
        <w:rPr>
          <w:rFonts w:ascii="Arial" w:hAnsi="Arial" w:cs="Arial"/>
          <w:sz w:val="24"/>
          <w:szCs w:val="24"/>
        </w:rPr>
        <w:t>GeForce RTX 2080 Super</w:t>
      </w:r>
      <w:r w:rsidR="004C67E1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4C67E1">
        <w:rPr>
          <w:rFonts w:ascii="Arial" w:hAnsi="Arial" w:cs="Arial"/>
          <w:sz w:val="24"/>
          <w:szCs w:val="24"/>
        </w:rPr>
        <w:t>perolehan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nilai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sebesar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20,27. </w:t>
      </w:r>
      <w:proofErr w:type="spellStart"/>
      <w:r w:rsidR="004C67E1">
        <w:rPr>
          <w:rFonts w:ascii="Arial" w:hAnsi="Arial" w:cs="Arial"/>
          <w:sz w:val="24"/>
          <w:szCs w:val="24"/>
        </w:rPr>
        <w:t>Sehingga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kartu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grafis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="004C67E1">
        <w:rPr>
          <w:rFonts w:ascii="Arial" w:hAnsi="Arial" w:cs="Arial"/>
          <w:sz w:val="24"/>
          <w:szCs w:val="24"/>
        </w:rPr>
        <w:t>efisien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2589">
        <w:rPr>
          <w:rFonts w:ascii="Arial" w:hAnsi="Arial" w:cs="Arial"/>
          <w:sz w:val="24"/>
          <w:szCs w:val="24"/>
        </w:rPr>
        <w:t>untuk</w:t>
      </w:r>
      <w:proofErr w:type="spellEnd"/>
      <w:r w:rsidR="00A62589">
        <w:rPr>
          <w:rFonts w:ascii="Arial" w:hAnsi="Arial" w:cs="Arial"/>
          <w:sz w:val="24"/>
          <w:szCs w:val="24"/>
        </w:rPr>
        <w:t xml:space="preserve"> para </w:t>
      </w:r>
      <w:r w:rsidR="00A62589">
        <w:rPr>
          <w:rFonts w:ascii="Arial" w:hAnsi="Arial" w:cs="Arial"/>
          <w:i/>
          <w:iCs/>
          <w:sz w:val="24"/>
          <w:szCs w:val="24"/>
        </w:rPr>
        <w:t xml:space="preserve">miner </w:t>
      </w:r>
      <w:proofErr w:type="spellStart"/>
      <w:r w:rsidR="00A62589">
        <w:rPr>
          <w:rFonts w:ascii="Arial" w:hAnsi="Arial" w:cs="Arial"/>
          <w:sz w:val="24"/>
          <w:szCs w:val="24"/>
        </w:rPr>
        <w:t>dalam</w:t>
      </w:r>
      <w:proofErr w:type="spellEnd"/>
      <w:r w:rsidR="00A625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2589">
        <w:rPr>
          <w:rFonts w:ascii="Arial" w:hAnsi="Arial" w:cs="Arial"/>
          <w:sz w:val="24"/>
          <w:szCs w:val="24"/>
        </w:rPr>
        <w:t>melakukan</w:t>
      </w:r>
      <w:proofErr w:type="spellEnd"/>
      <w:r w:rsidR="00A625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2589">
        <w:rPr>
          <w:rFonts w:ascii="Arial" w:hAnsi="Arial" w:cs="Arial"/>
          <w:sz w:val="24"/>
          <w:szCs w:val="24"/>
        </w:rPr>
        <w:t>kegiatan</w:t>
      </w:r>
      <w:proofErr w:type="spellEnd"/>
      <w:r w:rsidR="00A62589">
        <w:rPr>
          <w:rFonts w:ascii="Arial" w:hAnsi="Arial" w:cs="Arial"/>
          <w:sz w:val="24"/>
          <w:szCs w:val="24"/>
        </w:rPr>
        <w:t xml:space="preserve"> </w:t>
      </w:r>
      <w:r w:rsidR="00A62589">
        <w:rPr>
          <w:rFonts w:ascii="Arial" w:hAnsi="Arial" w:cs="Arial"/>
          <w:i/>
          <w:iCs/>
          <w:sz w:val="24"/>
          <w:szCs w:val="24"/>
        </w:rPr>
        <w:t>crypto mining</w:t>
      </w:r>
      <w:r w:rsidR="003139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399B">
        <w:rPr>
          <w:rFonts w:ascii="Arial" w:hAnsi="Arial" w:cs="Arial"/>
          <w:sz w:val="24"/>
          <w:szCs w:val="24"/>
        </w:rPr>
        <w:t>adalah</w:t>
      </w:r>
      <w:proofErr w:type="spellEnd"/>
      <w:r w:rsidR="00A625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2589">
        <w:rPr>
          <w:rFonts w:ascii="Arial" w:hAnsi="Arial" w:cs="Arial"/>
          <w:sz w:val="24"/>
          <w:szCs w:val="24"/>
        </w:rPr>
        <w:t>kartu</w:t>
      </w:r>
      <w:proofErr w:type="spellEnd"/>
      <w:r w:rsidR="00A625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2589">
        <w:rPr>
          <w:rFonts w:ascii="Arial" w:hAnsi="Arial" w:cs="Arial"/>
          <w:sz w:val="24"/>
          <w:szCs w:val="24"/>
        </w:rPr>
        <w:t>grafis</w:t>
      </w:r>
      <w:proofErr w:type="spellEnd"/>
      <w:r w:rsidR="0031399B">
        <w:rPr>
          <w:rFonts w:ascii="Arial" w:hAnsi="Arial" w:cs="Arial"/>
          <w:sz w:val="24"/>
          <w:szCs w:val="24"/>
        </w:rPr>
        <w:t xml:space="preserve"> </w:t>
      </w:r>
      <w:r w:rsidR="0031399B" w:rsidRPr="004C67E1">
        <w:rPr>
          <w:rFonts w:ascii="Arial" w:hAnsi="Arial" w:cs="Arial"/>
          <w:sz w:val="24"/>
          <w:szCs w:val="24"/>
        </w:rPr>
        <w:t>GeForce RTX 2080 Super</w:t>
      </w:r>
      <w:r w:rsidR="0031399B">
        <w:rPr>
          <w:rFonts w:ascii="Arial" w:hAnsi="Arial" w:cs="Arial"/>
          <w:sz w:val="24"/>
          <w:szCs w:val="24"/>
        </w:rPr>
        <w:t>.</w:t>
      </w:r>
    </w:p>
    <w:sectPr w:rsidR="00221D85" w:rsidRPr="004C67E1" w:rsidSect="009B0063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47D"/>
    <w:multiLevelType w:val="hybridMultilevel"/>
    <w:tmpl w:val="E3BC6760"/>
    <w:lvl w:ilvl="0" w:tplc="5FD4D8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63"/>
    <w:rsid w:val="00020B73"/>
    <w:rsid w:val="00040D88"/>
    <w:rsid w:val="000C62A3"/>
    <w:rsid w:val="00221D85"/>
    <w:rsid w:val="002A4CDE"/>
    <w:rsid w:val="002A60D6"/>
    <w:rsid w:val="002C5E90"/>
    <w:rsid w:val="0031399B"/>
    <w:rsid w:val="00333C02"/>
    <w:rsid w:val="00387A20"/>
    <w:rsid w:val="003C41E4"/>
    <w:rsid w:val="00497342"/>
    <w:rsid w:val="004C67E1"/>
    <w:rsid w:val="004E0530"/>
    <w:rsid w:val="005B0096"/>
    <w:rsid w:val="006159B6"/>
    <w:rsid w:val="007D0EDA"/>
    <w:rsid w:val="0081386C"/>
    <w:rsid w:val="00824E6A"/>
    <w:rsid w:val="008B7649"/>
    <w:rsid w:val="008E455F"/>
    <w:rsid w:val="00953DE9"/>
    <w:rsid w:val="00954F8B"/>
    <w:rsid w:val="00964164"/>
    <w:rsid w:val="00973AA7"/>
    <w:rsid w:val="009B0063"/>
    <w:rsid w:val="009B3883"/>
    <w:rsid w:val="00A62589"/>
    <w:rsid w:val="00AB5675"/>
    <w:rsid w:val="00B05B28"/>
    <w:rsid w:val="00BB7CD3"/>
    <w:rsid w:val="00C3131E"/>
    <w:rsid w:val="00C82A46"/>
    <w:rsid w:val="00CB70C9"/>
    <w:rsid w:val="00CD164D"/>
    <w:rsid w:val="00E11E10"/>
    <w:rsid w:val="00E609CD"/>
    <w:rsid w:val="00E7788D"/>
    <w:rsid w:val="00E9323E"/>
    <w:rsid w:val="00EC512A"/>
    <w:rsid w:val="00F0523B"/>
    <w:rsid w:val="00F30DC1"/>
    <w:rsid w:val="00F5556D"/>
    <w:rsid w:val="00F859F3"/>
    <w:rsid w:val="00FC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789F"/>
  <w15:chartTrackingRefBased/>
  <w15:docId w15:val="{3DC43C45-19EE-435E-85BC-8928B2BA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Qornain\Materi%20Matkul\Sem%201\B.Indo%20dan%20P.%20Ilmiah\Tugas\UTS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Qornain\Materi%20Matkul\Sem%201\B.Indo%20dan%20P.%20Ilmiah\Tugas\UTS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Qornain\Materi%20Matkul\Sem%201\B.Indo%20dan%20P.%20Ilmiah\Tugas\UTS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Grafik Rasio Harga dengan Nilai Peforma dari Kartu Grafis dalam Dollar AS pada 2021 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801931554672171"/>
          <c:y val="0.23006369426751591"/>
          <c:w val="0.68969100221695601"/>
          <c:h val="0.4103248240466757"/>
        </c:manualLayout>
      </c:layout>
      <c:barChart>
        <c:barDir val="col"/>
        <c:grouping val="clustered"/>
        <c:varyColors val="0"/>
        <c:ser>
          <c:idx val="0"/>
          <c:order val="0"/>
          <c:tx>
            <c:v>Price to Performance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Sheet1!$A$32:$A$42</c:f>
              <c:strCache>
                <c:ptCount val="11"/>
                <c:pt idx="0">
                  <c:v>GeForce RTX 3070</c:v>
                </c:pt>
                <c:pt idx="1">
                  <c:v>GeForce RTX 2080 Super</c:v>
                </c:pt>
                <c:pt idx="2">
                  <c:v>Radeon RX 6800 XT</c:v>
                </c:pt>
                <c:pt idx="3">
                  <c:v>GeForce RTX 3060 LHR</c:v>
                </c:pt>
                <c:pt idx="4">
                  <c:v>GeForce RTX 3060 Ti LHR</c:v>
                </c:pt>
                <c:pt idx="5">
                  <c:v>GeForce RTX 3090</c:v>
                </c:pt>
                <c:pt idx="6">
                  <c:v>GeForce RTX 3070 Ti LHR</c:v>
                </c:pt>
                <c:pt idx="7">
                  <c:v>GeForce RTX 3080 Ti LHR</c:v>
                </c:pt>
                <c:pt idx="8">
                  <c:v>Radeon RX 6900 XT</c:v>
                </c:pt>
                <c:pt idx="9">
                  <c:v>GeForce RTX 3080 LHR</c:v>
                </c:pt>
                <c:pt idx="10">
                  <c:v>GeForce RTX 3070 LHR</c:v>
                </c:pt>
              </c:strCache>
              <c:extLst/>
            </c:strRef>
          </c:cat>
          <c:val>
            <c:numRef>
              <c:f>Sheet1!$H$32:$H$42</c:f>
              <c:numCache>
                <c:formatCode>"$"#,##0.00_);[Red]\("$"#,##0.00\)</c:formatCode>
                <c:ptCount val="11"/>
                <c:pt idx="0">
                  <c:v>19.641109298531813</c:v>
                </c:pt>
                <c:pt idx="1">
                  <c:v>19.111617312072894</c:v>
                </c:pt>
                <c:pt idx="2">
                  <c:v>19.814241486068113</c:v>
                </c:pt>
                <c:pt idx="3">
                  <c:v>20.794117647058822</c:v>
                </c:pt>
                <c:pt idx="4">
                  <c:v>21.60377358490566</c:v>
                </c:pt>
                <c:pt idx="5">
                  <c:v>22.782608695652176</c:v>
                </c:pt>
                <c:pt idx="6">
                  <c:v>22.882352941176471</c:v>
                </c:pt>
                <c:pt idx="7">
                  <c:v>24.415584415584416</c:v>
                </c:pt>
                <c:pt idx="8">
                  <c:v>25.077399380804955</c:v>
                </c:pt>
                <c:pt idx="9">
                  <c:v>25.319148936170215</c:v>
                </c:pt>
                <c:pt idx="10">
                  <c:v>28.065268065268068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05C5-4B6A-B089-236D59BF28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38483960"/>
        <c:axId val="638487568"/>
      </c:barChart>
      <c:catAx>
        <c:axId val="638483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487568"/>
        <c:crosses val="autoZero"/>
        <c:auto val="1"/>
        <c:lblAlgn val="ctr"/>
        <c:lblOffset val="100"/>
        <c:noMultiLvlLbl val="0"/>
      </c:catAx>
      <c:valAx>
        <c:axId val="63848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.00_);[Red]\(&quot;$&quot;#,##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483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806630481869369"/>
          <c:y val="0.55584900613537958"/>
          <c:w val="0.16639971459878194"/>
          <c:h val="0.1395971045020646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Grafik Rasio Harga dengan Konsumsi Energi dari Kartu Grafis dalam Dollar AS pada 2021 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172257279468294"/>
          <c:y val="0.25071726052753357"/>
          <c:w val="0.62967224042444214"/>
          <c:h val="0.35738776521514171"/>
        </c:manualLayout>
      </c:layout>
      <c:barChart>
        <c:barDir val="col"/>
        <c:grouping val="clustered"/>
        <c:varyColors val="0"/>
        <c:ser>
          <c:idx val="1"/>
          <c:order val="1"/>
          <c:tx>
            <c:v>Rasio Harga dengan Energy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Sheet1!$A$32:$A$42</c:f>
              <c:strCache>
                <c:ptCount val="11"/>
                <c:pt idx="0">
                  <c:v>GeForce RTX 3070</c:v>
                </c:pt>
                <c:pt idx="1">
                  <c:v>GeForce RTX 2080 Super</c:v>
                </c:pt>
                <c:pt idx="2">
                  <c:v>Radeon RX 6800 XT</c:v>
                </c:pt>
                <c:pt idx="3">
                  <c:v>GeForce RTX 3060 LHR</c:v>
                </c:pt>
                <c:pt idx="4">
                  <c:v>GeForce RTX 3060 Ti LHR</c:v>
                </c:pt>
                <c:pt idx="5">
                  <c:v>GeForce RTX 3090</c:v>
                </c:pt>
                <c:pt idx="6">
                  <c:v>GeForce RTX 3070 Ti LHR</c:v>
                </c:pt>
                <c:pt idx="7">
                  <c:v>GeForce RTX 3080 Ti LHR</c:v>
                </c:pt>
                <c:pt idx="8">
                  <c:v>Radeon RX 6900 XT</c:v>
                </c:pt>
                <c:pt idx="9">
                  <c:v>GeForce RTX 3080 LHR</c:v>
                </c:pt>
                <c:pt idx="10">
                  <c:v>GeForce RTX 3070 LHR</c:v>
                </c:pt>
              </c:strCache>
              <c:extLst/>
            </c:strRef>
          </c:cat>
          <c:val>
            <c:numRef>
              <c:f>Sheet1!$I$32:$I$42</c:f>
              <c:numCache>
                <c:formatCode>"$"#,##0.00_);[Red]\("$"#,##0.00\)</c:formatCode>
                <c:ptCount val="11"/>
                <c:pt idx="0">
                  <c:v>9.7886178861788622</c:v>
                </c:pt>
                <c:pt idx="1">
                  <c:v>6.7661290322580649</c:v>
                </c:pt>
                <c:pt idx="2">
                  <c:v>6.881720430107527</c:v>
                </c:pt>
                <c:pt idx="3">
                  <c:v>6.4272727272727277</c:v>
                </c:pt>
                <c:pt idx="4">
                  <c:v>8.0350877192982448</c:v>
                </c:pt>
                <c:pt idx="5">
                  <c:v>9.192982456140351</c:v>
                </c:pt>
                <c:pt idx="6">
                  <c:v>7.5290322580645164</c:v>
                </c:pt>
                <c:pt idx="7">
                  <c:v>8.545454545454545</c:v>
                </c:pt>
                <c:pt idx="8">
                  <c:v>8.8524590163934427</c:v>
                </c:pt>
                <c:pt idx="9">
                  <c:v>7.7488372093023257</c:v>
                </c:pt>
                <c:pt idx="10">
                  <c:v>10.033333333333333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7F32-439E-9C23-4BF1160ED9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38483960"/>
        <c:axId val="63848756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v>Rasio Harga dengan Peforma</c:v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Sheet1!$A$32:$A$42</c15:sqref>
                        </c15:formulaRef>
                      </c:ext>
                    </c:extLst>
                    <c:strCache>
                      <c:ptCount val="11"/>
                      <c:pt idx="0">
                        <c:v>GeForce RTX 3070</c:v>
                      </c:pt>
                      <c:pt idx="1">
                        <c:v>GeForce RTX 2080 Super</c:v>
                      </c:pt>
                      <c:pt idx="2">
                        <c:v>Radeon RX 6800 XT</c:v>
                      </c:pt>
                      <c:pt idx="3">
                        <c:v>GeForce RTX 3060 LHR</c:v>
                      </c:pt>
                      <c:pt idx="4">
                        <c:v>GeForce RTX 3060 Ti LHR</c:v>
                      </c:pt>
                      <c:pt idx="5">
                        <c:v>GeForce RTX 3090</c:v>
                      </c:pt>
                      <c:pt idx="6">
                        <c:v>GeForce RTX 3070 Ti LHR</c:v>
                      </c:pt>
                      <c:pt idx="7">
                        <c:v>GeForce RTX 3080 Ti LHR</c:v>
                      </c:pt>
                      <c:pt idx="8">
                        <c:v>Radeon RX 6900 XT</c:v>
                      </c:pt>
                      <c:pt idx="9">
                        <c:v>GeForce RTX 3080 LHR</c:v>
                      </c:pt>
                      <c:pt idx="10">
                        <c:v>GeForce RTX 3070 LHR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Sheet1!$H$32:$H$42</c15:sqref>
                        </c15:formulaRef>
                      </c:ext>
                    </c:extLst>
                    <c:numCache>
                      <c:formatCode>"$"#,##0.00_);[Red]\("$"#,##0.00\)</c:formatCode>
                      <c:ptCount val="11"/>
                      <c:pt idx="0">
                        <c:v>19.641109298531813</c:v>
                      </c:pt>
                      <c:pt idx="1">
                        <c:v>19.111617312072894</c:v>
                      </c:pt>
                      <c:pt idx="2">
                        <c:v>19.814241486068113</c:v>
                      </c:pt>
                      <c:pt idx="3">
                        <c:v>20.794117647058822</c:v>
                      </c:pt>
                      <c:pt idx="4">
                        <c:v>21.60377358490566</c:v>
                      </c:pt>
                      <c:pt idx="5">
                        <c:v>22.782608695652176</c:v>
                      </c:pt>
                      <c:pt idx="6">
                        <c:v>22.882352941176471</c:v>
                      </c:pt>
                      <c:pt idx="7">
                        <c:v>24.415584415584416</c:v>
                      </c:pt>
                      <c:pt idx="8">
                        <c:v>25.077399380804955</c:v>
                      </c:pt>
                      <c:pt idx="9">
                        <c:v>25.319148936170215</c:v>
                      </c:pt>
                      <c:pt idx="10">
                        <c:v>28.065268065268068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7F32-439E-9C23-4BF1160ED99A}"/>
                  </c:ext>
                </c:extLst>
              </c15:ser>
            </c15:filteredBarSeries>
          </c:ext>
        </c:extLst>
      </c:barChart>
      <c:catAx>
        <c:axId val="638483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487568"/>
        <c:crosses val="autoZero"/>
        <c:auto val="1"/>
        <c:lblAlgn val="ctr"/>
        <c:lblOffset val="100"/>
        <c:noMultiLvlLbl val="0"/>
      </c:catAx>
      <c:valAx>
        <c:axId val="63848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.00_);[Red]\(&quot;$&quot;#,##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483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968096154118015"/>
          <c:y val="0.56086275309986988"/>
          <c:w val="0.21374674181470998"/>
          <c:h val="0.1660116525230736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Grafik Kartu Grafis Palin</a:t>
            </a:r>
            <a:r>
              <a:rPr lang="en-US" baseline="0"/>
              <a:t>g Efisien pada 2021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v>Resultan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Sheet1!$A$32:$A$42</c:f>
              <c:strCache>
                <c:ptCount val="11"/>
                <c:pt idx="0">
                  <c:v>GeForce RTX 3070</c:v>
                </c:pt>
                <c:pt idx="1">
                  <c:v>GeForce RTX 2080 Super</c:v>
                </c:pt>
                <c:pt idx="2">
                  <c:v>Radeon RX 6800 XT</c:v>
                </c:pt>
                <c:pt idx="3">
                  <c:v>GeForce RTX 3060 LHR</c:v>
                </c:pt>
                <c:pt idx="4">
                  <c:v>GeForce RTX 3060 Ti LHR</c:v>
                </c:pt>
                <c:pt idx="5">
                  <c:v>GeForce RTX 3090</c:v>
                </c:pt>
                <c:pt idx="6">
                  <c:v>GeForce RTX 3070 Ti LHR</c:v>
                </c:pt>
                <c:pt idx="7">
                  <c:v>GeForce RTX 3080 Ti LHR</c:v>
                </c:pt>
                <c:pt idx="8">
                  <c:v>Radeon RX 6900 XT</c:v>
                </c:pt>
                <c:pt idx="9">
                  <c:v>GeForce RTX 3080 LHR</c:v>
                </c:pt>
                <c:pt idx="10">
                  <c:v>GeForce RTX 3070 LHR</c:v>
                </c:pt>
              </c:strCache>
              <c:extLst/>
            </c:strRef>
          </c:cat>
          <c:val>
            <c:numRef>
              <c:f>Sheet1!$L$32:$L$42</c:f>
              <c:numCache>
                <c:formatCode>"$"#,##0.00_);[Red]\("$"#,##0.00\)</c:formatCode>
                <c:ptCount val="11"/>
                <c:pt idx="0">
                  <c:v>21.94516380887811</c:v>
                </c:pt>
                <c:pt idx="1">
                  <c:v>20.273983781296902</c:v>
                </c:pt>
                <c:pt idx="2">
                  <c:v>20.975276917036926</c:v>
                </c:pt>
                <c:pt idx="3">
                  <c:v>21.764768857731223</c:v>
                </c:pt>
                <c:pt idx="4">
                  <c:v>23.049634872697769</c:v>
                </c:pt>
                <c:pt idx="5">
                  <c:v>24.567421220350141</c:v>
                </c:pt>
                <c:pt idx="6">
                  <c:v>24.089176052068357</c:v>
                </c:pt>
                <c:pt idx="7">
                  <c:v>25.86784791479489</c:v>
                </c:pt>
                <c:pt idx="8">
                  <c:v>26.594021703031725</c:v>
                </c:pt>
                <c:pt idx="9">
                  <c:v>26.478364393372896</c:v>
                </c:pt>
                <c:pt idx="10">
                  <c:v>29.804815875175834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D713-48B7-B87F-9710CE1725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38483960"/>
        <c:axId val="63848756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v>Rasio Harga dengan Peforma</c:v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Sheet1!$A$32:$A$42</c15:sqref>
                        </c15:formulaRef>
                      </c:ext>
                    </c:extLst>
                    <c:strCache>
                      <c:ptCount val="11"/>
                      <c:pt idx="0">
                        <c:v>GeForce RTX 3070</c:v>
                      </c:pt>
                      <c:pt idx="1">
                        <c:v>GeForce RTX 2080 Super</c:v>
                      </c:pt>
                      <c:pt idx="2">
                        <c:v>Radeon RX 6800 XT</c:v>
                      </c:pt>
                      <c:pt idx="3">
                        <c:v>GeForce RTX 3060 LHR</c:v>
                      </c:pt>
                      <c:pt idx="4">
                        <c:v>GeForce RTX 3060 Ti LHR</c:v>
                      </c:pt>
                      <c:pt idx="5">
                        <c:v>GeForce RTX 3090</c:v>
                      </c:pt>
                      <c:pt idx="6">
                        <c:v>GeForce RTX 3070 Ti LHR</c:v>
                      </c:pt>
                      <c:pt idx="7">
                        <c:v>GeForce RTX 3080 Ti LHR</c:v>
                      </c:pt>
                      <c:pt idx="8">
                        <c:v>Radeon RX 6900 XT</c:v>
                      </c:pt>
                      <c:pt idx="9">
                        <c:v>GeForce RTX 3080 LHR</c:v>
                      </c:pt>
                      <c:pt idx="10">
                        <c:v>GeForce RTX 3070 LHR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Sheet1!$H$32:$H$42</c15:sqref>
                        </c15:formulaRef>
                      </c:ext>
                    </c:extLst>
                    <c:numCache>
                      <c:formatCode>"$"#,##0.00_);[Red]\("$"#,##0.00\)</c:formatCode>
                      <c:ptCount val="11"/>
                      <c:pt idx="0">
                        <c:v>19.641109298531813</c:v>
                      </c:pt>
                      <c:pt idx="1">
                        <c:v>19.111617312072894</c:v>
                      </c:pt>
                      <c:pt idx="2">
                        <c:v>19.814241486068113</c:v>
                      </c:pt>
                      <c:pt idx="3">
                        <c:v>20.794117647058822</c:v>
                      </c:pt>
                      <c:pt idx="4">
                        <c:v>21.60377358490566</c:v>
                      </c:pt>
                      <c:pt idx="5">
                        <c:v>22.782608695652176</c:v>
                      </c:pt>
                      <c:pt idx="6">
                        <c:v>22.882352941176471</c:v>
                      </c:pt>
                      <c:pt idx="7">
                        <c:v>24.415584415584416</c:v>
                      </c:pt>
                      <c:pt idx="8">
                        <c:v>25.077399380804955</c:v>
                      </c:pt>
                      <c:pt idx="9">
                        <c:v>25.319148936170215</c:v>
                      </c:pt>
                      <c:pt idx="10">
                        <c:v>28.065268065268068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D713-48B7-B87F-9710CE172587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v>Rasio Harga dengan Energy</c:v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Sheet1!$A$32:$A$42</c15:sqref>
                        </c15:formulaRef>
                      </c:ext>
                    </c:extLst>
                    <c:strCache>
                      <c:ptCount val="11"/>
                      <c:pt idx="0">
                        <c:v>GeForce RTX 3070</c:v>
                      </c:pt>
                      <c:pt idx="1">
                        <c:v>GeForce RTX 2080 Super</c:v>
                      </c:pt>
                      <c:pt idx="2">
                        <c:v>Radeon RX 6800 XT</c:v>
                      </c:pt>
                      <c:pt idx="3">
                        <c:v>GeForce RTX 3060 LHR</c:v>
                      </c:pt>
                      <c:pt idx="4">
                        <c:v>GeForce RTX 3060 Ti LHR</c:v>
                      </c:pt>
                      <c:pt idx="5">
                        <c:v>GeForce RTX 3090</c:v>
                      </c:pt>
                      <c:pt idx="6">
                        <c:v>GeForce RTX 3070 Ti LHR</c:v>
                      </c:pt>
                      <c:pt idx="7">
                        <c:v>GeForce RTX 3080 Ti LHR</c:v>
                      </c:pt>
                      <c:pt idx="8">
                        <c:v>Radeon RX 6900 XT</c:v>
                      </c:pt>
                      <c:pt idx="9">
                        <c:v>GeForce RTX 3080 LHR</c:v>
                      </c:pt>
                      <c:pt idx="10">
                        <c:v>GeForce RTX 3070 LHR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Sheet1!$I$32:$I$42</c15:sqref>
                        </c15:formulaRef>
                      </c:ext>
                    </c:extLst>
                    <c:numCache>
                      <c:formatCode>"$"#,##0.00_);[Red]\("$"#,##0.00\)</c:formatCode>
                      <c:ptCount val="11"/>
                      <c:pt idx="0">
                        <c:v>9.7886178861788622</c:v>
                      </c:pt>
                      <c:pt idx="1">
                        <c:v>6.7661290322580649</c:v>
                      </c:pt>
                      <c:pt idx="2">
                        <c:v>6.881720430107527</c:v>
                      </c:pt>
                      <c:pt idx="3">
                        <c:v>6.4272727272727277</c:v>
                      </c:pt>
                      <c:pt idx="4">
                        <c:v>8.0350877192982448</c:v>
                      </c:pt>
                      <c:pt idx="5">
                        <c:v>9.192982456140351</c:v>
                      </c:pt>
                      <c:pt idx="6">
                        <c:v>7.5290322580645164</c:v>
                      </c:pt>
                      <c:pt idx="7">
                        <c:v>8.545454545454545</c:v>
                      </c:pt>
                      <c:pt idx="8">
                        <c:v>8.8524590163934427</c:v>
                      </c:pt>
                      <c:pt idx="9">
                        <c:v>7.7488372093023257</c:v>
                      </c:pt>
                      <c:pt idx="10">
                        <c:v>10.033333333333333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D713-48B7-B87F-9710CE172587}"/>
                  </c:ext>
                </c:extLst>
              </c15:ser>
            </c15:filteredBarSeries>
          </c:ext>
        </c:extLst>
      </c:barChart>
      <c:catAx>
        <c:axId val="638483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487568"/>
        <c:crosses val="autoZero"/>
        <c:auto val="1"/>
        <c:lblAlgn val="ctr"/>
        <c:lblOffset val="100"/>
        <c:noMultiLvlLbl val="0"/>
      </c:catAx>
      <c:valAx>
        <c:axId val="63848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_);[Red]\(#,##0.0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483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5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qornain.aji</dc:creator>
  <cp:keywords/>
  <dc:description/>
  <cp:lastModifiedBy>qornain.aji</cp:lastModifiedBy>
  <cp:revision>16</cp:revision>
  <dcterms:created xsi:type="dcterms:W3CDTF">2021-10-01T03:39:00Z</dcterms:created>
  <dcterms:modified xsi:type="dcterms:W3CDTF">2021-10-01T18:46:00Z</dcterms:modified>
</cp:coreProperties>
</file>