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0"/>
        <w:jc w:val="center"/>
      </w:pPr>
      <w:r>
        <w:rPr>
          <w:rFonts w:ascii="Calibri" w:cs="Calibri" w:eastAsia="Calibri" w:hAnsi="Calibri"/>
          <w:b/>
          <w:bCs/>
          <w:i w:val="false"/>
          <w:iCs w:val="false"/>
          <w:sz w:val="30"/>
          <w:szCs w:val="30"/>
        </w:rPr>
        <w:t xml:space="preserve">Response to Reviewer's Comments</w:t>
      </w:r>
    </w:p>
    <w:p>
      <w:pPr>
        <w:spacing w:after="200" w:before="0" w:line="260"/>
        <w:jc w:val="center"/>
      </w:pPr>
      <w:r>
        <w:rPr>
          <w:rFonts w:ascii="Calibri" w:cs="Calibri" w:eastAsia="Calibri" w:hAnsi="Calibri"/>
          <w:b/>
          <w:bCs/>
          <w:i w:val="false"/>
          <w:iCs w:val="false"/>
          <w:sz w:val="26"/>
          <w:szCs w:val="26"/>
        </w:rPr>
        <w:t xml:space="preserve">Reviewer 2</w:t>
      </w:r>
    </w:p>
    <w:p>
      <w:pPr>
        <w:spacing w:after="60" w:before="0" w:line="260"/>
        <w:jc w:val="left"/>
      </w:pPr>
      <w:r>
        <w:rPr>
          <w:rFonts w:ascii="Calibri" w:cs="Calibri" w:eastAsia="Calibri" w:hAnsi="Calibri"/>
          <w:b/>
          <w:bCs/>
          <w:i w:val="false"/>
          <w:iCs w:val="false"/>
          <w:sz w:val="20"/>
          <w:szCs w:val="20"/>
        </w:rPr>
        <w:t xml:space="preserve">Paper ID: </w:t>
      </w:r>
      <w:r>
        <w:rPr>
          <w:rFonts w:ascii="Calibri" w:cs="Calibri" w:eastAsia="Calibri" w:hAnsi="Calibri"/>
          <w:b w:val="false"/>
          <w:bCs w:val="false"/>
          <w:i w:val="false"/>
          <w:iCs w:val="false"/>
          <w:sz w:val="20"/>
          <w:szCs w:val="20"/>
        </w:rPr>
        <w:t xml:space="preserve">#17 (1571278052)</w:t>
      </w:r>
    </w:p>
    <w:p>
      <w:pPr>
        <w:spacing w:after="60" w:before="0" w:line="260"/>
        <w:jc w:val="left"/>
      </w:pPr>
      <w:r>
        <w:rPr>
          <w:rFonts w:ascii="Calibri" w:cs="Calibri" w:eastAsia="Calibri" w:hAnsi="Calibri"/>
          <w:b/>
          <w:bCs/>
          <w:i w:val="false"/>
          <w:iCs w:val="false"/>
          <w:sz w:val="20"/>
          <w:szCs w:val="20"/>
        </w:rPr>
        <w:t xml:space="preserve">Title: </w:t>
      </w:r>
      <w:r>
        <w:rPr>
          <w:rFonts w:ascii="Calibri" w:cs="Calibri" w:eastAsia="Calibri" w:hAnsi="Calibri"/>
          <w:b w:val="false"/>
          <w:bCs w:val="false"/>
          <w:i w:val="false"/>
          <w:iCs w:val="false"/>
          <w:sz w:val="20"/>
          <w:szCs w:val="20"/>
        </w:rPr>
        <w:t xml:space="preserve">Enhancing Pedagogical Feedback Quality of Large Language Models via Learning Analytics in a Kanban-Based Platform for Student Self-Regulated Learning Support</w:t>
      </w:r>
    </w:p>
    <w:p>
      <w:pPr>
        <w:spacing w:after="60" w:before="0" w:line="260"/>
        <w:jc w:val="left"/>
      </w:pPr>
      <w:r>
        <w:rPr>
          <w:rFonts w:ascii="Calibri" w:cs="Calibri" w:eastAsia="Calibri" w:hAnsi="Calibri"/>
          <w:b/>
          <w:bCs/>
          <w:i w:val="false"/>
          <w:iCs w:val="false"/>
          <w:sz w:val="20"/>
          <w:szCs w:val="20"/>
        </w:rPr>
        <w:t xml:space="preserve">Authors: </w:t>
      </w:r>
      <w:r>
        <w:rPr>
          <w:rFonts w:ascii="Calibri" w:cs="Calibri" w:eastAsia="Calibri" w:hAnsi="Calibri"/>
          <w:b w:val="false"/>
          <w:bCs w:val="false"/>
          <w:i w:val="false"/>
          <w:iCs w:val="false"/>
          <w:sz w:val="20"/>
          <w:szCs w:val="20"/>
        </w:rPr>
        <w:t xml:space="preserve">Qornain Aji, Indriana Hidayah, and Syukron Abu Ishaq Alfarozi (Universitas Gadjah Mada, Indonesia)</w:t>
      </w:r>
    </w:p>
    <w:p>
      <w:pPr>
        <w:spacing w:after="160" w:before="0" w:line="260"/>
        <w:jc w:val="left"/>
      </w:pPr>
      <w:r>
        <w:rPr>
          <w:rFonts w:ascii="Calibri" w:cs="Calibri" w:eastAsia="Calibri" w:hAnsi="Calibri"/>
          <w:b/>
          <w:bCs/>
          <w:i w:val="false"/>
          <w:iCs w:val="false"/>
          <w:sz w:val="20"/>
          <w:szCs w:val="20"/>
        </w:rPr>
        <w:t xml:space="preserve">Conference: </w:t>
      </w:r>
      <w:r>
        <w:rPr>
          <w:rFonts w:ascii="Calibri" w:cs="Calibri" w:eastAsia="Calibri" w:hAnsi="Calibri"/>
          <w:b w:val="false"/>
          <w:bCs w:val="false"/>
          <w:i w:val="false"/>
          <w:iCs w:val="false"/>
          <w:sz w:val="20"/>
          <w:szCs w:val="20"/>
        </w:rPr>
        <w:t xml:space="preserve">2026 18th International Conference on Information Technology and Electrical Engineering (ICITEE), Signal Processing and Machine Intelligence track</w:t>
      </w:r>
    </w:p>
    <w:p>
      <w:pPr>
        <w:spacing w:after="200" w:before="0" w:line="260"/>
        <w:jc w:val="left"/>
      </w:pPr>
      <w:r>
        <w:rPr>
          <w:rFonts w:ascii="Calibri" w:cs="Calibri" w:eastAsia="Calibri" w:hAnsi="Calibri"/>
          <w:b/>
          <w:bCs/>
          <w:i w:val="false"/>
          <w:iCs w:val="false"/>
          <w:sz w:val="20"/>
          <w:szCs w:val="20"/>
        </w:rPr>
        <w:t xml:space="preserve">Reviewer ratings: </w:t>
      </w:r>
      <w:r>
        <w:rPr>
          <w:rFonts w:ascii="Calibri" w:cs="Calibri" w:eastAsia="Calibri" w:hAnsi="Calibri"/>
          <w:b w:val="false"/>
          <w:bCs w:val="false"/>
          <w:i/>
          <w:iCs/>
          <w:sz w:val="20"/>
          <w:szCs w:val="20"/>
        </w:rPr>
        <w:t xml:space="preserve">Relevance and timeliness: Good (4)  |  Technical content and scientific rigour: Solid work of notable importance (4)  |  Novelty and originality: Some interesting ideas and results on a subject well investigated (3)  |  Quality of presentation: Well written (4)</w:t>
      </w:r>
    </w:p>
    <w:p>
      <w:pPr>
        <w:spacing w:after="220" w:before="0" w:line="260"/>
        <w:jc w:val="left"/>
      </w:pPr>
      <w:r>
        <w:rPr>
          <w:rFonts w:ascii="Calibri" w:cs="Calibri" w:eastAsia="Calibri" w:hAnsi="Calibri"/>
          <w:b w:val="false"/>
          <w:bCs w:val="false"/>
          <w:i w:val="false"/>
          <w:iCs w:val="false"/>
          <w:sz w:val="20"/>
          <w:szCs w:val="20"/>
        </w:rPr>
        <w:t xml:space="preserve">We thank the reviewer for the careful and constructive assessment of our manuscript. Each comment is addressed below, with the corresponding revision quoted from the revised manuscript and its location indicated. All revisions were made within the six-page camera-ready limit.</w:t>
      </w:r>
    </w:p>
    <w:tbl>
      <w:tblPr>
        <w:tblW w:type="dxa" w:w="9746"/>
        <w:tblBorders>
          <w:top w:val="single" w:color="7F7F7F" w:sz="6"/>
          <w:left w:val="single" w:color="7F7F7F" w:sz="6"/>
          <w:bottom w:val="single" w:color="7F7F7F" w:sz="6"/>
          <w:right w:val="single" w:color="7F7F7F" w:sz="6"/>
          <w:insideH w:val="single" w:color="A6A6A6" w:sz="4"/>
          <w:insideV w:val="single" w:color="A6A6A6" w:sz="4"/>
        </w:tblBorders>
      </w:tblPr>
      <w:tblGrid>
        <w:gridCol w:w="620"/>
        <w:gridCol w:w="4180"/>
        <w:gridCol w:w="4946"/>
      </w:tblGrid>
      <w:tr>
        <w:trPr>
          <w:tblHeader/>
        </w:trPr>
        <w:tc>
          <w:tcPr>
            <w:tcW w:type="dxa" w:w="620"/>
            <w:shd w:fill="D9E2F3"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No.</w:t>
            </w:r>
          </w:p>
        </w:tc>
        <w:tc>
          <w:tcPr>
            <w:tcW w:type="dxa" w:w="4180"/>
            <w:shd w:fill="D9E2F3"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Reviewer's Comment</w:t>
            </w:r>
          </w:p>
        </w:tc>
        <w:tc>
          <w:tcPr>
            <w:tcW w:type="dxa" w:w="4946"/>
            <w:shd w:fill="D9E2F3"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Author's Response and Revision Made</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1</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References and DOI</w:t>
            </w:r>
          </w:p>
          <w:p>
            <w:pPr>
              <w:spacing w:after="40" w:before="80" w:line="260"/>
              <w:jc w:val="left"/>
            </w:pPr>
            <w:r>
              <w:rPr>
                <w:rFonts w:ascii="Calibri" w:cs="Calibri" w:eastAsia="Calibri" w:hAnsi="Calibri"/>
                <w:b w:val="false"/>
                <w:bCs w:val="false"/>
                <w:i/>
                <w:iCs/>
                <w:sz w:val="20"/>
                <w:szCs w:val="20"/>
              </w:rPr>
              <w:t xml:space="preserve">“The author is encouraged to include a DOI for every reference to ensure traceability and ease of verification for each source.”</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Implemented as far as the sources permit. Addressing this comment revealed two separate problems, both of which have been fixed.</w:t>
            </w:r>
          </w:p>
          <w:p>
            <w:pPr>
              <w:spacing w:after="40" w:before="80" w:line="260"/>
              <w:jc w:val="left"/>
            </w:pPr>
            <w:r>
              <w:rPr>
                <w:rFonts w:ascii="Calibri" w:cs="Calibri" w:eastAsia="Calibri" w:hAnsi="Calibri"/>
                <w:b w:val="false"/>
                <w:bCs w:val="false"/>
                <w:i w:val="false"/>
                <w:iCs w:val="false"/>
                <w:sz w:val="20"/>
                <w:szCs w:val="20"/>
              </w:rPr>
              <w:t xml:space="preserve">First, several references already carried DOI information in our bibliography database, but the DOIs were not appearing in the compiled PDF because the bibliography style in use does not render the DOI field. The entries were corrected so that the DOI is now displayed for every reference that has one.</w:t>
            </w:r>
          </w:p>
          <w:p>
            <w:pPr>
              <w:spacing w:after="40" w:before="80" w:line="260"/>
              <w:jc w:val="left"/>
            </w:pPr>
            <w:r>
              <w:rPr>
                <w:rFonts w:ascii="Calibri" w:cs="Calibri" w:eastAsia="Calibri" w:hAnsi="Calibri"/>
                <w:b w:val="false"/>
                <w:bCs w:val="false"/>
                <w:i w:val="false"/>
                <w:iCs w:val="false"/>
                <w:sz w:val="20"/>
                <w:szCs w:val="20"/>
              </w:rPr>
              <w:t xml:space="preserve">Second, missing DOIs were looked up and added, including DOIs registered under arXiv (via arXiv’s DOI program), ACL Anthology, and Zenodo for preprints and proceedings that mint one. In the revised manuscript, 24 of the 25 cited references now display a DOI.</w:t>
            </w:r>
          </w:p>
          <w:p>
            <w:pPr>
              <w:spacing w:after="40" w:before="80" w:line="260"/>
              <w:jc w:val="left"/>
            </w:pPr>
            <w:r>
              <w:rPr>
                <w:rFonts w:ascii="Calibri" w:cs="Calibri" w:eastAsia="Calibri" w:hAnsi="Calibri"/>
                <w:b w:val="false"/>
                <w:bCs w:val="false"/>
                <w:i w:val="false"/>
                <w:iCs w:val="false"/>
                <w:sz w:val="20"/>
                <w:szCs w:val="20"/>
              </w:rPr>
              <w:t xml:space="preserve">The single remaining source without a DOI is a vendor pricing page (Groq API Pricing), which is not an academic work and has no registered DOI. We deliberately did not invent an identifier for it, and instead retained its URL so the source remains traceable.</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2</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Fig. 1, diagram clarity</w:t>
            </w:r>
          </w:p>
          <w:p>
            <w:pPr>
              <w:spacing w:after="40" w:before="80" w:line="260"/>
              <w:jc w:val="left"/>
            </w:pPr>
            <w:r>
              <w:rPr>
                <w:rFonts w:ascii="Calibri" w:cs="Calibri" w:eastAsia="Calibri" w:hAnsi="Calibri"/>
                <w:b w:val="false"/>
                <w:bCs w:val="false"/>
                <w:i/>
                <w:iCs/>
                <w:sz w:val="20"/>
                <w:szCs w:val="20"/>
              </w:rPr>
              <w:t xml:space="preserve">“The direction of the arrow between “Feedback Agent” and the C1 to C5 block is unclear: the brace connecting them has no explicit arrowhead ... Please add an explicit arrowhead and/or a short label (e.g., “composes prompt”) to remain consistent with the flowchart notation already used elsewhere in the same figure.”</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Implemented. Figure 1 has been redrawn so that the connector between the Feedback Agent and the C1 to C5 block now carries an explicit arrowhead, and its direction is labelled.</w:t>
            </w:r>
          </w:p>
          <w:p>
            <w:pPr>
              <w:spacing w:after="40" w:before="80" w:line="260"/>
              <w:jc w:val="left"/>
            </w:pPr>
            <w:r>
              <w:rPr>
                <w:rFonts w:ascii="Calibri" w:cs="Calibri" w:eastAsia="Calibri" w:hAnsi="Calibri"/>
                <w:b w:val="false"/>
                <w:bCs w:val="false"/>
                <w:i w:val="false"/>
                <w:iCs w:val="false"/>
                <w:sz w:val="20"/>
                <w:szCs w:val="20"/>
              </w:rPr>
              <w:t xml:space="preserve">The ambiguity the reviewer identified is therefore resolved: it is now unambiguous that C1 to C5 are components composed into the agent's prompt, and not outputs produced by the agent. The notation is now consistent with the sequential arrows used elsewhere in the same figure.</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3</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Statistical significance testing</w:t>
            </w:r>
          </w:p>
          <w:p>
            <w:pPr>
              <w:spacing w:after="40" w:before="80" w:line="260"/>
              <w:jc w:val="left"/>
            </w:pPr>
            <w:r>
              <w:rPr>
                <w:rFonts w:ascii="Calibri" w:cs="Calibri" w:eastAsia="Calibri" w:hAnsi="Calibri"/>
                <w:b w:val="false"/>
                <w:bCs w:val="false"/>
                <w:i/>
                <w:iCs/>
                <w:sz w:val="20"/>
                <w:szCs w:val="20"/>
              </w:rPr>
              <w:t xml:space="preserve">“Without a statistical test (e.g., paired t-test or bootstrap confidence interval) comparing each context engineering scheme against the baseline, there is no basis to determine whether these differences are statistically meaningful or fall within the range of random variation ... particularly given that the paper's central finding ... rests on comparisons of relatively small numeric differences.”</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We accept this criticism. Within the six-page camera-ready limit we could not add a full statistical testing section without removing substantive content, so we addressed the underlying concern in the way available to us: we reduced the claims to match the evidence, so that the central finding no longer rests on the small numeric differences the reviewer identifies.</w:t>
            </w:r>
          </w:p>
          <w:p>
            <w:pPr>
              <w:spacing w:after="40" w:before="80" w:line="260"/>
              <w:jc w:val="left"/>
            </w:pPr>
            <w:r>
              <w:rPr>
                <w:rFonts w:ascii="Calibri" w:cs="Calibri" w:eastAsia="Calibri" w:hAnsi="Calibri"/>
                <w:b/>
                <w:bCs/>
                <w:i w:val="false"/>
                <w:iCs w:val="false"/>
                <w:sz w:val="20"/>
                <w:szCs w:val="20"/>
              </w:rPr>
              <w:t xml:space="preserve">Revised text (Discussion): </w:t>
            </w:r>
            <w:r>
              <w:rPr>
                <w:rFonts w:ascii="Calibri" w:cs="Calibri" w:eastAsia="Calibri" w:hAnsi="Calibri"/>
                <w:b w:val="false"/>
                <w:bCs w:val="false"/>
                <w:i/>
                <w:iCs/>
                <w:sz w:val="20"/>
                <w:szCs w:val="20"/>
              </w:rPr>
              <w:t xml:space="preserve">“The narrow BERTScore and BARTScore margins, by contrast, should be read as exploratory: this study reports no statistical significance testing, so differences of that magnitude cannot be separated from run-to-run variance, and only the larger LLM-as-a-Judge and expert-rated differences support cautious interpretation.”</w:t>
            </w:r>
          </w:p>
          <w:p>
            <w:pPr>
              <w:spacing w:after="40" w:before="80" w:line="260"/>
              <w:jc w:val="left"/>
            </w:pPr>
            <w:r>
              <w:rPr>
                <w:rFonts w:ascii="Calibri" w:cs="Calibri" w:eastAsia="Calibri" w:hAnsi="Calibri"/>
                <w:b w:val="false"/>
                <w:bCs w:val="false"/>
                <w:i w:val="false"/>
                <w:iCs w:val="false"/>
                <w:sz w:val="20"/>
                <w:szCs w:val="20"/>
              </w:rPr>
              <w:t xml:space="preserve">Regarding the specific example the reviewer raises, the +0.075 F1 gain is the LLM-as-a-Judge margin, which is the largest effect we observe and is an order of magnitude larger than the BERTScore margin (+0.0055). The revised manuscript now interprets only the former and explicitly labels the latter as exploratory. The size-dependent finding is additionally corroborated by the independent expert validation, which does not depend on these numeric margins.</w:t>
            </w:r>
          </w:p>
          <w:p>
            <w:pPr>
              <w:spacing w:after="40" w:before="80" w:line="260"/>
              <w:jc w:val="left"/>
            </w:pPr>
            <w:r>
              <w:rPr>
                <w:rFonts w:ascii="Calibri" w:cs="Calibri" w:eastAsia="Calibri" w:hAnsi="Calibri"/>
                <w:b w:val="false"/>
                <w:bCs w:val="false"/>
                <w:i w:val="false"/>
                <w:iCs w:val="false"/>
                <w:sz w:val="20"/>
                <w:szCs w:val="20"/>
              </w:rPr>
              <w:t xml:space="preserve">The tests the reviewer names are adopted verbatim as the committed next step.</w:t>
            </w:r>
          </w:p>
          <w:p>
            <w:pPr>
              <w:spacing w:after="40" w:before="80" w:line="260"/>
              <w:jc w:val="left"/>
            </w:pPr>
            <w:r>
              <w:rPr>
                <w:rFonts w:ascii="Calibri" w:cs="Calibri" w:eastAsia="Calibri" w:hAnsi="Calibri"/>
                <w:b/>
                <w:bCs/>
                <w:i w:val="false"/>
                <w:iCs w:val="false"/>
                <w:sz w:val="20"/>
                <w:szCs w:val="20"/>
              </w:rPr>
              <w:t xml:space="preserve">Revised text (Future Work): </w:t>
            </w:r>
            <w:r>
              <w:rPr>
                <w:rFonts w:ascii="Calibri" w:cs="Calibri" w:eastAsia="Calibri" w:hAnsi="Calibri"/>
                <w:b w:val="false"/>
                <w:bCs w:val="false"/>
                <w:i/>
                <w:iCs/>
                <w:sz w:val="20"/>
                <w:szCs w:val="20"/>
              </w:rPr>
              <w:t xml:space="preserve">“apply paired significance testing over per-instance scores (paired t-test or Wilcoxon signed-rank with bootstrap confidence intervals) to establish which margins are reliable”</w:t>
            </w:r>
          </w:p>
        </w:tc>
      </w:tr>
    </w:tbl>
    <w:p>
      <w:pPr>
        <w:spacing w:after="160" w:before="0" w:line="260"/>
        <w:jc w:val="left"/>
      </w:pPr>
      <w:r>
        <w:rPr>
          <w:rFonts w:ascii="Calibri" w:cs="Calibri" w:eastAsia="Calibri" w:hAnsi="Calibri"/>
          <w:b w:val="false"/>
          <w:bCs w:val="false"/>
          <w:i w:val="false"/>
          <w:iCs w:val="false"/>
          <w:sz w:val="20"/>
          <w:szCs w:val="20"/>
        </w:rPr>
        <w:t xml:space="preserve"/>
      </w:r>
    </w:p>
    <w:p>
      <w:pPr>
        <w:spacing w:after="0" w:before="0" w:line="260"/>
        <w:jc w:val="left"/>
      </w:pPr>
      <w:r>
        <w:rPr>
          <w:rFonts w:ascii="Calibri" w:cs="Calibri" w:eastAsia="Calibri" w:hAnsi="Calibri"/>
          <w:b w:val="false"/>
          <w:bCs w:val="false"/>
          <w:i w:val="false"/>
          <w:iCs w:val="false"/>
          <w:sz w:val="20"/>
          <w:szCs w:val="20"/>
        </w:rPr>
        <w:t xml:space="preserve">We believe these revisions have materially strengthened the manuscript, and we thank the reviewer again for the time and expertise invested in this review.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 2</dc:title>
  <dc:creator>Qornain Aji</dc:creator>
  <cp:lastModifiedBy>Un-named</cp:lastModifiedBy>
  <cp:revision>1</cp:revision>
  <dcterms:created xsi:type="dcterms:W3CDTF">2026-09-03T02:06:16.496Z</dcterms:created>
  <dcterms:modified xsi:type="dcterms:W3CDTF">2026-09-03T02:06:16.496Z</dcterms:modified>
</cp:coreProperties>
</file>

<file path=docProps/custom.xml><?xml version="1.0" encoding="utf-8"?>
<Properties xmlns="http://schemas.openxmlformats.org/officeDocument/2006/custom-properties" xmlns:vt="http://schemas.openxmlformats.org/officeDocument/2006/docPropsVTypes"/>
</file>