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0"/>
        <w:jc w:val="center"/>
      </w:pPr>
      <w:r>
        <w:rPr>
          <w:rFonts w:ascii="Calibri" w:cs="Calibri" w:eastAsia="Calibri" w:hAnsi="Calibri"/>
          <w:b/>
          <w:bCs/>
          <w:i w:val="false"/>
          <w:iCs w:val="false"/>
          <w:sz w:val="30"/>
          <w:szCs w:val="30"/>
        </w:rPr>
        <w:t xml:space="preserve">Response to Reviewer's Comments</w:t>
      </w:r>
    </w:p>
    <w:p>
      <w:pPr>
        <w:spacing w:after="200" w:before="0" w:line="260"/>
        <w:jc w:val="center"/>
      </w:pPr>
      <w:r>
        <w:rPr>
          <w:rFonts w:ascii="Calibri" w:cs="Calibri" w:eastAsia="Calibri" w:hAnsi="Calibri"/>
          <w:b/>
          <w:bCs/>
          <w:i w:val="false"/>
          <w:iCs w:val="false"/>
          <w:sz w:val="26"/>
          <w:szCs w:val="26"/>
        </w:rPr>
        <w:t xml:space="preserve">Reviewer 3</w:t>
      </w:r>
    </w:p>
    <w:p>
      <w:pPr>
        <w:spacing w:after="60" w:before="0" w:line="260"/>
        <w:jc w:val="left"/>
      </w:pPr>
      <w:r>
        <w:rPr>
          <w:rFonts w:ascii="Calibri" w:cs="Calibri" w:eastAsia="Calibri" w:hAnsi="Calibri"/>
          <w:b/>
          <w:bCs/>
          <w:i w:val="false"/>
          <w:iCs w:val="false"/>
          <w:sz w:val="20"/>
          <w:szCs w:val="20"/>
        </w:rPr>
        <w:t xml:space="preserve">Paper ID: </w:t>
      </w:r>
      <w:r>
        <w:rPr>
          <w:rFonts w:ascii="Calibri" w:cs="Calibri" w:eastAsia="Calibri" w:hAnsi="Calibri"/>
          <w:b w:val="false"/>
          <w:bCs w:val="false"/>
          <w:i w:val="false"/>
          <w:iCs w:val="false"/>
          <w:sz w:val="20"/>
          <w:szCs w:val="20"/>
        </w:rPr>
        <w:t xml:space="preserve">#17 (1571278052)</w:t>
      </w:r>
    </w:p>
    <w:p>
      <w:pPr>
        <w:spacing w:after="60" w:before="0" w:line="260"/>
        <w:jc w:val="left"/>
      </w:pPr>
      <w:r>
        <w:rPr>
          <w:rFonts w:ascii="Calibri" w:cs="Calibri" w:eastAsia="Calibri" w:hAnsi="Calibri"/>
          <w:b/>
          <w:bCs/>
          <w:i w:val="false"/>
          <w:iCs w:val="false"/>
          <w:sz w:val="20"/>
          <w:szCs w:val="20"/>
        </w:rPr>
        <w:t xml:space="preserve">Title: </w:t>
      </w:r>
      <w:r>
        <w:rPr>
          <w:rFonts w:ascii="Calibri" w:cs="Calibri" w:eastAsia="Calibri" w:hAnsi="Calibri"/>
          <w:b w:val="false"/>
          <w:bCs w:val="false"/>
          <w:i w:val="false"/>
          <w:iCs w:val="false"/>
          <w:sz w:val="20"/>
          <w:szCs w:val="20"/>
        </w:rPr>
        <w:t xml:space="preserve">Enhancing Pedagogical Feedback Quality of Large Language Models via Learning Analytics in a Kanban-Based Platform for Student Self-Regulated Learning Support</w:t>
      </w:r>
    </w:p>
    <w:p>
      <w:pPr>
        <w:spacing w:after="60" w:before="0" w:line="260"/>
        <w:jc w:val="left"/>
      </w:pPr>
      <w:r>
        <w:rPr>
          <w:rFonts w:ascii="Calibri" w:cs="Calibri" w:eastAsia="Calibri" w:hAnsi="Calibri"/>
          <w:b/>
          <w:bCs/>
          <w:i w:val="false"/>
          <w:iCs w:val="false"/>
          <w:sz w:val="20"/>
          <w:szCs w:val="20"/>
        </w:rPr>
        <w:t xml:space="preserve">Authors: </w:t>
      </w:r>
      <w:r>
        <w:rPr>
          <w:rFonts w:ascii="Calibri" w:cs="Calibri" w:eastAsia="Calibri" w:hAnsi="Calibri"/>
          <w:b w:val="false"/>
          <w:bCs w:val="false"/>
          <w:i w:val="false"/>
          <w:iCs w:val="false"/>
          <w:sz w:val="20"/>
          <w:szCs w:val="20"/>
        </w:rPr>
        <w:t xml:space="preserve">Qornain Aji, Indriana Hidayah, and Syukron Abu Ishaq Alfarozi (Universitas Gadjah Mada, Indonesia)</w:t>
      </w:r>
    </w:p>
    <w:p>
      <w:pPr>
        <w:spacing w:after="160" w:before="0" w:line="260"/>
        <w:jc w:val="left"/>
      </w:pPr>
      <w:r>
        <w:rPr>
          <w:rFonts w:ascii="Calibri" w:cs="Calibri" w:eastAsia="Calibri" w:hAnsi="Calibri"/>
          <w:b/>
          <w:bCs/>
          <w:i w:val="false"/>
          <w:iCs w:val="false"/>
          <w:sz w:val="20"/>
          <w:szCs w:val="20"/>
        </w:rPr>
        <w:t xml:space="preserve">Conference: </w:t>
      </w:r>
      <w:r>
        <w:rPr>
          <w:rFonts w:ascii="Calibri" w:cs="Calibri" w:eastAsia="Calibri" w:hAnsi="Calibri"/>
          <w:b w:val="false"/>
          <w:bCs w:val="false"/>
          <w:i w:val="false"/>
          <w:iCs w:val="false"/>
          <w:sz w:val="20"/>
          <w:szCs w:val="20"/>
        </w:rPr>
        <w:t xml:space="preserve">2026 18th International Conference on Information Technology and Electrical Engineering (ICITEE), Signal Processing and Machine Intelligence track</w:t>
      </w:r>
    </w:p>
    <w:p>
      <w:pPr>
        <w:spacing w:after="200" w:before="0" w:line="260"/>
        <w:jc w:val="left"/>
      </w:pPr>
      <w:r>
        <w:rPr>
          <w:rFonts w:ascii="Calibri" w:cs="Calibri" w:eastAsia="Calibri" w:hAnsi="Calibri"/>
          <w:b/>
          <w:bCs/>
          <w:i w:val="false"/>
          <w:iCs w:val="false"/>
          <w:sz w:val="20"/>
          <w:szCs w:val="20"/>
        </w:rPr>
        <w:t xml:space="preserve">Reviewer ratings: </w:t>
      </w:r>
      <w:r>
        <w:rPr>
          <w:rFonts w:ascii="Calibri" w:cs="Calibri" w:eastAsia="Calibri" w:hAnsi="Calibri"/>
          <w:b w:val="false"/>
          <w:bCs w:val="false"/>
          <w:i/>
          <w:iCs/>
          <w:sz w:val="20"/>
          <w:szCs w:val="20"/>
        </w:rPr>
        <w:t xml:space="preserve">Relevance and timeliness: Acceptable (3)  |  Technical content and scientific rigour: Valid work but limited contribution (3)  |  Novelty and originality: Minor variations on a well investigated subject (2)  |  Quality of presentation: Readable, but revision is needed in some parts (3)</w:t>
      </w:r>
    </w:p>
    <w:p>
      <w:pPr>
        <w:spacing w:after="220" w:before="0" w:line="260"/>
        <w:jc w:val="left"/>
      </w:pPr>
      <w:r>
        <w:rPr>
          <w:rFonts w:ascii="Calibri" w:cs="Calibri" w:eastAsia="Calibri" w:hAnsi="Calibri"/>
          <w:b w:val="false"/>
          <w:bCs w:val="false"/>
          <w:i w:val="false"/>
          <w:iCs w:val="false"/>
          <w:sz w:val="20"/>
          <w:szCs w:val="20"/>
        </w:rPr>
        <w:t xml:space="preserve">We thank the reviewer for the careful and constructive assessment of our manuscript. Each comment is addressed below, with the corresponding revision quoted from the revised manuscript and its location indicated. All revisions were made within the six-page camera-ready limit.</w:t>
      </w:r>
    </w:p>
    <w:tbl>
      <w:tblPr>
        <w:tblW w:type="dxa" w:w="9746"/>
        <w:tblBorders>
          <w:top w:val="single" w:color="7F7F7F" w:sz="6"/>
          <w:left w:val="single" w:color="7F7F7F" w:sz="6"/>
          <w:bottom w:val="single" w:color="7F7F7F" w:sz="6"/>
          <w:right w:val="single" w:color="7F7F7F" w:sz="6"/>
          <w:insideH w:val="single" w:color="A6A6A6" w:sz="4"/>
          <w:insideV w:val="single" w:color="A6A6A6" w:sz="4"/>
        </w:tblBorders>
      </w:tblPr>
      <w:tblGrid>
        <w:gridCol w:w="620"/>
        <w:gridCol w:w="4180"/>
        <w:gridCol w:w="4946"/>
      </w:tblGrid>
      <w:tr>
        <w:trPr>
          <w:tblHeader/>
        </w:trPr>
        <w:tc>
          <w:tcPr>
            <w:tcW w:type="dxa" w:w="620"/>
            <w:shd w:fill="D9E2F3"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No.</w:t>
            </w:r>
          </w:p>
        </w:tc>
        <w:tc>
          <w:tcPr>
            <w:tcW w:type="dxa" w:w="4180"/>
            <w:shd w:fill="D9E2F3"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Reviewer's Comment</w:t>
            </w:r>
          </w:p>
        </w:tc>
        <w:tc>
          <w:tcPr>
            <w:tcW w:type="dxa" w:w="4946"/>
            <w:shd w:fill="D9E2F3"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Author's Response and Revision Made</w:t>
            </w:r>
          </w:p>
        </w:tc>
      </w:tr>
      <w:tr>
        <w:tc>
          <w:tcPr>
            <w:tcW w:type="dxa" w:w="620"/>
            <w:shd w:fill="F2F2F2"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1</w:t>
            </w:r>
          </w:p>
        </w:tc>
        <w:tc>
          <w:tcPr>
            <w:tcW w:type="dxa" w:w="4180"/>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On the monotonic improvement claim</w:t>
            </w:r>
          </w:p>
          <w:p>
            <w:pPr>
              <w:spacing w:after="40" w:before="80" w:line="260"/>
              <w:jc w:val="left"/>
            </w:pPr>
            <w:r>
              <w:rPr>
                <w:rFonts w:ascii="Calibri" w:cs="Calibri" w:eastAsia="Calibri" w:hAnsi="Calibri"/>
                <w:b w:val="false"/>
                <w:bCs w:val="false"/>
                <w:i/>
                <w:iCs/>
                <w:sz w:val="20"/>
                <w:szCs w:val="20"/>
              </w:rPr>
              <w:t xml:space="preserve">“The claim that the 8B model improves monotonically with increasing context complexity should be revised, because the Material List condition performs slightly worse than the Baseline on both BERTScore and BARTScore.”</w:t>
            </w:r>
          </w:p>
        </w:tc>
        <w:tc>
          <w:tcPr>
            <w:tcW w:type="dxa" w:w="4946"/>
            <w:tcMar>
              <w:top w:type="dxa" w:w="80"/>
              <w:left w:type="dxa" w:w="110"/>
              <w:bottom w:type="dxa" w:w="80"/>
              <w:right w:type="dxa" w:w="110"/>
            </w:tcMar>
            <w:vAlign w:val="top"/>
          </w:tcPr>
          <w:p>
            <w:pPr>
              <w:spacing w:after="40" w:before="40" w:line="260"/>
              <w:jc w:val="left"/>
            </w:pPr>
            <w:r>
              <w:rPr>
                <w:rFonts w:ascii="Calibri" w:cs="Calibri" w:eastAsia="Calibri" w:hAnsi="Calibri"/>
                <w:b w:val="false"/>
                <w:bCs w:val="false"/>
                <w:i w:val="false"/>
                <w:iCs w:val="false"/>
                <w:sz w:val="20"/>
                <w:szCs w:val="20"/>
              </w:rPr>
              <w:t xml:space="preserve">The reviewer is correct, and we thank them for catching this. The unqualified claim was inconsistent with our own Table 1. It has been corrected throughout the manuscript, and the dip is now reported explicitly rather than glossed over.</w:t>
            </w:r>
          </w:p>
          <w:p>
            <w:pPr>
              <w:spacing w:after="40" w:before="80" w:line="260"/>
              <w:jc w:val="left"/>
            </w:pPr>
            <w:r>
              <w:rPr>
                <w:rFonts w:ascii="Calibri" w:cs="Calibri" w:eastAsia="Calibri" w:hAnsi="Calibri"/>
                <w:b/>
                <w:bCs/>
                <w:i w:val="false"/>
                <w:iCs w:val="false"/>
                <w:sz w:val="20"/>
                <w:szCs w:val="20"/>
              </w:rPr>
              <w:t xml:space="preserve">Revised text (Results): </w:t>
            </w:r>
            <w:r>
              <w:rPr>
                <w:rFonts w:ascii="Calibri" w:cs="Calibri" w:eastAsia="Calibri" w:hAnsi="Calibri"/>
                <w:b w:val="false"/>
                <w:bCs w:val="false"/>
                <w:i/>
                <w:iCs/>
                <w:sz w:val="20"/>
                <w:szCs w:val="20"/>
              </w:rPr>
              <w:t xml:space="preserve">“For the 8B model, both metrics show a net improvement as context complexity increases, with a slight dip at the Material List condition before recovering.”</w:t>
            </w:r>
          </w:p>
          <w:p>
            <w:pPr>
              <w:spacing w:after="40" w:before="80" w:line="260"/>
              <w:jc w:val="left"/>
            </w:pPr>
            <w:r>
              <w:rPr>
                <w:rFonts w:ascii="Calibri" w:cs="Calibri" w:eastAsia="Calibri" w:hAnsi="Calibri"/>
                <w:b w:val="false"/>
                <w:bCs w:val="false"/>
                <w:i w:val="false"/>
                <w:iCs w:val="false"/>
                <w:sz w:val="20"/>
                <w:szCs w:val="20"/>
              </w:rPr>
              <w:t xml:space="preserve">The monotonicity claim is now retained only for the LLM-as-a-Judge metric, where it does in fact hold across all four conditions (0.5371, 0.5627, 0.5896, 0.6121 for Baseline, Material List, LA, and ReAct + LA respectively).</w:t>
            </w:r>
          </w:p>
          <w:p>
            <w:pPr>
              <w:spacing w:after="40" w:before="80" w:line="260"/>
              <w:jc w:val="left"/>
            </w:pPr>
            <w:r>
              <w:rPr>
                <w:rFonts w:ascii="Calibri" w:cs="Calibri" w:eastAsia="Calibri" w:hAnsi="Calibri"/>
                <w:b/>
                <w:bCs/>
                <w:i w:val="false"/>
                <w:iCs w:val="false"/>
                <w:sz w:val="20"/>
                <w:szCs w:val="20"/>
              </w:rPr>
              <w:t xml:space="preserve">Revised text (Abstract): </w:t>
            </w:r>
            <w:r>
              <w:rPr>
                <w:rFonts w:ascii="Calibri" w:cs="Calibri" w:eastAsia="Calibri" w:hAnsi="Calibri"/>
                <w:b w:val="false"/>
                <w:bCs w:val="false"/>
                <w:i/>
                <w:iCs/>
                <w:sz w:val="20"/>
                <w:szCs w:val="20"/>
              </w:rPr>
              <w:t xml:space="preserve">“The 8B model's LLM-as-a-Judge F1, our measure of pedagogical criterion satisfaction, improved monotonically with context complexity”</w:t>
            </w:r>
          </w:p>
          <w:p>
            <w:pPr>
              <w:spacing w:after="40" w:before="80" w:line="260"/>
              <w:jc w:val="left"/>
            </w:pPr>
            <w:r>
              <w:rPr>
                <w:rFonts w:ascii="Calibri" w:cs="Calibri" w:eastAsia="Calibri" w:hAnsi="Calibri"/>
                <w:b/>
                <w:bCs/>
                <w:i w:val="false"/>
                <w:iCs w:val="false"/>
                <w:sz w:val="20"/>
                <w:szCs w:val="20"/>
              </w:rPr>
              <w:t xml:space="preserve">Revised text (Conclusion): </w:t>
            </w:r>
            <w:r>
              <w:rPr>
                <w:rFonts w:ascii="Calibri" w:cs="Calibri" w:eastAsia="Calibri" w:hAnsi="Calibri"/>
                <w:b w:val="false"/>
                <w:bCs w:val="false"/>
                <w:i/>
                <w:iCs/>
                <w:sz w:val="20"/>
                <w:szCs w:val="20"/>
              </w:rPr>
              <w:t xml:space="preserve">“the 8B model improved with context richness, while the 70B model peaked at Material List and degraded under the prescriptive ReAct + LA framework”</w:t>
            </w:r>
          </w:p>
        </w:tc>
      </w:tr>
      <w:tr>
        <w:tc>
          <w:tcPr>
            <w:tcW w:type="dxa" w:w="620"/>
            <w:shd w:fill="F2F2F2"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2</w:t>
            </w:r>
          </w:p>
        </w:tc>
        <w:tc>
          <w:tcPr>
            <w:tcW w:type="dxa" w:w="4180"/>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On details of dataset generation</w:t>
            </w:r>
          </w:p>
          <w:p>
            <w:pPr>
              <w:spacing w:after="40" w:before="80" w:line="260"/>
              <w:jc w:val="left"/>
            </w:pPr>
            <w:r>
              <w:rPr>
                <w:rFonts w:ascii="Calibri" w:cs="Calibri" w:eastAsia="Calibri" w:hAnsi="Calibri"/>
                <w:b w:val="false"/>
                <w:bCs w:val="false"/>
                <w:i/>
                <w:iCs/>
                <w:sz w:val="20"/>
                <w:szCs w:val="20"/>
              </w:rPr>
              <w:t xml:space="preserve">“The dataset is relatively small and fully synthetic. The authors should provide more details about how the 40 synthetic Kanban datasets and the five behavioral profiles were generated.”</w:t>
            </w:r>
          </w:p>
        </w:tc>
        <w:tc>
          <w:tcPr>
            <w:tcW w:type="dxa" w:w="4946"/>
            <w:tcMar>
              <w:top w:type="dxa" w:w="80"/>
              <w:left w:type="dxa" w:w="110"/>
              <w:bottom w:type="dxa" w:w="80"/>
              <w:right w:type="dxa" w:w="110"/>
            </w:tcMar>
            <w:vAlign w:val="top"/>
          </w:tcPr>
          <w:p>
            <w:pPr>
              <w:spacing w:after="40" w:before="40" w:line="260"/>
              <w:jc w:val="left"/>
            </w:pPr>
            <w:r>
              <w:rPr>
                <w:rFonts w:ascii="Calibri" w:cs="Calibri" w:eastAsia="Calibri" w:hAnsi="Calibri"/>
                <w:b w:val="false"/>
                <w:bCs w:val="false"/>
                <w:i w:val="false"/>
                <w:iCs w:val="false"/>
                <w:sz w:val="20"/>
                <w:szCs w:val="20"/>
              </w:rPr>
              <w:t xml:space="preserve">Added. The Dataset Construction subsection now documents the generation procedure in full.</w:t>
            </w:r>
          </w:p>
          <w:p>
            <w:pPr>
              <w:spacing w:after="40" w:before="80" w:line="260"/>
              <w:jc w:val="left"/>
            </w:pPr>
            <w:r>
              <w:rPr>
                <w:rFonts w:ascii="Calibri" w:cs="Calibri" w:eastAsia="Calibri" w:hAnsi="Calibri"/>
                <w:b/>
                <w:bCs/>
                <w:i w:val="false"/>
                <w:iCs w:val="false"/>
                <w:sz w:val="20"/>
                <w:szCs w:val="20"/>
              </w:rPr>
              <w:t xml:space="preserve">Revised text: </w:t>
            </w:r>
            <w:r>
              <w:rPr>
                <w:rFonts w:ascii="Calibri" w:cs="Calibri" w:eastAsia="Calibri" w:hAnsi="Calibri"/>
                <w:b w:val="false"/>
                <w:bCs w:val="false"/>
                <w:i/>
                <w:iCs/>
                <w:sz w:val="20"/>
                <w:szCs w:val="20"/>
              </w:rPr>
              <w:t xml:space="preserve">“generated across five behavioral profiles: Lazy (5), Slightly Lazy (10), Average (10), Diligent (10), and Very Diligent (5). Each profile was operationalized into explicit rules governing card counts and checklist-completion percentages, within the Object-Oriented Programming (OOP) domain across five subtopics; these constraints were transformed into structured prompts using role-play, few-shot, and Chain-of-Thought (CoT) techniques, and the 40 datasets were generated using the ChatGPT-5 Thinking model.”</w:t>
            </w:r>
          </w:p>
          <w:p>
            <w:pPr>
              <w:spacing w:after="40" w:before="80" w:line="260"/>
              <w:jc w:val="left"/>
            </w:pPr>
            <w:r>
              <w:rPr>
                <w:rFonts w:ascii="Calibri" w:cs="Calibri" w:eastAsia="Calibri" w:hAnsi="Calibri"/>
                <w:b w:val="false"/>
                <w:bCs w:val="false"/>
                <w:i w:val="false"/>
                <w:iCs w:val="false"/>
                <w:sz w:val="20"/>
                <w:szCs w:val="20"/>
              </w:rPr>
              <w:t xml:space="preserve">The provenance of the ground truth is also stated: it was established by three university lecturers with expertise in educational psychology, who independently provided structured feedback across the three target dimensions. The synthetic nature of the dataset and its size are retained as acknowledged limitations in both the Discussion and the Conclusion.</w:t>
            </w:r>
          </w:p>
        </w:tc>
      </w:tr>
      <w:tr>
        <w:tc>
          <w:tcPr>
            <w:tcW w:type="dxa" w:w="620"/>
            <w:shd w:fill="F2F2F2"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3</w:t>
            </w:r>
          </w:p>
        </w:tc>
        <w:tc>
          <w:tcPr>
            <w:tcW w:type="dxa" w:w="4180"/>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On the scope of expert validation</w:t>
            </w:r>
          </w:p>
          <w:p>
            <w:pPr>
              <w:spacing w:after="40" w:before="80" w:line="260"/>
              <w:jc w:val="left"/>
            </w:pPr>
            <w:r>
              <w:rPr>
                <w:rFonts w:ascii="Calibri" w:cs="Calibri" w:eastAsia="Calibri" w:hAnsi="Calibri"/>
                <w:b w:val="false"/>
                <w:bCs w:val="false"/>
                <w:i/>
                <w:iCs/>
                <w:sz w:val="20"/>
                <w:szCs w:val="20"/>
              </w:rPr>
              <w:t xml:space="preserve">“The expert validation is limited to one independent expert and only one selected configuration. It would be stronger to involve multiple experts and compare more than one model configuration.”</w:t>
            </w:r>
          </w:p>
        </w:tc>
        <w:tc>
          <w:tcPr>
            <w:tcW w:type="dxa" w:w="4946"/>
            <w:tcMar>
              <w:top w:type="dxa" w:w="80"/>
              <w:left w:type="dxa" w:w="110"/>
              <w:bottom w:type="dxa" w:w="80"/>
              <w:right w:type="dxa" w:w="110"/>
            </w:tcMar>
            <w:vAlign w:val="top"/>
          </w:tcPr>
          <w:p>
            <w:pPr>
              <w:spacing w:after="40" w:before="40" w:line="260"/>
              <w:jc w:val="left"/>
            </w:pPr>
            <w:r>
              <w:rPr>
                <w:rFonts w:ascii="Calibri" w:cs="Calibri" w:eastAsia="Calibri" w:hAnsi="Calibri"/>
                <w:b w:val="false"/>
                <w:bCs w:val="false"/>
                <w:i w:val="false"/>
                <w:iCs w:val="false"/>
                <w:sz w:val="20"/>
                <w:szCs w:val="20"/>
              </w:rPr>
              <w:t xml:space="preserve">We agree, and this converges with a similar observation from another reviewer. Recruiting and scheduling a second independent educational psychology expert, and running a second validation round over an additional configuration, was not achievable within the camera-ready revision window.</w:t>
            </w:r>
          </w:p>
          <w:p>
            <w:pPr>
              <w:spacing w:after="40" w:before="80" w:line="260"/>
              <w:jc w:val="left"/>
            </w:pPr>
            <w:r>
              <w:rPr>
                <w:rFonts w:ascii="Calibri" w:cs="Calibri" w:eastAsia="Calibri" w:hAnsi="Calibri"/>
                <w:b w:val="false"/>
                <w:bCs w:val="false"/>
                <w:i w:val="false"/>
                <w:iCs w:val="false"/>
                <w:sz w:val="20"/>
                <w:szCs w:val="20"/>
              </w:rPr>
              <w:t xml:space="preserve">We have therefore stated the constraint plainly as a limitation rather than understating it, and committed to the remedy.</w:t>
            </w:r>
          </w:p>
          <w:p>
            <w:pPr>
              <w:spacing w:after="40" w:before="80" w:line="260"/>
              <w:jc w:val="left"/>
            </w:pPr>
            <w:r>
              <w:rPr>
                <w:rFonts w:ascii="Calibri" w:cs="Calibri" w:eastAsia="Calibri" w:hAnsi="Calibri"/>
                <w:b/>
                <w:bCs/>
                <w:i w:val="false"/>
                <w:iCs w:val="false"/>
                <w:sz w:val="20"/>
                <w:szCs w:val="20"/>
              </w:rPr>
              <w:t xml:space="preserve">Revised text (Conclusion, limitations): </w:t>
            </w:r>
            <w:r>
              <w:rPr>
                <w:rFonts w:ascii="Calibri" w:cs="Calibri" w:eastAsia="Calibri" w:hAnsi="Calibri"/>
                <w:b w:val="false"/>
                <w:bCs w:val="false"/>
                <w:i/>
                <w:iCs/>
                <w:sz w:val="20"/>
                <w:szCs w:val="20"/>
              </w:rPr>
              <w:t xml:space="preserve">“Limitations remain: a synthetic dataset (N = 40), a single expert validator, two model scales within one family, and no significance testing.”</w:t>
            </w:r>
          </w:p>
          <w:p>
            <w:pPr>
              <w:spacing w:after="40" w:before="80" w:line="260"/>
              <w:jc w:val="left"/>
            </w:pPr>
            <w:r>
              <w:rPr>
                <w:rFonts w:ascii="Calibri" w:cs="Calibri" w:eastAsia="Calibri" w:hAnsi="Calibri"/>
                <w:b/>
                <w:bCs/>
                <w:i w:val="false"/>
                <w:iCs w:val="false"/>
                <w:sz w:val="20"/>
                <w:szCs w:val="20"/>
              </w:rPr>
              <w:t xml:space="preserve">Revised text (Future Work): </w:t>
            </w:r>
            <w:r>
              <w:rPr>
                <w:rFonts w:ascii="Calibri" w:cs="Calibri" w:eastAsia="Calibri" w:hAnsi="Calibri"/>
                <w:b w:val="false"/>
                <w:bCs w:val="false"/>
                <w:i/>
                <w:iCs/>
                <w:sz w:val="20"/>
                <w:szCs w:val="20"/>
              </w:rPr>
              <w:t xml:space="preserve">“expand the expert panel to enable statistically robust inter-rater agreement analysis”</w:t>
            </w:r>
          </w:p>
        </w:tc>
      </w:tr>
      <w:tr>
        <w:tc>
          <w:tcPr>
            <w:tcW w:type="dxa" w:w="620"/>
            <w:shd w:fill="F2F2F2"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4</w:t>
            </w:r>
          </w:p>
        </w:tc>
        <w:tc>
          <w:tcPr>
            <w:tcW w:type="dxa" w:w="4180"/>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On the selection of the “best-performing configuration”</w:t>
            </w:r>
          </w:p>
          <w:p>
            <w:pPr>
              <w:spacing w:after="40" w:before="80" w:line="260"/>
              <w:jc w:val="left"/>
            </w:pPr>
            <w:r>
              <w:rPr>
                <w:rFonts w:ascii="Calibri" w:cs="Calibri" w:eastAsia="Calibri" w:hAnsi="Calibri"/>
                <w:b w:val="false"/>
                <w:bCs w:val="false"/>
                <w:i/>
                <w:iCs/>
                <w:sz w:val="20"/>
                <w:szCs w:val="20"/>
              </w:rPr>
              <w:t xml:space="preserve">“The reason for selecting Llama 3.1 8B + ReAct + LA as the “best-performing configuration” should be clarified, because the 70B Material List configuration achieves higher BERTScore and LLM-as-a-Judge scores.”</w:t>
            </w:r>
          </w:p>
        </w:tc>
        <w:tc>
          <w:tcPr>
            <w:tcW w:type="dxa" w:w="4946"/>
            <w:tcMar>
              <w:top w:type="dxa" w:w="80"/>
              <w:left w:type="dxa" w:w="110"/>
              <w:bottom w:type="dxa" w:w="80"/>
              <w:right w:type="dxa" w:w="110"/>
            </w:tcMar>
            <w:vAlign w:val="top"/>
          </w:tcPr>
          <w:p>
            <w:pPr>
              <w:spacing w:after="40" w:before="40" w:line="260"/>
              <w:jc w:val="left"/>
            </w:pPr>
            <w:r>
              <w:rPr>
                <w:rFonts w:ascii="Calibri" w:cs="Calibri" w:eastAsia="Calibri" w:hAnsi="Calibri"/>
                <w:b w:val="false"/>
                <w:bCs w:val="false"/>
                <w:i w:val="false"/>
                <w:iCs w:val="false"/>
                <w:sz w:val="20"/>
                <w:szCs w:val="20"/>
              </w:rPr>
              <w:t xml:space="preserve">The reviewer is right that the original label was misleading. Llama 3.1 8B with ReAct + LA is not the best configuration overall, and describing it that way was an error.</w:t>
            </w:r>
          </w:p>
          <w:p>
            <w:pPr>
              <w:spacing w:after="40" w:before="80" w:line="260"/>
              <w:jc w:val="left"/>
            </w:pPr>
            <w:r>
              <w:rPr>
                <w:rFonts w:ascii="Calibri" w:cs="Calibri" w:eastAsia="Calibri" w:hAnsi="Calibri"/>
                <w:b w:val="false"/>
                <w:bCs w:val="false"/>
                <w:i w:val="false"/>
                <w:iCs w:val="false"/>
                <w:sz w:val="20"/>
                <w:szCs w:val="20"/>
              </w:rPr>
              <w:t xml:space="preserve">Two corrections were made. First, the terminology was changed throughout: it is now consistently described as the top-performing 8B configuration, never as the best configuration across both models. Second, the selection rationale is now stated explicitly at the point of use.</w:t>
            </w:r>
          </w:p>
          <w:p>
            <w:pPr>
              <w:spacing w:after="40" w:before="80" w:line="260"/>
              <w:jc w:val="left"/>
            </w:pPr>
            <w:r>
              <w:rPr>
                <w:rFonts w:ascii="Calibri" w:cs="Calibri" w:eastAsia="Calibri" w:hAnsi="Calibri"/>
                <w:b/>
                <w:bCs/>
                <w:i w:val="false"/>
                <w:iCs w:val="false"/>
                <w:sz w:val="20"/>
                <w:szCs w:val="20"/>
              </w:rPr>
              <w:t xml:space="preserve">Revised text (Qualitative Expert Validation): </w:t>
            </w:r>
            <w:r>
              <w:rPr>
                <w:rFonts w:ascii="Calibri" w:cs="Calibri" w:eastAsia="Calibri" w:hAnsi="Calibri"/>
                <w:b w:val="false"/>
                <w:bCs w:val="false"/>
                <w:i/>
                <w:iCs/>
                <w:sz w:val="20"/>
                <w:szCs w:val="20"/>
              </w:rPr>
              <w:t xml:space="preserve">“The top-performing configuration for the 8B model, Llama 3.1 8B with ReAct + LA, was submitted for qualitative review ... because it represented the strongest setup for the smaller, cost-efficient model rather than the single highest quantitative score across both models.”</w:t>
            </w:r>
          </w:p>
          <w:p>
            <w:pPr>
              <w:spacing w:after="40" w:before="80" w:line="260"/>
              <w:jc w:val="left"/>
            </w:pPr>
            <w:r>
              <w:rPr>
                <w:rFonts w:ascii="Calibri" w:cs="Calibri" w:eastAsia="Calibri" w:hAnsi="Calibri"/>
                <w:b w:val="false"/>
                <w:bCs w:val="false"/>
                <w:i w:val="false"/>
                <w:iCs w:val="false"/>
                <w:sz w:val="20"/>
                <w:szCs w:val="20"/>
              </w:rPr>
              <w:t xml:space="preserve">The Results section also states plainly that for the 70B model the Material List variant achieves the best performance on both semantic metrics, so the two statements are now consistent with each other and with Table 1.</w:t>
            </w:r>
          </w:p>
        </w:tc>
      </w:tr>
      <w:tr>
        <w:tc>
          <w:tcPr>
            <w:tcW w:type="dxa" w:w="620"/>
            <w:shd w:fill="F2F2F2"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5</w:t>
            </w:r>
          </w:p>
        </w:tc>
        <w:tc>
          <w:tcPr>
            <w:tcW w:type="dxa" w:w="4180"/>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On the strength of the model-size conclusion</w:t>
            </w:r>
          </w:p>
          <w:p>
            <w:pPr>
              <w:spacing w:after="40" w:before="80" w:line="260"/>
              <w:jc w:val="left"/>
            </w:pPr>
            <w:r>
              <w:rPr>
                <w:rFonts w:ascii="Calibri" w:cs="Calibri" w:eastAsia="Calibri" w:hAnsi="Calibri"/>
                <w:b w:val="false"/>
                <w:bCs w:val="false"/>
                <w:i/>
                <w:iCs/>
                <w:sz w:val="20"/>
                <w:szCs w:val="20"/>
              </w:rPr>
              <w:t xml:space="preserve">“The conclusion that model size fundamentally determines optimal context complexity is too strong. Since only two different Llama versions are compared, the observed effect cannot be attributed solely to parameter size.”</w:t>
            </w:r>
          </w:p>
        </w:tc>
        <w:tc>
          <w:tcPr>
            <w:tcW w:type="dxa" w:w="4946"/>
            <w:tcMar>
              <w:top w:type="dxa" w:w="80"/>
              <w:left w:type="dxa" w:w="110"/>
              <w:bottom w:type="dxa" w:w="80"/>
              <w:right w:type="dxa" w:w="110"/>
            </w:tcMar>
            <w:vAlign w:val="top"/>
          </w:tcPr>
          <w:p>
            <w:pPr>
              <w:spacing w:after="40" w:before="40" w:line="260"/>
              <w:jc w:val="left"/>
            </w:pPr>
            <w:r>
              <w:rPr>
                <w:rFonts w:ascii="Calibri" w:cs="Calibri" w:eastAsia="Calibri" w:hAnsi="Calibri"/>
                <w:b w:val="false"/>
                <w:bCs w:val="false"/>
                <w:i w:val="false"/>
                <w:iCs w:val="false"/>
                <w:sz w:val="20"/>
                <w:szCs w:val="20"/>
              </w:rPr>
              <w:t xml:space="preserve">We accept this and have weakened the claim, bounding it to the evidence actually available. The verb “fundamentally determines” has been removed everywhere it appeared.</w:t>
            </w:r>
          </w:p>
          <w:p>
            <w:pPr>
              <w:spacing w:after="40" w:before="80" w:line="260"/>
              <w:jc w:val="left"/>
            </w:pPr>
            <w:r>
              <w:rPr>
                <w:rFonts w:ascii="Calibri" w:cs="Calibri" w:eastAsia="Calibri" w:hAnsi="Calibri"/>
                <w:b/>
                <w:bCs/>
                <w:i w:val="false"/>
                <w:iCs w:val="false"/>
                <w:sz w:val="20"/>
                <w:szCs w:val="20"/>
              </w:rPr>
              <w:t xml:space="preserve">Revised text (Introduction, contributions): </w:t>
            </w:r>
            <w:r>
              <w:rPr>
                <w:rFonts w:ascii="Calibri" w:cs="Calibri" w:eastAsia="Calibri" w:hAnsi="Calibri"/>
                <w:b w:val="false"/>
                <w:bCs w:val="false"/>
                <w:i/>
                <w:iCs/>
                <w:sz w:val="20"/>
                <w:szCs w:val="20"/>
              </w:rPr>
              <w:t xml:space="preserve">“an empirical finding that model size strongly shapes the optimal context complexity across the two Llama scales tested”</w:t>
            </w:r>
          </w:p>
          <w:p>
            <w:pPr>
              <w:spacing w:after="40" w:before="80" w:line="260"/>
              <w:jc w:val="left"/>
            </w:pPr>
            <w:r>
              <w:rPr>
                <w:rFonts w:ascii="Calibri" w:cs="Calibri" w:eastAsia="Calibri" w:hAnsi="Calibri"/>
                <w:b/>
                <w:bCs/>
                <w:i w:val="false"/>
                <w:iCs w:val="false"/>
                <w:sz w:val="20"/>
                <w:szCs w:val="20"/>
              </w:rPr>
              <w:t xml:space="preserve">Revised text (Conclusion): </w:t>
            </w:r>
            <w:r>
              <w:rPr>
                <w:rFonts w:ascii="Calibri" w:cs="Calibri" w:eastAsia="Calibri" w:hAnsi="Calibri"/>
                <w:b w:val="false"/>
                <w:bCs w:val="false"/>
                <w:i/>
                <w:iCs/>
                <w:sz w:val="20"/>
                <w:szCs w:val="20"/>
              </w:rPr>
              <w:t xml:space="preserve">“Regarding model size, scale strongly shapes the optimal context complexity, and the larger model is not necessarily the more context-receptive one.”</w:t>
            </w:r>
          </w:p>
          <w:p>
            <w:pPr>
              <w:spacing w:after="40" w:before="80" w:line="260"/>
              <w:jc w:val="left"/>
            </w:pPr>
            <w:r>
              <w:rPr>
                <w:rFonts w:ascii="Calibri" w:cs="Calibri" w:eastAsia="Calibri" w:hAnsi="Calibri"/>
                <w:b w:val="false"/>
                <w:bCs w:val="false"/>
                <w:i w:val="false"/>
                <w:iCs w:val="false"/>
                <w:sz w:val="20"/>
                <w:szCs w:val="20"/>
              </w:rPr>
              <w:t xml:space="preserve">We further acknowledge the confound the reviewer identifies. The two systems compared differ in release version as well as in parameter count (Llama 3.1 8B against Llama 3.3 70B), so the effect cannot be attributed to scale alone. This is now named directly in the limitations as “two model scales within one family”, and disentangling version from scale is listed as future work.</w:t>
            </w:r>
          </w:p>
        </w:tc>
      </w:tr>
    </w:tbl>
    <w:p>
      <w:pPr>
        <w:spacing w:after="160" w:before="0" w:line="260"/>
        <w:jc w:val="left"/>
      </w:pPr>
      <w:r>
        <w:rPr>
          <w:rFonts w:ascii="Calibri" w:cs="Calibri" w:eastAsia="Calibri" w:hAnsi="Calibri"/>
          <w:b w:val="false"/>
          <w:bCs w:val="false"/>
          <w:i w:val="false"/>
          <w:iCs w:val="false"/>
          <w:sz w:val="20"/>
          <w:szCs w:val="20"/>
        </w:rPr>
        <w:t xml:space="preserve"/>
      </w:r>
    </w:p>
    <w:p>
      <w:pPr>
        <w:spacing w:after="0" w:before="0" w:line="260"/>
        <w:jc w:val="left"/>
      </w:pPr>
      <w:r>
        <w:rPr>
          <w:rFonts w:ascii="Calibri" w:cs="Calibri" w:eastAsia="Calibri" w:hAnsi="Calibri"/>
          <w:b w:val="false"/>
          <w:bCs w:val="false"/>
          <w:i w:val="false"/>
          <w:iCs w:val="false"/>
          <w:sz w:val="20"/>
          <w:szCs w:val="20"/>
        </w:rPr>
        <w:t xml:space="preserve">We believe these revisions have materially strengthened the manuscript, and we thank the reviewer again for the time and expertise invested in this review.</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 3</dc:title>
  <dc:creator>Qornain Aji</dc:creator>
  <cp:lastModifiedBy>Un-named</cp:lastModifiedBy>
  <cp:revision>1</cp:revision>
  <dcterms:created xsi:type="dcterms:W3CDTF">2026-09-03T02:06:16.535Z</dcterms:created>
  <dcterms:modified xsi:type="dcterms:W3CDTF">2026-09-03T02:06:16.535Z</dcterms:modified>
</cp:coreProperties>
</file>

<file path=docProps/custom.xml><?xml version="1.0" encoding="utf-8"?>
<Properties xmlns="http://schemas.openxmlformats.org/officeDocument/2006/custom-properties" xmlns:vt="http://schemas.openxmlformats.org/officeDocument/2006/docPropsVTypes"/>
</file>